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widowControl/>
        <w:jc w:val="center"/>
        <w:outlineLvl w:val="1"/>
        <w:rPr>
          <w:rFonts w:ascii="黑体" w:hAnsi="宋体" w:eastAsia="黑体" w:cs="黑体"/>
          <w:sz w:val="40"/>
          <w:szCs w:val="40"/>
        </w:rPr>
      </w:pPr>
      <w:bookmarkStart w:id="0" w:name="_Hlk71456902"/>
      <w:r>
        <w:rPr>
          <w:rFonts w:hint="eastAsia" w:ascii="黑体" w:hAnsi="宋体" w:eastAsia="黑体" w:cs="黑体"/>
          <w:sz w:val="40"/>
          <w:szCs w:val="40"/>
        </w:rPr>
        <w:t>招标文件信息</w:t>
      </w:r>
    </w:p>
    <w:tbl>
      <w:tblPr>
        <w:tblStyle w:val="45"/>
        <w:tblW w:w="7943" w:type="dxa"/>
        <w:jc w:val="center"/>
        <w:tblCellSpacing w:w="0" w:type="dxa"/>
        <w:tblLayout w:type="fixed"/>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pPr>
              <w:widowControl/>
              <w:jc w:val="left"/>
              <w:rPr>
                <w:sz w:val="30"/>
                <w:szCs w:val="30"/>
              </w:rPr>
            </w:pPr>
            <w:r>
              <w:rPr>
                <w:rFonts w:hint="eastAsia" w:ascii="宋体" w:hAnsi="宋体" w:cs="宋体"/>
                <w:kern w:val="0"/>
                <w:sz w:val="30"/>
                <w:szCs w:val="30"/>
                <w:lang w:bidi="ar"/>
              </w:rPr>
              <w:t>DPZXCG-2025-00049</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pPr>
              <w:widowControl/>
              <w:jc w:val="left"/>
              <w:rPr>
                <w:rFonts w:hint="eastAsia" w:eastAsia="宋体"/>
                <w:sz w:val="30"/>
                <w:szCs w:val="30"/>
                <w:lang w:eastAsia="zh-CN"/>
              </w:rPr>
            </w:pPr>
            <w:bookmarkStart w:id="1" w:name="OLE_LINK1"/>
            <w:r>
              <w:rPr>
                <w:rFonts w:hint="eastAsia"/>
                <w:sz w:val="30"/>
                <w:szCs w:val="30"/>
                <w:lang w:eastAsia="zh-CN"/>
              </w:rPr>
              <w:t>儿保科检查设备一批（多功能组合式监护仪（脑功能状态定量测量仪）和屈光筛查仪）</w:t>
            </w:r>
            <w:bookmarkEnd w:id="1"/>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 xml:space="preserve">包 </w:t>
            </w: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号：</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A</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货物类</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公开招标</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综合评分法</w:t>
            </w:r>
          </w:p>
        </w:tc>
      </w:tr>
      <w:bookmarkEnd w:id="0"/>
    </w:tbl>
    <w:p>
      <w:pPr>
        <w:pStyle w:val="40"/>
        <w:widowControl/>
        <w:jc w:val="center"/>
        <w:outlineLvl w:val="1"/>
        <w:rPr>
          <w:rFonts w:hint="eastAsia" w:ascii="黑体" w:hAnsi="宋体" w:eastAsia="黑体" w:cs="黑体"/>
          <w:sz w:val="40"/>
          <w:szCs w:val="40"/>
        </w:rPr>
        <w:sectPr>
          <w:headerReference r:id="rId3" w:type="first"/>
          <w:footerReference r:id="rId4" w:type="default"/>
          <w:pgSz w:w="11907" w:h="16840"/>
          <w:pgMar w:top="1497" w:right="1418" w:bottom="1440" w:left="1531" w:header="851" w:footer="992" w:gutter="0"/>
          <w:pgBorders>
            <w:top w:val="none" w:sz="0" w:space="0"/>
            <w:left w:val="none" w:sz="0" w:space="0"/>
            <w:bottom w:val="none" w:sz="0" w:space="0"/>
            <w:right w:val="none" w:sz="0" w:space="0"/>
          </w:pgBorders>
          <w:cols w:space="425" w:num="1"/>
          <w:titlePg/>
          <w:docGrid w:linePitch="462" w:charSpace="0"/>
        </w:sectPr>
      </w:pPr>
    </w:p>
    <w:p>
      <w:pPr>
        <w:pStyle w:val="40"/>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45"/>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pPr>
        <w:pStyle w:val="40"/>
        <w:widowControl/>
        <w:spacing w:before="280" w:beforeAutospacing="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45"/>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eastAsia="宋体" w:cs="宋体"/>
                <w:sz w:val="28"/>
                <w:szCs w:val="28"/>
              </w:rPr>
            </w:pPr>
            <w:r>
              <w:rPr>
                <w:rFonts w:ascii="Times New Roman" w:hAnsi="Times New Roman" w:eastAsia="宋体" w:cs="Times New Roman"/>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eastAsia="宋体" w:cs="宋体"/>
                <w:sz w:val="28"/>
                <w:szCs w:val="28"/>
              </w:rPr>
            </w:pPr>
            <w:r>
              <w:rPr>
                <w:rFonts w:ascii="Times New Roman" w:hAnsi="Times New Roman" w:eastAsia="宋体" w:cs="Times New Roman"/>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1</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lang w:val="en-US" w:eastAsia="zh-CN"/>
              </w:rPr>
              <w:t>不得</w:t>
            </w:r>
            <w:r>
              <w:rPr>
                <w:rFonts w:hint="eastAsia" w:ascii="Times New Roman" w:hAnsi="Times New Roman" w:eastAsia="宋体" w:cs="Times New Roman"/>
              </w:rPr>
              <w:t>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2</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对同一项目投标时，</w:t>
            </w:r>
            <w:r>
              <w:rPr>
                <w:rFonts w:hint="eastAsia" w:ascii="Times New Roman" w:hAnsi="Times New Roman" w:eastAsia="宋体" w:cs="Times New Roman"/>
                <w:lang w:val="en-US" w:eastAsia="zh-CN"/>
              </w:rPr>
              <w:t>不得</w:t>
            </w:r>
            <w:r>
              <w:rPr>
                <w:rFonts w:hint="eastAsia" w:ascii="Times New Roman" w:hAnsi="Times New Roman" w:eastAsia="宋体" w:cs="Times New Roman"/>
              </w:rPr>
              <w:t>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3</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cs="Times New Roman"/>
              </w:rPr>
              <w:t>分项报价或投标总价</w:t>
            </w:r>
            <w:r>
              <w:rPr>
                <w:rFonts w:hint="eastAsia" w:ascii="Times New Roman" w:hAnsi="Times New Roman" w:cs="Times New Roman"/>
                <w:lang w:val="en-US" w:eastAsia="zh-CN"/>
              </w:rPr>
              <w:t>不得</w:t>
            </w:r>
            <w:r>
              <w:rPr>
                <w:rFonts w:hint="eastAsia" w:ascii="Times New Roman" w:hAnsi="Times New Roman" w:cs="Times New Roman"/>
              </w:rPr>
              <w:t>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4</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5</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6</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未按招标文件所提供的样式填写《投标函》；未按招标文件所提供的《政府采购投标及履约承诺函》进行承诺；未按招标文件对投标文件组成的要求提供投标文件；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7</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color w:val="auto"/>
                <w:lang w:val="en-US" w:eastAsia="zh-CN"/>
              </w:rPr>
              <w:t>采购标的/服务清单/报价等任意一类有缺漏项或响应不全，</w:t>
            </w:r>
            <w:r>
              <w:rPr>
                <w:rFonts w:hint="eastAsia" w:ascii="Times New Roman" w:hAnsi="Times New Roman" w:eastAsia="宋体" w:cs="Times New Roman"/>
              </w:rPr>
              <w:t>或者对招标文件规定的项目需求内容或者需求数量进行修改</w:t>
            </w:r>
            <w:r>
              <w:rPr>
                <w:rFonts w:hint="eastAsia" w:ascii="Times New Roman" w:hAnsi="Times New Roman" w:eastAsia="宋体" w:cs="Times New Roman"/>
                <w:szCs w:val="21"/>
              </w:rPr>
              <w:t>，评审委员会判定投标响应不满足采购需求</w:t>
            </w:r>
            <w:r>
              <w:rPr>
                <w:rFonts w:hint="eastAsia" w:ascii="Times New Roman" w:hAnsi="Times New Roman" w:eastAsia="宋体" w:cs="Times New Roma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8</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投标文件电子文档</w:t>
            </w:r>
            <w:r>
              <w:rPr>
                <w:rFonts w:hint="eastAsia" w:ascii="Times New Roman" w:hAnsi="Times New Roman" w:eastAsia="宋体" w:cs="Times New Roman"/>
                <w:lang w:val="en-US" w:eastAsia="zh-CN"/>
              </w:rPr>
              <w:t>不得</w:t>
            </w:r>
            <w:r>
              <w:rPr>
                <w:rFonts w:hint="eastAsia" w:ascii="Times New Roman" w:hAnsi="Times New Roman" w:eastAsia="宋体" w:cs="Times New Roman"/>
              </w:rPr>
              <w:t>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77" w:hRule="atLeast"/>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9</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default" w:ascii="宋体" w:hAnsi="宋体" w:eastAsia="宋体" w:cs="宋体"/>
                <w:szCs w:val="21"/>
                <w:lang w:val="en-US" w:eastAsia="zh-CN"/>
              </w:rPr>
            </w:pPr>
            <w:r>
              <w:rPr>
                <w:rFonts w:hint="eastAsia" w:ascii="Times New Roman" w:hAnsi="Times New Roman" w:eastAsia="宋体" w:cs="Times New Roman"/>
                <w:szCs w:val="21"/>
                <w:lang w:val="en-US" w:eastAsia="zh-CN"/>
              </w:rPr>
              <w:t>10</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法律、法规、规章、规范性文件规定的其他情形。</w:t>
            </w:r>
          </w:p>
        </w:tc>
      </w:tr>
    </w:tbl>
    <w:p>
      <w:pPr>
        <w:pStyle w:val="40"/>
        <w:widowControl/>
        <w:jc w:val="center"/>
        <w:outlineLvl w:val="1"/>
        <w:rPr>
          <w:rFonts w:hint="eastAsia" w:ascii="黑体" w:hAnsi="宋体" w:eastAsia="黑体" w:cs="黑体"/>
          <w:sz w:val="40"/>
          <w:szCs w:val="40"/>
        </w:r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pStyle w:val="40"/>
        <w:widowControl/>
        <w:jc w:val="center"/>
        <w:outlineLvl w:val="1"/>
        <w:rPr>
          <w:rFonts w:ascii="黑体" w:hAnsi="宋体" w:eastAsia="黑体" w:cs="黑体"/>
          <w:sz w:val="40"/>
          <w:szCs w:val="40"/>
        </w:rPr>
      </w:pPr>
      <w:r>
        <w:rPr>
          <w:rFonts w:hint="eastAsia" w:ascii="黑体" w:hAnsi="宋体" w:eastAsia="黑体" w:cs="黑体"/>
          <w:sz w:val="40"/>
          <w:szCs w:val="40"/>
        </w:rPr>
        <w:t>评标信息</w:t>
      </w:r>
    </w:p>
    <w:tbl>
      <w:tblPr>
        <w:tblStyle w:val="45"/>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63"/>
        <w:gridCol w:w="618"/>
        <w:gridCol w:w="681"/>
        <w:gridCol w:w="2837"/>
        <w:gridCol w:w="681"/>
        <w:gridCol w:w="4198"/>
        <w:gridCol w:w="6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jc w:val="left"/>
              <w:rPr>
                <w:rFonts w:ascii="宋体"/>
                <w:b/>
                <w:bCs/>
                <w:sz w:val="21"/>
                <w:szCs w:val="21"/>
              </w:rPr>
            </w:pPr>
            <w:r>
              <w:rPr>
                <w:b/>
                <w:bCs/>
                <w:sz w:val="21"/>
                <w:szCs w:val="21"/>
              </w:rPr>
              <w:t>评标方法：综合评分法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hint="eastAsia" w:eastAsia="宋体"/>
                <w:sz w:val="21"/>
                <w:szCs w:val="21"/>
                <w:lang w:eastAsia="zh-CN"/>
              </w:rPr>
            </w:pPr>
            <w:r>
              <w:rPr>
                <w:sz w:val="21"/>
                <w:szCs w:val="21"/>
              </w:rPr>
              <w:t>综合评分法，</w:t>
            </w:r>
            <w:r>
              <w:rPr>
                <w:rFonts w:hint="eastAsia"/>
                <w:sz w:val="21"/>
                <w:szCs w:val="21"/>
              </w:rPr>
              <w:t>是指投标文件满足招标文件全部实质性要求，且按照评审因素的量化指标评审得分</w:t>
            </w:r>
            <w:r>
              <w:rPr>
                <w:rFonts w:hint="eastAsia"/>
                <w:sz w:val="21"/>
                <w:szCs w:val="21"/>
                <w:lang w:val="en-US" w:eastAsia="zh-CN"/>
              </w:rPr>
              <w:t>排名前列</w:t>
            </w:r>
            <w:r>
              <w:rPr>
                <w:sz w:val="21"/>
                <w:szCs w:val="21"/>
              </w:rPr>
              <w:t>的投标人为中标候选人的评标方法。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r>
              <w:rPr>
                <w:sz w:val="21"/>
                <w:szCs w:val="21"/>
              </w:rPr>
              <w:t>价格分计算方法：</w:t>
            </w:r>
          </w:p>
          <w:p>
            <w:pPr>
              <w:pStyle w:val="40"/>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采用低价优先法计算，即满足招标文件要求且投标价格最低的投标报价为评标基准价，其价格分为满分。其他投标人的价格分统一按照下列公式计算： </w:t>
            </w:r>
          </w:p>
          <w:p>
            <w:pPr>
              <w:pStyle w:val="40"/>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投标报价得分=(评标基准价／投标报价)×100 </w:t>
            </w:r>
          </w:p>
          <w:p>
            <w:pPr>
              <w:pStyle w:val="40"/>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评标总得分＝F1×A1＋F2×A2＋……＋Fn×An </w:t>
            </w:r>
          </w:p>
          <w:p>
            <w:pPr>
              <w:pStyle w:val="40"/>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F1、F2……Fn分别为各项评审因素的得分； </w:t>
            </w:r>
          </w:p>
          <w:p>
            <w:pPr>
              <w:pStyle w:val="40"/>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A1、A2、……An 分别为各项评审因素所占的权重(A1＋A2＋……＋An＝1)。 </w:t>
            </w:r>
          </w:p>
          <w:p>
            <w:pPr>
              <w:pStyle w:val="40"/>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kern w:val="2"/>
                <w:sz w:val="21"/>
                <w:szCs w:val="21"/>
              </w:rPr>
            </w:pPr>
            <w:r>
              <w:rPr>
                <w:kern w:val="2"/>
                <w:sz w:val="21"/>
                <w:szCs w:val="21"/>
              </w:rPr>
              <w:t>评标过程中，不得去掉报价中的最高报价和最低报价。</w:t>
            </w:r>
          </w:p>
          <w:p>
            <w:pPr>
              <w:pStyle w:val="40"/>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kern w:val="2"/>
                <w:sz w:val="21"/>
                <w:szCs w:val="21"/>
              </w:rPr>
            </w:pPr>
            <w:r>
              <w:rPr>
                <w:rFonts w:hint="eastAsia"/>
                <w:kern w:val="2"/>
                <w:sz w:val="21"/>
                <w:szCs w:val="21"/>
              </w:rPr>
              <w:t>因落实政府采购政策进行价格调整的，以调整后的价格计算评标基准价和投标报价。</w:t>
            </w:r>
          </w:p>
          <w:p>
            <w:pPr>
              <w:pStyle w:val="40"/>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rHeight w:val="90" w:hRule="atLeast"/>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bookmarkStart w:id="2" w:name="_Hlk72360569"/>
            <w:r>
              <w:rPr>
                <w:rFonts w:ascii="宋体" w:hAnsi="宋体" w:cs="宋体"/>
                <w:b/>
                <w:bCs/>
                <w:kern w:val="0"/>
                <w:sz w:val="21"/>
                <w:szCs w:val="21"/>
                <w:lang w:bidi="ar"/>
              </w:rPr>
              <w:t>序号</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r>
              <w:rPr>
                <w:rFonts w:ascii="宋体" w:hAnsi="宋体" w:cs="宋体"/>
                <w:b/>
                <w:bCs/>
                <w:kern w:val="0"/>
                <w:sz w:val="21"/>
                <w:szCs w:val="21"/>
                <w:lang w:bidi="ar"/>
              </w:rPr>
              <w:t>评分项</w:t>
            </w:r>
          </w:p>
        </w:tc>
        <w:tc>
          <w:tcPr>
            <w:tcW w:w="4198"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r>
              <w:rPr>
                <w:rFonts w:ascii="宋体" w:hAnsi="宋体" w:cs="宋体"/>
                <w:b/>
                <w:bCs/>
                <w:kern w:val="0"/>
                <w:sz w:val="21"/>
                <w:szCs w:val="21"/>
                <w:lang w:bidi="ar"/>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1</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价格</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2</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技术部分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highlight w:val="none"/>
                <w:lang w:val="en-US" w:eastAsia="zh-CN"/>
              </w:rPr>
              <w:t>一般</w:t>
            </w:r>
            <w:r>
              <w:rPr>
                <w:rFonts w:hint="eastAsia" w:ascii="宋体" w:hAnsi="宋体" w:eastAsia="宋体" w:cs="宋体"/>
                <w:kern w:val="0"/>
                <w:sz w:val="21"/>
                <w:szCs w:val="21"/>
                <w:highlight w:val="none"/>
              </w:rPr>
              <w:t>技术要求偏离情况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50</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left"/>
              <w:textAlignment w:val="top"/>
              <w:rPr>
                <w:rFonts w:hint="eastAsia" w:ascii="宋体" w:hAnsi="宋体" w:eastAsia="宋体" w:cs="宋体"/>
                <w:sz w:val="21"/>
                <w:szCs w:val="21"/>
              </w:rPr>
            </w:pPr>
            <w:r>
              <w:rPr>
                <w:rFonts w:hint="eastAsia" w:ascii="宋体" w:hAnsi="宋体" w:eastAsia="宋体" w:cs="宋体"/>
                <w:sz w:val="21"/>
                <w:szCs w:val="21"/>
              </w:rPr>
              <w:t>（一）评分内容</w:t>
            </w:r>
          </w:p>
          <w:p>
            <w:pPr>
              <w:widowControl/>
              <w:wordWrap w:val="0"/>
              <w:jc w:val="left"/>
              <w:textAlignment w:val="top"/>
              <w:rPr>
                <w:rFonts w:hint="eastAsia" w:ascii="宋体" w:hAnsi="宋体" w:eastAsia="宋体" w:cs="宋体"/>
                <w:sz w:val="21"/>
                <w:szCs w:val="21"/>
              </w:rPr>
            </w:pPr>
            <w:r>
              <w:rPr>
                <w:rFonts w:hint="eastAsia" w:ascii="宋体" w:hAnsi="宋体" w:eastAsia="宋体" w:cs="宋体"/>
                <w:sz w:val="21"/>
                <w:szCs w:val="21"/>
              </w:rPr>
              <w:t>投标人根据“第三章 用户需求书”“技术要求”如实填写《技术要求偏离表》，评审委员会根据投标人的参数响应情况进行评价，所投产品一般技术参数（非</w:t>
            </w:r>
            <w:r>
              <w:rPr>
                <w:rFonts w:hint="eastAsia" w:ascii="宋体" w:hAnsi="宋体" w:eastAsia="宋体" w:cs="宋体"/>
                <w:kern w:val="0"/>
                <w:sz w:val="21"/>
                <w:szCs w:val="21"/>
              </w:rPr>
              <w:t>“★”</w:t>
            </w:r>
            <w:r>
              <w:rPr>
                <w:rFonts w:hint="eastAsia" w:ascii="宋体" w:hAnsi="宋体" w:eastAsia="宋体" w:cs="宋体"/>
                <w:sz w:val="21"/>
                <w:szCs w:val="21"/>
              </w:rPr>
              <w:t>“▲”指标项技术参数）全部满足得100分；有负偏离的，每负偏离一项扣</w:t>
            </w:r>
            <w:r>
              <w:rPr>
                <w:rFonts w:hint="eastAsia" w:ascii="宋体" w:hAnsi="宋体" w:cs="宋体"/>
                <w:sz w:val="21"/>
                <w:szCs w:val="21"/>
                <w:lang w:val="en-US" w:eastAsia="zh-CN"/>
              </w:rPr>
              <w:t>5</w:t>
            </w:r>
            <w:r>
              <w:rPr>
                <w:rFonts w:hint="eastAsia" w:ascii="宋体" w:hAnsi="宋体" w:eastAsia="宋体" w:cs="宋体"/>
                <w:sz w:val="21"/>
                <w:szCs w:val="21"/>
              </w:rPr>
              <w:t>分，扣完为止。</w:t>
            </w:r>
          </w:p>
          <w:p>
            <w:pPr>
              <w:widowControl/>
              <w:wordWrap w:val="0"/>
              <w:jc w:val="left"/>
              <w:textAlignment w:val="top"/>
              <w:rPr>
                <w:rFonts w:hint="eastAsia" w:ascii="宋体" w:hAnsi="宋体" w:eastAsia="宋体" w:cs="宋体"/>
                <w:sz w:val="21"/>
                <w:szCs w:val="21"/>
              </w:rPr>
            </w:pPr>
            <w:r>
              <w:rPr>
                <w:rFonts w:hint="eastAsia" w:ascii="宋体" w:hAnsi="宋体" w:eastAsia="宋体" w:cs="宋体"/>
                <w:sz w:val="21"/>
                <w:szCs w:val="21"/>
              </w:rPr>
              <w:t>（二）评分依据</w:t>
            </w:r>
          </w:p>
          <w:p>
            <w:pPr>
              <w:widowControl/>
              <w:wordWrap w:val="0"/>
              <w:jc w:val="left"/>
              <w:textAlignment w:val="top"/>
              <w:rPr>
                <w:rFonts w:hint="eastAsia" w:ascii="宋体" w:hAnsi="宋体" w:eastAsia="宋体" w:cs="宋体"/>
                <w:kern w:val="2"/>
                <w:sz w:val="21"/>
                <w:szCs w:val="21"/>
                <w:lang w:val="en-US" w:eastAsia="zh-CN" w:bidi="ar-SA"/>
              </w:rPr>
            </w:pPr>
            <w:r>
              <w:rPr>
                <w:rFonts w:hint="eastAsia" w:ascii="宋体" w:hAnsi="宋体" w:cs="宋体"/>
                <w:szCs w:val="21"/>
              </w:rPr>
              <w:t>提供《技术要求偏离表》。投标人未按具体的技术参数要求提供相关证明材料或者提供的证明材料不符合要求的或或评审专家无法凭所提供资料判断是否得分的，该项参数视为负偏离。技术参数未要求提供证明材料的，则无需提供材料证明，以《技术要求偏离表》响应的为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bookmarkStart w:id="3" w:name="OLE_LINK2" w:colFirst="2" w:colLast="2"/>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项目实施</w:t>
            </w:r>
            <w:r>
              <w:rPr>
                <w:rFonts w:hint="eastAsia" w:ascii="宋体" w:hAnsi="宋体" w:eastAsia="宋体" w:cs="宋体"/>
                <w:sz w:val="21"/>
                <w:szCs w:val="21"/>
              </w:rPr>
              <w:t>方案</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一）评分内容：</w:t>
            </w:r>
          </w:p>
          <w:p>
            <w:pPr>
              <w:rPr>
                <w:rFonts w:hint="eastAsia" w:ascii="宋体" w:hAnsi="宋体" w:eastAsia="宋体" w:cs="宋体"/>
                <w:sz w:val="21"/>
                <w:szCs w:val="21"/>
              </w:rPr>
            </w:pPr>
            <w:r>
              <w:rPr>
                <w:rFonts w:hint="eastAsia" w:ascii="宋体" w:hAnsi="宋体" w:eastAsia="宋体" w:cs="宋体"/>
                <w:sz w:val="21"/>
                <w:szCs w:val="21"/>
              </w:rPr>
              <w:t>根据招标文件要求提供配项目实施方案，内容应包括：</w:t>
            </w:r>
          </w:p>
          <w:p>
            <w:pPr>
              <w:rPr>
                <w:rFonts w:hint="eastAsia" w:ascii="宋体" w:hAnsi="宋体" w:eastAsia="宋体" w:cs="宋体"/>
                <w:sz w:val="21"/>
                <w:szCs w:val="21"/>
              </w:rPr>
            </w:pPr>
            <w:r>
              <w:rPr>
                <w:rFonts w:hint="eastAsia" w:ascii="宋体" w:hAnsi="宋体" w:eastAsia="宋体" w:cs="宋体"/>
                <w:sz w:val="21"/>
                <w:szCs w:val="21"/>
              </w:rPr>
              <w:t>①实施步骤；</w:t>
            </w:r>
          </w:p>
          <w:p>
            <w:pPr>
              <w:rPr>
                <w:rFonts w:hint="eastAsia" w:ascii="宋体" w:hAnsi="宋体" w:eastAsia="宋体" w:cs="宋体"/>
                <w:sz w:val="21"/>
                <w:szCs w:val="21"/>
              </w:rPr>
            </w:pPr>
            <w:r>
              <w:rPr>
                <w:rFonts w:hint="eastAsia" w:ascii="宋体" w:hAnsi="宋体" w:eastAsia="宋体" w:cs="宋体"/>
                <w:sz w:val="21"/>
                <w:szCs w:val="21"/>
              </w:rPr>
              <w:t>②交货安排；</w:t>
            </w:r>
          </w:p>
          <w:p>
            <w:pPr>
              <w:rPr>
                <w:rFonts w:hint="eastAsia" w:ascii="宋体" w:hAnsi="宋体" w:eastAsia="宋体" w:cs="宋体"/>
                <w:sz w:val="21"/>
                <w:szCs w:val="21"/>
              </w:rPr>
            </w:pPr>
            <w:r>
              <w:rPr>
                <w:rFonts w:hint="eastAsia" w:ascii="宋体" w:hAnsi="宋体" w:eastAsia="宋体" w:cs="宋体"/>
                <w:sz w:val="21"/>
                <w:szCs w:val="21"/>
              </w:rPr>
              <w:t>③设备调试；</w:t>
            </w:r>
          </w:p>
          <w:p>
            <w:pPr>
              <w:rPr>
                <w:rFonts w:hint="eastAsia" w:ascii="宋体" w:hAnsi="宋体" w:eastAsia="宋体" w:cs="宋体"/>
                <w:sz w:val="21"/>
                <w:szCs w:val="21"/>
              </w:rPr>
            </w:pPr>
            <w:r>
              <w:rPr>
                <w:rFonts w:hint="eastAsia" w:ascii="宋体" w:hAnsi="宋体" w:eastAsia="宋体" w:cs="宋体"/>
                <w:sz w:val="21"/>
                <w:szCs w:val="21"/>
              </w:rPr>
              <w:t>④质量保证；</w:t>
            </w:r>
          </w:p>
          <w:p>
            <w:pPr>
              <w:rPr>
                <w:rFonts w:hint="eastAsia" w:ascii="宋体" w:hAnsi="宋体" w:eastAsia="宋体" w:cs="宋体"/>
                <w:sz w:val="21"/>
                <w:szCs w:val="21"/>
                <w:lang w:eastAsia="zh-CN"/>
              </w:rPr>
            </w:pPr>
            <w:r>
              <w:rPr>
                <w:rFonts w:hint="eastAsia" w:ascii="宋体" w:hAnsi="宋体" w:eastAsia="宋体" w:cs="宋体"/>
                <w:sz w:val="21"/>
                <w:szCs w:val="21"/>
              </w:rPr>
              <w:t>⑤应急预案</w:t>
            </w:r>
            <w:r>
              <w:rPr>
                <w:rFonts w:hint="eastAsia" w:ascii="宋体" w:hAnsi="宋体" w:cs="宋体"/>
                <w:sz w:val="21"/>
                <w:szCs w:val="21"/>
                <w:lang w:eastAsia="zh-CN"/>
              </w:rPr>
              <w:t>。</w:t>
            </w:r>
          </w:p>
          <w:p>
            <w:pPr>
              <w:rPr>
                <w:rFonts w:hint="eastAsia" w:ascii="宋体" w:hAnsi="宋体" w:eastAsia="宋体" w:cs="宋体"/>
                <w:sz w:val="21"/>
                <w:szCs w:val="21"/>
              </w:rPr>
            </w:pPr>
            <w:r>
              <w:rPr>
                <w:rFonts w:hint="eastAsia" w:ascii="宋体" w:hAnsi="宋体" w:eastAsia="宋体" w:cs="宋体"/>
                <w:sz w:val="21"/>
                <w:szCs w:val="21"/>
              </w:rPr>
              <w:t>（二）评分依据：</w:t>
            </w:r>
          </w:p>
          <w:p>
            <w:pPr>
              <w:rPr>
                <w:rFonts w:hint="eastAsia" w:ascii="宋体" w:hAnsi="宋体" w:eastAsia="宋体" w:cs="宋体"/>
                <w:sz w:val="21"/>
                <w:szCs w:val="21"/>
              </w:rPr>
            </w:pPr>
            <w:r>
              <w:rPr>
                <w:rFonts w:hint="eastAsia" w:ascii="宋体" w:hAnsi="宋体" w:eastAsia="宋体" w:cs="宋体"/>
                <w:sz w:val="21"/>
                <w:szCs w:val="21"/>
              </w:rPr>
              <w:t>1、每提供上述任意一项内容得12分，本小项累计最高得</w:t>
            </w:r>
            <w:r>
              <w:rPr>
                <w:rFonts w:hint="eastAsia" w:ascii="宋体" w:hAnsi="宋体" w:eastAsia="宋体" w:cs="宋体"/>
                <w:sz w:val="21"/>
                <w:szCs w:val="21"/>
                <w:lang w:val="en-US" w:eastAsia="zh-CN"/>
              </w:rPr>
              <w:t>60</w:t>
            </w:r>
            <w:r>
              <w:rPr>
                <w:rFonts w:hint="eastAsia" w:ascii="宋体" w:hAnsi="宋体" w:eastAsia="宋体" w:cs="宋体"/>
                <w:sz w:val="21"/>
                <w:szCs w:val="21"/>
              </w:rPr>
              <w:t>分；</w:t>
            </w:r>
          </w:p>
          <w:p>
            <w:pPr>
              <w:rPr>
                <w:rFonts w:hint="eastAsia" w:ascii="宋体" w:hAnsi="宋体" w:eastAsia="宋体" w:cs="宋体"/>
                <w:sz w:val="21"/>
                <w:szCs w:val="21"/>
              </w:rPr>
            </w:pPr>
            <w:r>
              <w:rPr>
                <w:rFonts w:hint="eastAsia" w:ascii="宋体" w:hAnsi="宋体" w:eastAsia="宋体" w:cs="宋体"/>
                <w:sz w:val="21"/>
                <w:szCs w:val="21"/>
              </w:rPr>
              <w:t>2、在此基础上，专家根据各供应商的具体响应内容按照量化的评审因素指标进一步评审：</w:t>
            </w:r>
          </w:p>
          <w:p>
            <w:pPr>
              <w:rPr>
                <w:rFonts w:hint="eastAsia" w:ascii="宋体" w:hAnsi="宋体" w:eastAsia="宋体" w:cs="宋体"/>
                <w:sz w:val="21"/>
                <w:szCs w:val="21"/>
              </w:rPr>
            </w:pPr>
            <w:r>
              <w:rPr>
                <w:rFonts w:hint="eastAsia" w:ascii="宋体" w:hAnsi="宋体" w:eastAsia="宋体" w:cs="宋体"/>
                <w:sz w:val="21"/>
                <w:szCs w:val="21"/>
              </w:rPr>
              <w:t>（1）方案整体科学合理、针对性强、可操作性强，评审为优的，加40分；</w:t>
            </w:r>
          </w:p>
          <w:p>
            <w:pPr>
              <w:rPr>
                <w:rFonts w:hint="eastAsia" w:ascii="宋体" w:hAnsi="宋体" w:eastAsia="宋体" w:cs="宋体"/>
                <w:sz w:val="21"/>
                <w:szCs w:val="21"/>
              </w:rPr>
            </w:pPr>
            <w:r>
              <w:rPr>
                <w:rFonts w:hint="eastAsia" w:ascii="宋体" w:hAnsi="宋体" w:eastAsia="宋体" w:cs="宋体"/>
                <w:sz w:val="21"/>
                <w:szCs w:val="21"/>
              </w:rPr>
              <w:t>（2）方案较合理、有一定针对性、一定可操作性，评审为良的，加25分；</w:t>
            </w:r>
          </w:p>
          <w:p>
            <w:pPr>
              <w:rPr>
                <w:rFonts w:hint="eastAsia" w:ascii="宋体" w:hAnsi="宋体" w:eastAsia="宋体" w:cs="宋体"/>
                <w:sz w:val="21"/>
                <w:szCs w:val="21"/>
              </w:rPr>
            </w:pPr>
            <w:r>
              <w:rPr>
                <w:rFonts w:hint="eastAsia" w:ascii="宋体" w:hAnsi="宋体" w:eastAsia="宋体" w:cs="宋体"/>
                <w:sz w:val="21"/>
                <w:szCs w:val="21"/>
              </w:rPr>
              <w:t>（3）方案不尽合理、针对性一般、可操作性一般，评审为中的，加10分；</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（4）方案不合理、无针对性、无可操作性，评审为差的，加0分。</w:t>
            </w:r>
          </w:p>
        </w:tc>
      </w:tr>
      <w:bookmarkEnd w:id="3"/>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3</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商务</w:t>
            </w:r>
            <w:r>
              <w:rPr>
                <w:rFonts w:hint="eastAsia" w:ascii="宋体" w:hAnsi="宋体" w:cs="宋体"/>
                <w:b/>
                <w:bCs/>
                <w:color w:val="0000FF"/>
                <w:kern w:val="0"/>
                <w:sz w:val="21"/>
                <w:szCs w:val="21"/>
                <w:lang w:bidi="ar"/>
              </w:rPr>
              <w:t>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免费保修期时长</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sz w:val="21"/>
                <w:szCs w:val="21"/>
              </w:rPr>
            </w:pPr>
            <w:r>
              <w:rPr>
                <w:rFonts w:hint="eastAsia" w:ascii="宋体" w:hAnsi="宋体" w:eastAsia="宋体" w:cs="宋体"/>
                <w:sz w:val="21"/>
                <w:szCs w:val="21"/>
              </w:rPr>
              <w:t>（一）评分内容：</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在满足提供主机及配件免费保修期要求的情况下，提供主机及配件免费保修期每增加1年得</w:t>
            </w:r>
            <w:r>
              <w:rPr>
                <w:rFonts w:hint="eastAsia" w:ascii="宋体" w:hAnsi="宋体" w:cs="宋体"/>
                <w:sz w:val="21"/>
                <w:szCs w:val="21"/>
                <w:lang w:val="en-US" w:eastAsia="zh-CN"/>
              </w:rPr>
              <w:t>25</w:t>
            </w:r>
            <w:r>
              <w:rPr>
                <w:rFonts w:hint="eastAsia" w:ascii="宋体" w:hAnsi="宋体" w:eastAsia="宋体" w:cs="宋体"/>
                <w:sz w:val="21"/>
                <w:szCs w:val="21"/>
                <w:lang w:val="en-US" w:eastAsia="zh-CN"/>
              </w:rPr>
              <w:t>分，满分100分。</w:t>
            </w:r>
          </w:p>
          <w:p>
            <w:pPr>
              <w:rPr>
                <w:rFonts w:hint="eastAsia" w:ascii="宋体" w:hAnsi="宋体" w:eastAsia="宋体" w:cs="宋体"/>
                <w:sz w:val="21"/>
                <w:szCs w:val="21"/>
              </w:rPr>
            </w:pPr>
            <w:r>
              <w:rPr>
                <w:rFonts w:hint="eastAsia" w:ascii="宋体" w:hAnsi="宋体" w:eastAsia="宋体" w:cs="宋体"/>
                <w:sz w:val="21"/>
                <w:szCs w:val="21"/>
              </w:rPr>
              <w:t>（二）评分依据：</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投标人提供承诺函（格式自拟）。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2"/>
                <w:sz w:val="21"/>
                <w:szCs w:val="21"/>
                <w:lang w:val="en-US" w:eastAsia="zh-CN"/>
              </w:rPr>
              <w:t>同类业绩</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sz w:val="21"/>
                <w:szCs w:val="21"/>
              </w:rPr>
            </w:pPr>
            <w:r>
              <w:rPr>
                <w:rFonts w:hint="eastAsia" w:ascii="宋体" w:hAnsi="宋体" w:eastAsia="宋体" w:cs="宋体"/>
                <w:sz w:val="21"/>
                <w:szCs w:val="21"/>
              </w:rPr>
              <w:t>（一）评分内容：</w:t>
            </w:r>
          </w:p>
          <w:p>
            <w:pPr>
              <w:rPr>
                <w:rFonts w:hint="eastAsia" w:ascii="宋体" w:hAnsi="宋体" w:eastAsia="宋体" w:cs="宋体"/>
                <w:sz w:val="21"/>
                <w:szCs w:val="21"/>
              </w:rPr>
            </w:pPr>
            <w:r>
              <w:rPr>
                <w:rFonts w:hint="eastAsia" w:ascii="宋体" w:hAnsi="宋体" w:eastAsia="宋体" w:cs="宋体"/>
                <w:sz w:val="21"/>
                <w:szCs w:val="21"/>
              </w:rPr>
              <w:t>自2021年1月1日至本项目投标截止日前（以合同签订日期为准），投标人</w:t>
            </w:r>
            <w:r>
              <w:rPr>
                <w:rFonts w:hint="eastAsia" w:ascii="宋体" w:hAnsi="宋体" w:eastAsia="宋体" w:cs="宋体"/>
                <w:sz w:val="21"/>
                <w:szCs w:val="21"/>
                <w:lang w:val="en-US" w:eastAsia="zh-CN"/>
              </w:rPr>
              <w:t>或产品制造商具有</w:t>
            </w:r>
            <w:r>
              <w:rPr>
                <w:rFonts w:hint="eastAsia" w:ascii="宋体" w:hAnsi="宋体" w:eastAsia="宋体" w:cs="宋体"/>
                <w:sz w:val="21"/>
                <w:szCs w:val="21"/>
              </w:rPr>
              <w:t>本项目所投核心产品</w:t>
            </w:r>
            <w:r>
              <w:rPr>
                <w:rFonts w:hint="eastAsia" w:ascii="宋体" w:hAnsi="宋体" w:cs="宋体"/>
                <w:sz w:val="21"/>
                <w:szCs w:val="21"/>
                <w:lang w:eastAsia="zh-CN"/>
              </w:rPr>
              <w:t>（</w:t>
            </w:r>
            <w:r>
              <w:rPr>
                <w:rFonts w:hint="eastAsia" w:ascii="宋体" w:hAnsi="宋体" w:cs="宋体"/>
                <w:sz w:val="21"/>
                <w:szCs w:val="21"/>
                <w:lang w:val="en-US" w:eastAsia="zh-CN"/>
              </w:rPr>
              <w:t>同一品牌、型号</w:t>
            </w:r>
            <w:r>
              <w:rPr>
                <w:rFonts w:hint="eastAsia" w:ascii="宋体" w:hAnsi="宋体" w:cs="宋体"/>
                <w:sz w:val="21"/>
                <w:szCs w:val="21"/>
                <w:lang w:eastAsia="zh-CN"/>
              </w:rPr>
              <w:t>）</w:t>
            </w:r>
            <w:r>
              <w:rPr>
                <w:rFonts w:hint="eastAsia" w:ascii="宋体" w:hAnsi="宋体" w:eastAsia="宋体" w:cs="宋体"/>
                <w:sz w:val="21"/>
                <w:szCs w:val="21"/>
              </w:rPr>
              <w:t>的销售业绩，每提供1份得</w:t>
            </w:r>
            <w:r>
              <w:rPr>
                <w:rFonts w:hint="eastAsia" w:ascii="宋体" w:hAnsi="宋体" w:cs="宋体"/>
                <w:sz w:val="21"/>
                <w:szCs w:val="21"/>
                <w:lang w:val="en-US" w:eastAsia="zh-CN"/>
              </w:rPr>
              <w:t>25</w:t>
            </w:r>
            <w:r>
              <w:rPr>
                <w:rFonts w:hint="eastAsia" w:ascii="宋体" w:hAnsi="宋体" w:eastAsia="宋体" w:cs="宋体"/>
                <w:sz w:val="21"/>
                <w:szCs w:val="21"/>
              </w:rPr>
              <w:t>分，本项累计最高得100分。</w:t>
            </w:r>
          </w:p>
          <w:p>
            <w:pPr>
              <w:rPr>
                <w:rFonts w:hint="eastAsia" w:ascii="宋体" w:hAnsi="宋体" w:eastAsia="宋体" w:cs="宋体"/>
                <w:sz w:val="21"/>
                <w:szCs w:val="21"/>
              </w:rPr>
            </w:pPr>
            <w:r>
              <w:rPr>
                <w:rFonts w:hint="eastAsia" w:ascii="宋体" w:hAnsi="宋体" w:eastAsia="宋体" w:cs="宋体"/>
                <w:sz w:val="21"/>
                <w:szCs w:val="21"/>
              </w:rPr>
              <w:t>（二）评分依据：</w:t>
            </w:r>
          </w:p>
          <w:p>
            <w:pPr>
              <w:rPr>
                <w:rFonts w:hint="eastAsia" w:ascii="宋体" w:hAnsi="宋体" w:eastAsia="宋体" w:cs="宋体"/>
                <w:sz w:val="21"/>
                <w:szCs w:val="21"/>
              </w:rPr>
            </w:pPr>
            <w:r>
              <w:rPr>
                <w:rFonts w:hint="eastAsia" w:ascii="宋体" w:hAnsi="宋体" w:eastAsia="宋体" w:cs="宋体"/>
                <w:sz w:val="21"/>
                <w:szCs w:val="21"/>
              </w:rPr>
              <w:t>1.提供销售合同关键页</w:t>
            </w:r>
            <w:r>
              <w:rPr>
                <w:rFonts w:hint="eastAsia" w:ascii="宋体" w:hAnsi="宋体" w:cs="宋体"/>
                <w:sz w:val="21"/>
                <w:szCs w:val="21"/>
                <w:lang w:eastAsia="zh-CN"/>
              </w:rPr>
              <w:t>【</w:t>
            </w:r>
            <w:r>
              <w:rPr>
                <w:rFonts w:hint="eastAsia" w:ascii="宋体" w:hAnsi="宋体" w:eastAsia="宋体" w:cs="宋体"/>
                <w:sz w:val="21"/>
                <w:szCs w:val="21"/>
              </w:rPr>
              <w:t>包括但不限于合同（项目）名称、合同采购内容、签订日期、合同双方签字盖章页</w:t>
            </w:r>
            <w:r>
              <w:rPr>
                <w:rFonts w:hint="eastAsia" w:ascii="宋体" w:hAnsi="宋体" w:cs="宋体"/>
                <w:sz w:val="21"/>
                <w:szCs w:val="21"/>
                <w:lang w:eastAsia="zh-CN"/>
              </w:rPr>
              <w:t>】</w:t>
            </w:r>
            <w:r>
              <w:rPr>
                <w:rFonts w:hint="eastAsia" w:ascii="宋体" w:hAnsi="宋体" w:eastAsia="宋体" w:cs="宋体"/>
                <w:sz w:val="21"/>
                <w:szCs w:val="21"/>
              </w:rPr>
              <w:t>，原件备查。</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2.未提供或提供不清晰导致无法识别的不得分。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eastAsia" w:eastAsia="宋体"/>
                <w:b/>
                <w:bCs/>
                <w:color w:val="0000FF"/>
                <w:sz w:val="21"/>
                <w:szCs w:val="21"/>
                <w:lang w:eastAsia="zh-CN"/>
              </w:rPr>
            </w:pPr>
            <w:r>
              <w:rPr>
                <w:rFonts w:hint="eastAsia" w:ascii="宋体" w:hAnsi="宋体" w:cs="宋体"/>
                <w:b/>
                <w:bCs/>
                <w:color w:val="0000FF"/>
                <w:kern w:val="0"/>
                <w:sz w:val="21"/>
                <w:szCs w:val="21"/>
                <w:lang w:val="en-US" w:eastAsia="zh-CN" w:bidi="ar"/>
              </w:rPr>
              <w:t>4</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hint="eastAsia" w:ascii="宋体" w:hAnsi="宋体" w:cs="宋体"/>
                <w:b/>
                <w:bCs/>
                <w:color w:val="0000FF"/>
                <w:kern w:val="0"/>
                <w:sz w:val="21"/>
                <w:szCs w:val="21"/>
                <w:lang w:bidi="ar"/>
              </w:rPr>
              <w:t>诚信情况</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诚信情况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tcPr>
          <w:p>
            <w:pPr>
              <w:pStyle w:val="9"/>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hint="eastAsia" w:asciiTheme="minorEastAsia" w:hAnsiTheme="minorEastAsia" w:eastAsiaTheme="minorEastAsia" w:cstheme="minorEastAsia"/>
                <w:b w:val="0"/>
                <w:bCs w:val="0"/>
                <w:sz w:val="21"/>
                <w:szCs w:val="21"/>
                <w:lang w:val="en-US" w:eastAsia="zh-CN"/>
              </w:rPr>
              <w:t>有关</w:t>
            </w:r>
            <w:r>
              <w:rPr>
                <w:rFonts w:hint="eastAsia" w:asciiTheme="minorEastAsia" w:hAnsiTheme="minorEastAsia" w:eastAsiaTheme="minorEastAsia" w:cstheme="minorEastAsia"/>
                <w:b w:val="0"/>
                <w:bCs w:val="0"/>
                <w:sz w:val="21"/>
                <w:szCs w:val="21"/>
              </w:rPr>
              <w:t>供应商诚信查询结果。</w:t>
            </w:r>
          </w:p>
          <w:p>
            <w:pPr>
              <w:pStyle w:val="9"/>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sz w:val="21"/>
                <w:szCs w:val="21"/>
              </w:rPr>
            </w:pPr>
            <w:r>
              <w:rPr>
                <w:rFonts w:hint="eastAsia" w:asciiTheme="minorEastAsia" w:hAnsiTheme="minorEastAsia" w:eastAsiaTheme="minorEastAsia" w:cstheme="minorEastAsia"/>
                <w:b w:val="0"/>
                <w:bCs w:val="0"/>
                <w:sz w:val="21"/>
                <w:szCs w:val="21"/>
                <w:lang w:val="en-US" w:eastAsia="zh-CN"/>
              </w:rPr>
              <w:t>查询渠道：通过“信用中国”（www.creditchina.gov.cn，下载信用信息报告）、“中国政府采购网”（www.ccgp.gov.cn）以及“深圳市政府采购监管网”（http://zfcg.sz.gov.cn）查询供应商信用信息，信用信息以开标当日的查询结果为准。</w:t>
            </w:r>
          </w:p>
        </w:tc>
      </w:tr>
      <w:bookmarkEnd w:id="2"/>
    </w:tbl>
    <w:p>
      <w:p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jc w:val="center"/>
        <w:rPr>
          <w:b/>
          <w:sz w:val="84"/>
          <w:szCs w:val="84"/>
        </w:rPr>
      </w:pPr>
    </w:p>
    <w:p>
      <w:pPr>
        <w:jc w:val="center"/>
        <w:rPr>
          <w:b/>
          <w:sz w:val="84"/>
          <w:szCs w:val="84"/>
        </w:rPr>
      </w:pPr>
    </w:p>
    <w:p>
      <w:pPr>
        <w:jc w:val="center"/>
        <w:rPr>
          <w:b/>
          <w:sz w:val="84"/>
          <w:szCs w:val="84"/>
        </w:rPr>
      </w:pPr>
    </w:p>
    <w:p>
      <w:pPr>
        <w:jc w:val="center"/>
        <w:rPr>
          <w:rFonts w:ascii="Times New Roman" w:hAnsi="Times New Roman" w:eastAsia="宋体" w:cs="Times New Roman"/>
          <w:b/>
          <w:sz w:val="120"/>
          <w:szCs w:val="120"/>
        </w:rPr>
      </w:pPr>
      <w:r>
        <w:rPr>
          <w:rFonts w:hint="eastAsia" w:ascii="Times New Roman" w:hAnsi="Times New Roman" w:eastAsia="宋体" w:cs="Times New Roman"/>
          <w:b/>
          <w:sz w:val="120"/>
          <w:szCs w:val="120"/>
        </w:rPr>
        <w:t>自行采购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（货物类）</w:t>
      </w:r>
    </w:p>
    <w:p/>
    <w:p/>
    <w:p/>
    <w:p/>
    <w:p/>
    <w:p/>
    <w:p/>
    <w:p/>
    <w:p/>
    <w:p/>
    <w:p/>
    <w:p/>
    <w:p/>
    <w:p/>
    <w:p/>
    <w:p/>
    <w:p/>
    <w:p/>
    <w:p/>
    <w:p>
      <w:pPr>
        <w:jc w:val="center"/>
        <w:rPr>
          <w:b/>
          <w:sz w:val="44"/>
          <w:szCs w:val="44"/>
        </w:rPr>
      </w:pPr>
      <w:bookmarkStart w:id="4" w:name="_Hlk71465316"/>
      <w:r>
        <w:rPr>
          <w:rFonts w:hint="eastAsia"/>
          <w:b/>
          <w:sz w:val="44"/>
          <w:szCs w:val="44"/>
        </w:rPr>
        <w:t>深圳公共资源交易中心</w:t>
      </w:r>
    </w:p>
    <w:p>
      <w:pPr>
        <w:jc w:val="center"/>
        <w:rPr>
          <w:b/>
          <w:sz w:val="44"/>
          <w:szCs w:val="44"/>
        </w:rPr>
      </w:pPr>
      <w:r>
        <w:rPr>
          <w:rFonts w:hint="eastAsia"/>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b/>
          <w:sz w:val="44"/>
          <w:szCs w:val="44"/>
        </w:rPr>
        <w:t>）</w:t>
      </w:r>
    </w:p>
    <w:bookmarkEnd w:id="4"/>
    <w:p>
      <w:pPr>
        <w:widowControl/>
        <w:jc w:val="center"/>
      </w:pPr>
    </w:p>
    <w:p>
      <w:pPr>
        <w:widowControl/>
        <w:jc w:val="center"/>
      </w:pPr>
      <w:r>
        <w:br w:type="page"/>
      </w:r>
    </w:p>
    <w:p>
      <w:pPr>
        <w:jc w:val="center"/>
        <w:rPr>
          <w:rFonts w:hint="eastAsia" w:ascii="宋体" w:hAnsi="宋体" w:eastAsia="宋体" w:cs="Times New Roman"/>
          <w:color w:val="FF0000"/>
          <w:szCs w:val="21"/>
        </w:rPr>
      </w:pPr>
      <w:bookmarkStart w:id="5" w:name="_Hlk72218009"/>
      <w:r>
        <w:rPr>
          <w:rFonts w:hint="eastAsia" w:ascii="宋体" w:hAnsi="宋体" w:eastAsia="黑体" w:cs="Times New Roman"/>
          <w:b/>
          <w:bCs/>
          <w:color w:val="FF0000"/>
          <w:kern w:val="44"/>
          <w:sz w:val="28"/>
          <w:szCs w:val="44"/>
        </w:rPr>
        <w:t>警示条款</w:t>
      </w:r>
    </w:p>
    <w:p>
      <w:pPr>
        <w:ind w:firstLine="400" w:firstLineChars="200"/>
        <w:rPr>
          <w:rFonts w:hint="eastAsia" w:ascii="宋体" w:hAnsi="宋体" w:eastAsia="宋体" w:cs="Times New Roman"/>
          <w:color w:val="FF0000"/>
          <w:sz w:val="20"/>
          <w:szCs w:val="20"/>
        </w:rPr>
      </w:pP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本项目为自行采购项目，参照《深圳经济特区政府采购条例》、《深圳经济特区政府采购条例实施细则》及政府采购其他法律法规，按照采购人内控制度，通过公开招标方式确定中标供应商。</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w:t>
      </w:r>
      <w:r>
        <w:rPr>
          <w:rFonts w:hint="eastAsia" w:ascii="宋体" w:hAnsi="宋体" w:eastAsia="宋体" w:cs="Times New Roman"/>
          <w:b/>
          <w:bCs/>
          <w:color w:val="FF0000"/>
          <w:sz w:val="20"/>
          <w:szCs w:val="20"/>
        </w:rPr>
        <w:t>《深圳经济特区政府采购条例》第五十七条</w:t>
      </w:r>
      <w:r>
        <w:rPr>
          <w:rFonts w:hint="eastAsia" w:ascii="宋体" w:hAnsi="宋体" w:eastAsia="宋体" w:cs="Times New Roman"/>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（一）在采购活动中应当回避而未回避的；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（二）未按本条例规定签订、履行采购合同，造成严重后果的；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（三）隐瞒真实情况，提供虚假资料的；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（四）以非法手段排斥其他供应商参与竞争的；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（五）与其他采购参加人串通投标的；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（六）恶意投诉的；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（七）向采购项目相关人行贿或者提供其他不当利益的；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（八）阻碍、抗拒主管部门监督检查的；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（九）其他违反本条例规定的行为。</w:t>
      </w:r>
    </w:p>
    <w:p>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二、《深圳经济特区政府采购条例实施细则》第七十五条 </w:t>
      </w:r>
      <w:r>
        <w:rPr>
          <w:rFonts w:hint="eastAsia" w:ascii="宋体" w:hAnsi="宋体" w:eastAsia="宋体" w:cs="Times New Roman"/>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三、《深圳经济特区政府采购条例实施细则》第七十七条 </w:t>
      </w:r>
      <w:r>
        <w:rPr>
          <w:rFonts w:hint="eastAsia" w:ascii="宋体" w:hAnsi="宋体" w:eastAsia="宋体" w:cs="Times New Roman"/>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投标供应商不能提供项目负责人或者主要技术人员的劳动合同、社会保险等劳动关系证明材料的，视为存在前款第（三）项规定的情形。</w:t>
      </w:r>
    </w:p>
    <w:p>
      <w:pPr>
        <w:ind w:firstLine="422" w:firstLineChars="200"/>
        <w:rPr>
          <w:rFonts w:hint="eastAsia" w:ascii="Times New Roman" w:hAnsi="Times New Roman" w:eastAsia="宋体" w:cs="Times New Roman"/>
          <w:b/>
          <w:color w:val="FF0000"/>
        </w:rPr>
      </w:pPr>
      <w:r>
        <w:rPr>
          <w:rFonts w:hint="eastAsia" w:ascii="Times New Roman" w:hAnsi="Times New Roman" w:eastAsia="宋体" w:cs="Times New Roman"/>
          <w:b/>
          <w:color w:val="FF0000"/>
        </w:rPr>
        <w:t>四、请投标供应商阅读《采购违法行为风险知悉确认书》（内容详见“第四章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ind w:firstLine="400" w:firstLineChars="200"/>
        <w:rPr>
          <w:rFonts w:ascii="宋体" w:hAnsi="宋体" w:eastAsia="宋体" w:cs="Times New Roman"/>
          <w:color w:val="FF0000"/>
          <w:sz w:val="20"/>
          <w:szCs w:val="20"/>
        </w:rPr>
      </w:pPr>
      <w:r>
        <w:rPr>
          <w:rFonts w:hint="eastAsia" w:ascii="宋体" w:hAnsi="宋体" w:eastAsia="宋体" w:cs="Times New Roman"/>
          <w:color w:val="FF0000"/>
          <w:sz w:val="20"/>
          <w:szCs w:val="20"/>
        </w:rPr>
        <w:t>五、</w:t>
      </w:r>
      <w:r>
        <w:rPr>
          <w:rFonts w:ascii="宋体" w:hAnsi="宋体" w:eastAsia="宋体" w:cs="Times New Roman"/>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pPr>
        <w:rPr>
          <w:rFonts w:ascii="宋体" w:hAnsi="宋体" w:eastAsia="宋体" w:cs="Times New Roman"/>
          <w:color w:val="FF0000"/>
          <w:sz w:val="20"/>
          <w:szCs w:val="20"/>
        </w:rPr>
      </w:pPr>
      <w:r>
        <w:rPr>
          <w:rFonts w:ascii="宋体" w:hAnsi="宋体" w:eastAsia="宋体" w:cs="Times New Roman"/>
          <w:color w:val="FF0000"/>
          <w:sz w:val="20"/>
          <w:szCs w:val="20"/>
        </w:rPr>
        <w:br w:type="page"/>
      </w:r>
    </w:p>
    <w:p>
      <w:pPr>
        <w:keepNext w:val="0"/>
        <w:keepLines w:val="0"/>
        <w:pageBreakBefore w:val="0"/>
        <w:widowControl w:val="0"/>
        <w:kinsoku/>
        <w:wordWrap/>
        <w:overflowPunct/>
        <w:topLinePunct w:val="0"/>
        <w:autoSpaceDE/>
        <w:autoSpaceDN/>
        <w:bidi w:val="0"/>
        <w:adjustRightInd/>
        <w:snapToGrid/>
        <w:spacing w:before="464" w:beforeLines="100" w:after="464" w:afterLines="100"/>
        <w:jc w:val="center"/>
        <w:textAlignment w:val="auto"/>
        <w:rPr>
          <w:rFonts w:hint="eastAsia" w:ascii="黑体" w:hAnsi="黑体" w:eastAsia="黑体" w:cs="黑体"/>
          <w:b/>
          <w:bCs/>
          <w:sz w:val="28"/>
          <w:szCs w:val="36"/>
        </w:rPr>
      </w:pPr>
      <w:r>
        <w:rPr>
          <w:rFonts w:hint="eastAsia" w:ascii="黑体" w:hAnsi="黑体" w:eastAsia="黑体" w:cs="黑体"/>
          <w:b/>
          <w:bCs/>
          <w:sz w:val="28"/>
          <w:szCs w:val="36"/>
        </w:rPr>
        <w:t>目   录</w:t>
      </w:r>
    </w:p>
    <w:p>
      <w:pPr>
        <w:outlineLvl w:val="0"/>
        <w:rPr>
          <w:b/>
          <w:sz w:val="24"/>
        </w:rPr>
      </w:pPr>
      <w:r>
        <w:rPr>
          <w:rFonts w:hint="eastAsia"/>
          <w:b/>
          <w:sz w:val="24"/>
        </w:rPr>
        <w:t xml:space="preserve">第一册  </w:t>
      </w:r>
      <w:r>
        <w:rPr>
          <w:rFonts w:hint="eastAsia"/>
          <w:b/>
          <w:sz w:val="24"/>
          <w:lang w:val="en-US" w:eastAsia="zh-CN"/>
        </w:rPr>
        <w:t xml:space="preserve">  </w:t>
      </w:r>
      <w:r>
        <w:rPr>
          <w:rFonts w:hint="eastAsia"/>
          <w:b/>
          <w:sz w:val="24"/>
        </w:rPr>
        <w:t>专用条款</w:t>
      </w:r>
    </w:p>
    <w:p>
      <w:pPr>
        <w:ind w:firstLine="960" w:firstLineChars="400"/>
        <w:rPr>
          <w:sz w:val="24"/>
        </w:rPr>
      </w:pPr>
      <w:r>
        <w:rPr>
          <w:rFonts w:hint="eastAsia"/>
          <w:sz w:val="24"/>
        </w:rPr>
        <w:t>关键信息</w:t>
      </w:r>
    </w:p>
    <w:p>
      <w:pPr>
        <w:ind w:left="630" w:leftChars="300" w:firstLine="630" w:firstLineChars="300"/>
        <w:rPr>
          <w:rFonts w:ascii="宋体" w:hAnsi="宋体"/>
          <w:szCs w:val="21"/>
        </w:rPr>
      </w:pPr>
      <w:r>
        <w:rPr>
          <w:rFonts w:hint="eastAsia" w:ascii="宋体" w:hAnsi="宋体"/>
          <w:szCs w:val="21"/>
        </w:rPr>
        <w:t>第一章  招标公告</w:t>
      </w:r>
    </w:p>
    <w:p>
      <w:pPr>
        <w:ind w:left="630" w:leftChars="300" w:firstLine="630" w:firstLineChars="300"/>
        <w:rPr>
          <w:rFonts w:ascii="宋体" w:hAnsi="宋体"/>
          <w:szCs w:val="21"/>
        </w:rPr>
      </w:pPr>
      <w:r>
        <w:rPr>
          <w:rFonts w:hint="eastAsia" w:ascii="宋体" w:hAnsi="宋体"/>
          <w:szCs w:val="21"/>
        </w:rPr>
        <w:t xml:space="preserve">第二章  </w:t>
      </w:r>
      <w:bookmarkStart w:id="6" w:name="_Hlk71994379"/>
      <w:r>
        <w:rPr>
          <w:rFonts w:hint="eastAsia" w:ascii="宋体" w:hAnsi="宋体"/>
          <w:szCs w:val="21"/>
        </w:rPr>
        <w:t>对通用条款的补充内容及其他关键信息</w:t>
      </w:r>
      <w:bookmarkEnd w:id="6"/>
    </w:p>
    <w:p>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630" w:firstLineChars="300"/>
        <w:rPr>
          <w:rFonts w:ascii="宋体" w:hAnsi="宋体"/>
          <w:szCs w:val="21"/>
        </w:rPr>
      </w:pPr>
      <w:r>
        <w:rPr>
          <w:rFonts w:hint="eastAsia" w:ascii="宋体" w:hAnsi="宋体"/>
          <w:szCs w:val="21"/>
        </w:rPr>
        <w:t>第五章  合同条款及格式</w:t>
      </w:r>
    </w:p>
    <w:p>
      <w:pPr>
        <w:rPr>
          <w:b/>
          <w:sz w:val="24"/>
        </w:rPr>
      </w:pPr>
    </w:p>
    <w:p>
      <w:pPr>
        <w:outlineLvl w:val="0"/>
        <w:rPr>
          <w:b/>
          <w:sz w:val="24"/>
        </w:rPr>
      </w:pPr>
      <w:r>
        <w:rPr>
          <w:rFonts w:hint="eastAsia"/>
          <w:b/>
          <w:sz w:val="24"/>
        </w:rPr>
        <w:t>第二册</w:t>
      </w:r>
      <w:r>
        <w:rPr>
          <w:rFonts w:hint="eastAsia"/>
          <w:b/>
          <w:sz w:val="24"/>
          <w:lang w:val="en-US" w:eastAsia="zh-CN"/>
        </w:rPr>
        <w:t xml:space="preserve">  </w:t>
      </w:r>
      <w:r>
        <w:rPr>
          <w:rFonts w:hint="eastAsia"/>
          <w:b/>
          <w:sz w:val="24"/>
        </w:rPr>
        <w:t xml:space="preserve">  通用条款</w:t>
      </w:r>
    </w:p>
    <w:p>
      <w:pPr>
        <w:ind w:left="630" w:leftChars="300" w:firstLine="411" w:firstLineChars="196"/>
        <w:rPr>
          <w:rFonts w:ascii="宋体" w:hAnsi="宋体"/>
          <w:szCs w:val="21"/>
        </w:rPr>
      </w:pPr>
      <w:r>
        <w:rPr>
          <w:rFonts w:hint="eastAsia" w:ascii="宋体" w:hAnsi="宋体"/>
          <w:szCs w:val="21"/>
        </w:rPr>
        <w:t>第一章  总则</w:t>
      </w:r>
    </w:p>
    <w:p>
      <w:pPr>
        <w:ind w:left="630" w:leftChars="300" w:firstLine="411" w:firstLineChars="196"/>
        <w:rPr>
          <w:rFonts w:ascii="宋体" w:hAnsi="宋体"/>
          <w:szCs w:val="21"/>
        </w:rPr>
      </w:pPr>
      <w:r>
        <w:rPr>
          <w:rFonts w:hint="eastAsia" w:ascii="宋体" w:hAnsi="宋体"/>
          <w:szCs w:val="21"/>
        </w:rPr>
        <w:t>第二章  招标文件</w:t>
      </w:r>
    </w:p>
    <w:p>
      <w:pPr>
        <w:ind w:left="630" w:leftChars="300" w:firstLine="411" w:firstLineChars="196"/>
        <w:rPr>
          <w:rFonts w:ascii="宋体" w:hAnsi="宋体"/>
          <w:szCs w:val="21"/>
        </w:rPr>
      </w:pPr>
      <w:r>
        <w:rPr>
          <w:rFonts w:hint="eastAsia" w:ascii="宋体" w:hAnsi="宋体"/>
          <w:szCs w:val="21"/>
        </w:rPr>
        <w:t>第三章  投标文件的编制</w:t>
      </w:r>
    </w:p>
    <w:p>
      <w:pPr>
        <w:ind w:left="630" w:leftChars="300" w:firstLine="411" w:firstLineChars="196"/>
        <w:rPr>
          <w:rFonts w:ascii="宋体" w:hAnsi="宋体"/>
          <w:szCs w:val="21"/>
        </w:rPr>
      </w:pPr>
      <w:r>
        <w:rPr>
          <w:rFonts w:hint="eastAsia" w:ascii="宋体" w:hAnsi="宋体"/>
          <w:szCs w:val="21"/>
        </w:rPr>
        <w:t>第四章  投标文件的递交</w:t>
      </w:r>
    </w:p>
    <w:p>
      <w:pPr>
        <w:ind w:left="630" w:leftChars="300" w:firstLine="411" w:firstLineChars="196"/>
        <w:rPr>
          <w:rFonts w:ascii="宋体" w:hAnsi="宋体"/>
          <w:szCs w:val="21"/>
        </w:rPr>
      </w:pPr>
      <w:r>
        <w:rPr>
          <w:rFonts w:hint="eastAsia" w:ascii="宋体" w:hAnsi="宋体"/>
          <w:szCs w:val="21"/>
        </w:rPr>
        <w:t>第五章  开标</w:t>
      </w:r>
    </w:p>
    <w:p>
      <w:pPr>
        <w:ind w:left="630" w:leftChars="300" w:firstLine="411" w:firstLineChars="196"/>
        <w:rPr>
          <w:rFonts w:ascii="宋体" w:hAnsi="宋体"/>
          <w:szCs w:val="21"/>
        </w:rPr>
      </w:pPr>
      <w:r>
        <w:rPr>
          <w:rFonts w:hint="eastAsia" w:ascii="宋体" w:hAnsi="宋体"/>
          <w:szCs w:val="21"/>
        </w:rPr>
        <w:t>第六章  评审要求</w:t>
      </w:r>
    </w:p>
    <w:p>
      <w:pPr>
        <w:ind w:left="630" w:leftChars="300" w:firstLine="411" w:firstLineChars="196"/>
        <w:rPr>
          <w:rFonts w:ascii="宋体" w:hAnsi="宋体"/>
          <w:szCs w:val="21"/>
        </w:rPr>
      </w:pPr>
      <w:r>
        <w:rPr>
          <w:rFonts w:hint="eastAsia" w:ascii="宋体" w:hAnsi="宋体"/>
          <w:szCs w:val="21"/>
        </w:rPr>
        <w:t>第七章  评审程序及评审方法</w:t>
      </w:r>
    </w:p>
    <w:p>
      <w:pPr>
        <w:ind w:left="630" w:leftChars="300" w:firstLine="411" w:firstLineChars="196"/>
        <w:rPr>
          <w:rFonts w:ascii="宋体" w:hAnsi="宋体"/>
          <w:szCs w:val="21"/>
        </w:rPr>
      </w:pPr>
      <w:r>
        <w:rPr>
          <w:rFonts w:hint="eastAsia" w:ascii="宋体" w:hAnsi="宋体"/>
          <w:szCs w:val="21"/>
        </w:rPr>
        <w:t>第八章  定标及公示</w:t>
      </w:r>
    </w:p>
    <w:p>
      <w:pPr>
        <w:ind w:left="630" w:leftChars="300" w:firstLine="411" w:firstLineChars="196"/>
        <w:rPr>
          <w:rFonts w:ascii="宋体" w:hAnsi="宋体"/>
          <w:szCs w:val="21"/>
        </w:rPr>
      </w:pPr>
      <w:r>
        <w:rPr>
          <w:rFonts w:hint="eastAsia" w:ascii="宋体" w:hAnsi="宋体"/>
          <w:szCs w:val="21"/>
        </w:rPr>
        <w:t>第九章  公开招标失败的后续处理</w:t>
      </w:r>
    </w:p>
    <w:p>
      <w:pPr>
        <w:ind w:left="630" w:leftChars="300" w:firstLine="411" w:firstLineChars="196"/>
        <w:rPr>
          <w:rFonts w:ascii="宋体" w:hAnsi="宋体"/>
          <w:szCs w:val="21"/>
        </w:rPr>
      </w:pPr>
      <w:r>
        <w:rPr>
          <w:rFonts w:hint="eastAsia" w:ascii="宋体" w:hAnsi="宋体"/>
          <w:szCs w:val="21"/>
        </w:rPr>
        <w:t>第十章  合同的授予与备案</w:t>
      </w:r>
    </w:p>
    <w:p>
      <w:pPr>
        <w:ind w:firstLine="1050" w:firstLineChars="500"/>
        <w:rPr>
          <w:rFonts w:hint="eastAsia"/>
        </w:rPr>
      </w:pPr>
      <w:r>
        <w:rPr>
          <w:rFonts w:hint="eastAsia"/>
        </w:rPr>
        <w:t>第十一章  质疑处理</w:t>
      </w:r>
    </w:p>
    <w:p>
      <w:pPr>
        <w:pStyle w:val="9"/>
        <w:rPr>
          <w:rFonts w:hint="eastAsia"/>
        </w:rPr>
      </w:pPr>
    </w:p>
    <w:p>
      <w:pPr>
        <w:pStyle w:val="38"/>
        <w:rPr>
          <w:rFonts w:hint="eastAsia"/>
        </w:rPr>
      </w:pPr>
    </w:p>
    <w:p>
      <w:pPr>
        <w:pStyle w:val="38"/>
        <w:rPr>
          <w:rFonts w:hint="eastAsia"/>
        </w:rPr>
      </w:pPr>
    </w:p>
    <w:p>
      <w:pPr>
        <w:pStyle w:val="9"/>
        <w:rPr>
          <w:rFonts w:hint="eastAsia"/>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5"/>
    <w:p>
      <w:pPr>
        <w:pStyle w:val="3"/>
        <w:rPr>
          <w:color w:val="FF0000"/>
          <w:sz w:val="24"/>
        </w:rPr>
      </w:pPr>
      <w:bookmarkStart w:id="7" w:name="bt项目管理班子配备情况"/>
      <w:bookmarkEnd w:id="7"/>
      <w:bookmarkStart w:id="8" w:name="bt合同格式"/>
      <w:bookmarkEnd w:id="8"/>
      <w:bookmarkStart w:id="9" w:name="bt投标人须知"/>
      <w:bookmarkEnd w:id="9"/>
      <w:bookmarkStart w:id="10" w:name="bt合同条款及格式"/>
      <w:bookmarkEnd w:id="10"/>
      <w:bookmarkStart w:id="11" w:name="bt本工程承诺书"/>
      <w:bookmarkEnd w:id="11"/>
      <w:bookmarkStart w:id="12" w:name="bt合同条款"/>
      <w:bookmarkEnd w:id="12"/>
      <w:bookmarkStart w:id="13" w:name="bt开标一览表"/>
      <w:bookmarkEnd w:id="13"/>
      <w:bookmarkStart w:id="14" w:name="bt投标人情况介绍"/>
      <w:bookmarkEnd w:id="14"/>
      <w:bookmarkStart w:id="15" w:name="合同格式"/>
      <w:bookmarkEnd w:id="15"/>
      <w:bookmarkStart w:id="16" w:name="bt投标报价汇总表"/>
      <w:bookmarkEnd w:id="16"/>
      <w:bookmarkStart w:id="17" w:name="bt其他资料2"/>
      <w:bookmarkEnd w:id="17"/>
      <w:bookmarkStart w:id="18" w:name="bt投标文件签署授权委托书"/>
      <w:bookmarkEnd w:id="18"/>
      <w:bookmarkStart w:id="19" w:name="bt说明"/>
      <w:bookmarkEnd w:id="19"/>
      <w:bookmarkStart w:id="20" w:name="bt投标函"/>
      <w:bookmarkEnd w:id="20"/>
      <w:bookmarkStart w:id="21" w:name="bt技术标投标文件格式"/>
      <w:bookmarkEnd w:id="21"/>
      <w:bookmarkStart w:id="22" w:name="bt其他资料由投标人自定"/>
      <w:bookmarkEnd w:id="22"/>
      <w:bookmarkStart w:id="23" w:name="bt商务标投标文件格式"/>
      <w:bookmarkEnd w:id="23"/>
      <w:r>
        <w:rPr>
          <w:rFonts w:hint="eastAsia"/>
        </w:rPr>
        <w:t>第一册  专用条款</w:t>
      </w:r>
    </w:p>
    <w:p>
      <w:pPr>
        <w:pStyle w:val="6"/>
        <w:rPr>
          <w:sz w:val="28"/>
          <w:szCs w:val="28"/>
        </w:rPr>
      </w:pPr>
      <w:r>
        <w:rPr>
          <w:rFonts w:hint="eastAsia"/>
          <w:sz w:val="28"/>
          <w:szCs w:val="28"/>
        </w:rPr>
        <w:t>第一章  招标公告</w:t>
      </w:r>
    </w:p>
    <w:p>
      <w:pPr>
        <w:spacing w:line="360" w:lineRule="auto"/>
        <w:rPr>
          <w:rFonts w:ascii="宋体" w:hAnsi="宋体" w:cs="宋体"/>
          <w:b/>
          <w:bCs/>
          <w:kern w:val="0"/>
          <w:szCs w:val="21"/>
        </w:rPr>
      </w:pPr>
      <w:r>
        <w:rPr>
          <w:rFonts w:hint="eastAsia" w:ascii="宋体" w:hAnsi="宋体" w:cs="宋体"/>
          <w:b/>
          <w:bCs/>
          <w:kern w:val="0"/>
          <w:szCs w:val="21"/>
        </w:rPr>
        <w:t>申请人的资格要求：</w:t>
      </w:r>
    </w:p>
    <w:p>
      <w:pPr>
        <w:ind w:firstLine="420" w:firstLineChars="200"/>
        <w:rPr>
          <w:rFonts w:hint="eastAsia" w:ascii="宋体" w:hAnsi="宋体" w:eastAsia="宋体" w:cs="宋体"/>
          <w:kern w:val="0"/>
          <w:szCs w:val="21"/>
          <w:lang w:eastAsia="zh-CN"/>
        </w:rPr>
      </w:pPr>
      <w:r>
        <w:rPr>
          <w:rFonts w:hint="eastAsia" w:ascii="宋体" w:hAnsi="宋体" w:cs="宋体"/>
          <w:kern w:val="0"/>
          <w:szCs w:val="21"/>
        </w:rPr>
        <w:t>1</w:t>
      </w:r>
      <w:r>
        <w:rPr>
          <w:rFonts w:ascii="宋体" w:hAnsi="宋体" w:cs="宋体"/>
          <w:kern w:val="0"/>
          <w:szCs w:val="21"/>
        </w:rPr>
        <w:t>.</w:t>
      </w:r>
      <w:bookmarkStart w:id="24" w:name="_Hlk72162904"/>
      <w:r>
        <w:rPr>
          <w:rFonts w:hint="eastAsia" w:ascii="宋体" w:hAnsi="宋体" w:cs="宋体"/>
          <w:kern w:val="0"/>
          <w:szCs w:val="21"/>
        </w:rPr>
        <w:t>具有独立承担民事责任的能力（提供营业执照或事业单位法人证书等证明资料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4"/>
      <w:r>
        <w:rPr>
          <w:rFonts w:hint="eastAsia"/>
          <w:lang w:eastAsia="zh-CN"/>
        </w:rPr>
        <w:t>；</w:t>
      </w:r>
    </w:p>
    <w:p>
      <w:pPr>
        <w:ind w:firstLine="420" w:firstLineChars="200"/>
        <w:rPr>
          <w:rFonts w:ascii="宋体" w:hAnsi="宋体" w:cs="宋体"/>
          <w:kern w:val="0"/>
          <w:szCs w:val="21"/>
        </w:rPr>
      </w:pPr>
      <w:r>
        <w:rPr>
          <w:rFonts w:hint="eastAsia" w:ascii="宋体" w:hAnsi="宋体" w:cs="宋体"/>
          <w:color w:val="FF0000"/>
          <w:kern w:val="0"/>
          <w:szCs w:val="21"/>
        </w:rPr>
        <w:t>2.本项目不接受联合体投标</w:t>
      </w:r>
      <w:r>
        <w:rPr>
          <w:rFonts w:hint="eastAsia" w:ascii="宋体" w:hAnsi="宋体" w:cs="宋体"/>
          <w:color w:val="FF0000"/>
          <w:kern w:val="0"/>
          <w:szCs w:val="21"/>
          <w:lang w:val="en-US" w:eastAsia="zh-CN"/>
        </w:rPr>
        <w:t>，</w:t>
      </w:r>
      <w:r>
        <w:rPr>
          <w:rFonts w:hint="eastAsia" w:ascii="宋体" w:hAnsi="宋体" w:cs="宋体"/>
          <w:color w:val="FF0000"/>
          <w:kern w:val="0"/>
          <w:szCs w:val="21"/>
        </w:rPr>
        <w:t>不接受投标人选用进口产品参与投标，详见招标文件</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第三章 用户需求书</w:t>
      </w:r>
      <w:r>
        <w:rPr>
          <w:rFonts w:hint="eastAsia" w:ascii="宋体" w:hAnsi="宋体" w:cs="宋体"/>
          <w:color w:val="FF0000"/>
          <w:kern w:val="0"/>
          <w:szCs w:val="21"/>
        </w:rPr>
        <w:t>”；</w:t>
      </w:r>
    </w:p>
    <w:p>
      <w:pPr>
        <w:ind w:firstLine="420" w:firstLineChars="2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参与本项目采购活动时不存在被有关部门禁止参与采购活动且在有效期内的情况（由供应商在《采购投标及履约承诺函》中作出声明）；</w:t>
      </w:r>
    </w:p>
    <w:p>
      <w:pPr>
        <w:ind w:firstLine="420" w:firstLineChars="2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r>
        <w:rPr>
          <w:rFonts w:hint="eastAsia" w:ascii="宋体" w:hAnsi="宋体" w:cs="宋体"/>
          <w:kern w:val="0"/>
          <w:szCs w:val="21"/>
          <w:lang w:val="en-US" w:eastAsia="zh-CN"/>
        </w:rPr>
        <w:t>；</w:t>
      </w:r>
    </w:p>
    <w:p>
      <w:pPr>
        <w:ind w:firstLine="420" w:firstLineChars="2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（由供应商在《采购投标及履约承诺函》中作出声明）</w:t>
      </w:r>
      <w:r>
        <w:rPr>
          <w:rFonts w:hint="eastAsia" w:ascii="宋体" w:hAnsi="宋体" w:cs="宋体"/>
          <w:color w:val="FF0000"/>
          <w:kern w:val="0"/>
          <w:szCs w:val="21"/>
          <w:lang w:val="en-US" w:eastAsia="zh-CN"/>
        </w:rPr>
        <w:t>；</w:t>
      </w:r>
    </w:p>
    <w:p>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.为采购项目提供整体设计、规范编制或者项目管理、监理、检测等服务的供应商，不得再参加该采购项目的其他采购活动（由供应商在《采购投标及履约承诺函》中作出声明）</w:t>
      </w:r>
      <w:r>
        <w:rPr>
          <w:rFonts w:hint="eastAsia" w:ascii="宋体" w:hAnsi="宋体" w:cs="宋体"/>
          <w:kern w:val="0"/>
          <w:szCs w:val="21"/>
          <w:lang w:val="en-US" w:eastAsia="zh-CN"/>
        </w:rPr>
        <w:t>；</w:t>
      </w:r>
    </w:p>
    <w:p>
      <w:pPr>
        <w:pStyle w:val="2"/>
        <w:ind w:firstLine="420" w:firstLineChars="200"/>
        <w:rPr>
          <w:rFonts w:hint="default" w:ascii="宋体" w:hAnsi="宋体" w:eastAsia="宋体" w:cs="宋体"/>
          <w:color w:val="FF0000"/>
          <w:kern w:val="0"/>
          <w:sz w:val="21"/>
          <w:szCs w:val="21"/>
          <w:lang w:val="en-US" w:eastAsia="zh-CN" w:bidi="ar-SA"/>
        </w:rPr>
      </w:pPr>
      <w:r>
        <w:rPr>
          <w:rFonts w:hint="eastAsia" w:ascii="宋体" w:hAnsi="宋体" w:eastAsia="宋体" w:cs="宋体"/>
          <w:color w:val="FF0000"/>
          <w:kern w:val="0"/>
          <w:sz w:val="21"/>
          <w:szCs w:val="21"/>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w:t>
      </w:r>
    </w:p>
    <w:p>
      <w:pPr>
        <w:ind w:firstLine="420" w:firstLineChars="200"/>
      </w:pPr>
      <w:r>
        <w:rPr>
          <w:rFonts w:hint="eastAsia" w:ascii="宋体" w:hAnsi="宋体" w:cs="宋体"/>
          <w:kern w:val="0"/>
          <w:szCs w:val="21"/>
          <w:lang w:val="en-US" w:eastAsia="zh-CN"/>
        </w:rPr>
        <w:t>9</w:t>
      </w:r>
      <w:r>
        <w:rPr>
          <w:rFonts w:hint="eastAsia" w:ascii="宋体" w:hAnsi="宋体" w:cs="宋体"/>
          <w:kern w:val="0"/>
          <w:szCs w:val="21"/>
        </w:rPr>
        <w:t>.本项目</w:t>
      </w:r>
      <w:r>
        <w:rPr>
          <w:rFonts w:hint="eastAsia" w:ascii="宋体" w:hAnsi="宋体" w:cs="宋体"/>
          <w:kern w:val="0"/>
          <w:szCs w:val="21"/>
          <w:lang w:val="en-US" w:eastAsia="zh-CN"/>
        </w:rPr>
        <w:t>全部</w:t>
      </w:r>
      <w:r>
        <w:rPr>
          <w:rFonts w:hint="eastAsia" w:ascii="宋体" w:hAnsi="宋体" w:cs="宋体"/>
          <w:kern w:val="0"/>
          <w:szCs w:val="21"/>
        </w:rPr>
        <w:t>专门面向中小企业采购：否</w:t>
      </w:r>
      <w:r>
        <w:rPr>
          <w:rFonts w:hint="eastAsia" w:ascii="宋体" w:hAnsi="宋体" w:cs="宋体"/>
          <w:kern w:val="0"/>
          <w:szCs w:val="21"/>
          <w:lang w:eastAsia="zh-CN"/>
        </w:rPr>
        <w:t>。</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10.投标供应商若为生产企业：所投产品为第二、三类医疗器械的，提供监督管理部门签发的涵盖所投报医疗器械的《医疗器械生产许可证》(有效期内)扫描件，原件备查。</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kern w:val="0"/>
          <w:szCs w:val="21"/>
          <w:lang w:val="en-US" w:eastAsia="zh-CN"/>
        </w:rPr>
      </w:pPr>
      <w:r>
        <w:rPr>
          <w:rFonts w:hint="eastAsia" w:ascii="宋体" w:hAnsi="宋体" w:cs="宋体"/>
          <w:kern w:val="0"/>
          <w:szCs w:val="21"/>
          <w:lang w:val="en-US" w:eastAsia="zh-CN"/>
        </w:rPr>
        <w:t>投标供应商若为经营企业：所投产品为第二类医疗器械的，提供监督管理部门签发的涵盖所投医疗器械的《医疗器械经营备案凭证》(有效期内)扫描件，原件备查；所投产品为第三类医疗器械的，提供监督管理部门签发的涵盖所投报医疗器械的《医疗器械经营许可证》(有效期内)扫描件，原件备查。</w:t>
      </w:r>
    </w:p>
    <w:p>
      <w:pPr>
        <w:ind w:firstLine="420" w:firstLineChars="200"/>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kern w:val="0"/>
          <w:szCs w:val="21"/>
        </w:rPr>
        <w:t>注：（1）“信用中国”（www.creditchina.gov.cn</w:t>
      </w:r>
      <w:r>
        <w:rPr>
          <w:rFonts w:hint="eastAsia" w:ascii="宋体" w:hAnsi="宋体" w:cs="宋体"/>
          <w:kern w:val="0"/>
          <w:szCs w:val="21"/>
          <w:lang w:eastAsia="zh-CN"/>
        </w:rPr>
        <w:t>，</w:t>
      </w:r>
      <w:r>
        <w:rPr>
          <w:rFonts w:hint="eastAsia" w:ascii="宋体" w:hAnsi="宋体" w:cs="宋体"/>
          <w:kern w:val="0"/>
          <w:szCs w:val="21"/>
          <w:lang w:val="en-US" w:eastAsia="zh-CN"/>
        </w:rPr>
        <w:t>查询</w:t>
      </w:r>
      <w:r>
        <w:rPr>
          <w:rFonts w:hint="eastAsia" w:ascii="宋体" w:hAnsi="宋体" w:cs="宋体"/>
          <w:kern w:val="0"/>
          <w:szCs w:val="21"/>
        </w:rPr>
        <w:t>“信用服务”栏的“重大税收违法失信主体”“失信被执行人”</w:t>
      </w:r>
      <w:r>
        <w:rPr>
          <w:rFonts w:hint="eastAsia" w:ascii="宋体" w:hAnsi="宋体" w:cs="宋体"/>
          <w:kern w:val="0"/>
          <w:szCs w:val="21"/>
          <w:lang w:val="en-US" w:eastAsia="zh-CN"/>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pPr>
        <w:numPr>
          <w:ilvl w:val="0"/>
          <w:numId w:val="7"/>
        </w:numPr>
        <w:ind w:firstLine="420" w:firstLineChars="200"/>
        <w:rPr>
          <w:rFonts w:hint="eastAsia" w:ascii="宋体" w:hAnsi="宋体"/>
        </w:rPr>
      </w:pPr>
      <w:r>
        <w:rPr>
          <w:rFonts w:hint="eastAsia" w:ascii="宋体" w:hAnsi="宋体"/>
        </w:rPr>
        <w:t>供应商投标（上传投标文件）必须先行办理注册手续，具体操作指引请按照深圳公共资源交易网/交易服务指南/资料下载/深圳政府采购自行采购系统用户操作指引（供应商）相关内容指引办理。</w:t>
      </w:r>
    </w:p>
    <w:p>
      <w:pPr>
        <w:pStyle w:val="9"/>
        <w:numPr>
          <w:ilvl w:val="0"/>
          <w:numId w:val="0"/>
        </w:numPr>
      </w:pPr>
    </w:p>
    <w:p>
      <w:pPr>
        <w:ind w:firstLine="442" w:firstLineChars="200"/>
        <w:rPr>
          <w:b/>
        </w:rPr>
      </w:pPr>
      <w:r>
        <w:rPr>
          <w:rFonts w:hint="eastAsia"/>
          <w:b/>
          <w:sz w:val="22"/>
          <w:szCs w:val="18"/>
          <w:highlight w:val="none"/>
        </w:rPr>
        <w:t>完整公告内容详见：</w:t>
      </w:r>
      <w:r>
        <w:rPr>
          <w:rFonts w:hint="eastAsia"/>
          <w:b/>
          <w:sz w:val="22"/>
          <w:szCs w:val="18"/>
        </w:rPr>
        <w:t>深圳交易集团有限公司网站（https://www.szexgrp.com/）、深圳政府采购自行采购网站（https://zxcg.szggzy.com/home/index.html）</w:t>
      </w:r>
    </w:p>
    <w:p>
      <w:pPr>
        <w:ind w:firstLine="422" w:firstLineChars="200"/>
        <w:rPr>
          <w:b/>
        </w:rPr>
      </w:pPr>
    </w:p>
    <w:p>
      <w:pPr>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6"/>
        <w:rPr>
          <w:sz w:val="28"/>
          <w:szCs w:val="28"/>
        </w:rPr>
      </w:pPr>
      <w:r>
        <w:rPr>
          <w:rFonts w:hint="eastAsia"/>
          <w:sz w:val="28"/>
          <w:szCs w:val="28"/>
        </w:rPr>
        <w:t xml:space="preserve">第二章 </w:t>
      </w:r>
      <w:bookmarkStart w:id="25" w:name="_Hlk71926094"/>
      <w:r>
        <w:rPr>
          <w:rFonts w:hint="eastAsia"/>
          <w:sz w:val="28"/>
          <w:szCs w:val="28"/>
        </w:rPr>
        <w:t>对通用条款的补充内容及其他关键信息</w:t>
      </w:r>
      <w:bookmarkEnd w:id="25"/>
    </w:p>
    <w:p>
      <w:pPr>
        <w:pStyle w:val="6"/>
        <w:spacing w:before="120" w:beforeLines="50" w:after="120" w:afterLines="50"/>
        <w:rPr>
          <w:szCs w:val="24"/>
        </w:rPr>
      </w:pPr>
      <w:bookmarkStart w:id="26" w:name="_Toc73517639"/>
      <w:bookmarkStart w:id="27" w:name="_Toc60631620"/>
      <w:bookmarkStart w:id="28" w:name="_Toc101074876"/>
      <w:bookmarkStart w:id="29" w:name="_Toc73521635"/>
      <w:bookmarkStart w:id="30" w:name="_Toc73521547"/>
      <w:bookmarkStart w:id="31" w:name="_Toc60560625"/>
      <w:bookmarkStart w:id="32" w:name="_Toc100052364"/>
      <w:bookmarkStart w:id="33" w:name="_Toc73518117"/>
      <w:r>
        <w:rPr>
          <w:rFonts w:hint="eastAsia"/>
          <w:szCs w:val="24"/>
        </w:rPr>
        <w:t>一、对通用条款的补充内容</w:t>
      </w:r>
    </w:p>
    <w:bookmarkEnd w:id="26"/>
    <w:bookmarkEnd w:id="27"/>
    <w:bookmarkEnd w:id="28"/>
    <w:bookmarkEnd w:id="29"/>
    <w:bookmarkEnd w:id="30"/>
    <w:bookmarkEnd w:id="31"/>
    <w:bookmarkEnd w:id="32"/>
    <w:bookmarkEnd w:id="33"/>
    <w:tbl>
      <w:tblPr>
        <w:tblStyle w:val="45"/>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b/>
                <w:bCs/>
              </w:rPr>
            </w:pPr>
            <w:bookmarkStart w:id="34" w:name="_Hlk72218097"/>
            <w:r>
              <w:rPr>
                <w:rFonts w:hint="eastAsia" w:ascii="宋体" w:hAnsi="宋体"/>
                <w:b/>
                <w:bCs/>
              </w:rPr>
              <w:t>通用条款序号</w:t>
            </w:r>
          </w:p>
        </w:tc>
        <w:tc>
          <w:tcPr>
            <w:tcW w:w="2409" w:type="dxa"/>
            <w:vAlign w:val="center"/>
          </w:tcPr>
          <w:p>
            <w:pPr>
              <w:jc w:val="center"/>
              <w:rPr>
                <w:rFonts w:ascii="宋体" w:hAnsi="宋体"/>
                <w:b/>
                <w:bCs/>
              </w:rPr>
            </w:pPr>
            <w:r>
              <w:rPr>
                <w:rFonts w:hint="eastAsia" w:ascii="宋体" w:hAnsi="宋体"/>
                <w:b/>
                <w:bCs/>
              </w:rPr>
              <w:t>涉及事项</w:t>
            </w:r>
          </w:p>
        </w:tc>
        <w:tc>
          <w:tcPr>
            <w:tcW w:w="4980" w:type="dxa"/>
            <w:vAlign w:val="center"/>
          </w:tcPr>
          <w:p>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pPr>
              <w:jc w:val="center"/>
              <w:rPr>
                <w:rFonts w:hint="eastAsia" w:ascii="宋体" w:hAnsi="宋体"/>
                <w:b/>
                <w:bCs/>
              </w:rPr>
            </w:pPr>
            <w:r>
              <w:rPr>
                <w:rFonts w:hint="eastAsia"/>
              </w:rPr>
              <w:t>本项目为自行采购项目，相关事宜按照招标文件要求及采购单位内控制度执行。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.1</w:t>
            </w:r>
          </w:p>
        </w:tc>
        <w:tc>
          <w:tcPr>
            <w:tcW w:w="2409" w:type="dxa"/>
            <w:vAlign w:val="center"/>
          </w:tcPr>
          <w:p>
            <w:pPr>
              <w:jc w:val="center"/>
            </w:pPr>
            <w:r>
              <w:rPr>
                <w:rFonts w:hint="eastAsia"/>
              </w:rPr>
              <w:t>采购人</w:t>
            </w:r>
          </w:p>
        </w:tc>
        <w:tc>
          <w:tcPr>
            <w:tcW w:w="4980" w:type="dxa"/>
            <w:vAlign w:val="center"/>
          </w:tcPr>
          <w:p>
            <w:pPr>
              <w:jc w:val="center"/>
              <w:rPr>
                <w:rFonts w:ascii="宋体" w:hAnsi="宋体"/>
              </w:rPr>
            </w:pPr>
            <w:r>
              <w:rPr>
                <w:rFonts w:hint="eastAsia" w:ascii="宋体" w:hAnsi="宋体"/>
              </w:rPr>
              <w:t>深圳市大鹏新区妇幼保健院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.2</w:t>
            </w:r>
          </w:p>
        </w:tc>
        <w:tc>
          <w:tcPr>
            <w:tcW w:w="2409" w:type="dxa"/>
            <w:vAlign w:val="center"/>
          </w:tcPr>
          <w:p>
            <w:pPr>
              <w:jc w:val="center"/>
              <w:rPr>
                <w:rFonts w:ascii="宋体" w:hAnsi="宋体"/>
              </w:rPr>
            </w:pPr>
            <w:r>
              <w:rPr>
                <w:rFonts w:hint="eastAsia" w:ascii="宋体" w:hAnsi="宋体"/>
              </w:rPr>
              <w:t>政府集中采购机构</w:t>
            </w:r>
          </w:p>
        </w:tc>
        <w:tc>
          <w:tcPr>
            <w:tcW w:w="4980" w:type="dxa"/>
            <w:vAlign w:val="center"/>
          </w:tcPr>
          <w:p>
            <w:pPr>
              <w:jc w:val="center"/>
              <w:rPr>
                <w:rFonts w:hint="eastAsia" w:ascii="宋体" w:hAnsi="宋体"/>
              </w:rPr>
            </w:pPr>
            <w:r>
              <w:rPr>
                <w:rFonts w:hint="eastAsia" w:ascii="宋体" w:hAnsi="宋体"/>
              </w:rPr>
              <w:t>深圳公共资源交易中心</w:t>
            </w:r>
          </w:p>
          <w:p>
            <w:pPr>
              <w:jc w:val="center"/>
              <w:rPr>
                <w:rFonts w:ascii="宋体" w:hAnsi="宋体"/>
              </w:rPr>
            </w:pPr>
            <w:r>
              <w:rPr>
                <w:rFonts w:hint="eastAsia" w:ascii="宋体" w:hAnsi="宋体"/>
              </w:rPr>
              <w:t>（深圳交易集团有限公司</w:t>
            </w:r>
            <w:r>
              <w:rPr>
                <w:rFonts w:hint="eastAsia" w:ascii="宋体" w:hAnsi="宋体" w:cs="宋体"/>
                <w:kern w:val="0"/>
                <w:lang w:val="en-US" w:eastAsia="zh-CN"/>
              </w:rPr>
              <w:t>大鹏分公司</w:t>
            </w:r>
            <w:r>
              <w:rPr>
                <w:rFonts w:hint="eastAsia" w:ascii="宋体" w:hAnsi="宋体"/>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20" w:hRule="atLeast"/>
          <w:jc w:val="center"/>
        </w:trPr>
        <w:tc>
          <w:tcPr>
            <w:tcW w:w="978" w:type="dxa"/>
            <w:vAlign w:val="center"/>
          </w:tcPr>
          <w:p>
            <w:pPr>
              <w:jc w:val="center"/>
              <w:rPr>
                <w:rFonts w:ascii="宋体" w:hAnsi="宋体"/>
              </w:rPr>
            </w:pPr>
            <w:r>
              <w:rPr>
                <w:rFonts w:hint="eastAsia" w:ascii="宋体" w:hAnsi="宋体"/>
              </w:rPr>
              <w:t>9</w:t>
            </w:r>
          </w:p>
        </w:tc>
        <w:tc>
          <w:tcPr>
            <w:tcW w:w="2409" w:type="dxa"/>
            <w:vAlign w:val="center"/>
          </w:tcPr>
          <w:p>
            <w:pPr>
              <w:jc w:val="center"/>
              <w:rPr>
                <w:rFonts w:ascii="宋体" w:hAnsi="宋体"/>
              </w:rPr>
            </w:pPr>
            <w:r>
              <w:rPr>
                <w:rFonts w:hint="eastAsia" w:ascii="宋体" w:hAnsi="宋体"/>
              </w:rPr>
              <w:t>踏勘现场</w:t>
            </w:r>
          </w:p>
        </w:tc>
        <w:tc>
          <w:tcPr>
            <w:tcW w:w="4980" w:type="dxa"/>
            <w:vAlign w:val="center"/>
          </w:tcPr>
          <w:p>
            <w:pPr>
              <w:jc w:val="center"/>
              <w:rPr>
                <w:rFonts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0</w:t>
            </w:r>
          </w:p>
        </w:tc>
        <w:tc>
          <w:tcPr>
            <w:tcW w:w="2409" w:type="dxa"/>
            <w:vAlign w:val="center"/>
          </w:tcPr>
          <w:p>
            <w:pPr>
              <w:jc w:val="center"/>
              <w:rPr>
                <w:rFonts w:ascii="宋体" w:hAnsi="宋体"/>
              </w:rPr>
            </w:pPr>
            <w:r>
              <w:rPr>
                <w:rFonts w:hint="eastAsia" w:ascii="宋体" w:hAnsi="宋体"/>
              </w:rPr>
              <w:t>标前会议</w:t>
            </w:r>
          </w:p>
        </w:tc>
        <w:tc>
          <w:tcPr>
            <w:tcW w:w="4980" w:type="dxa"/>
            <w:vAlign w:val="center"/>
          </w:tcPr>
          <w:p>
            <w:pPr>
              <w:jc w:val="center"/>
              <w:rPr>
                <w:rFonts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pPr>
              <w:jc w:val="center"/>
              <w:rPr>
                <w:rFonts w:ascii="宋体" w:hAnsi="宋体"/>
              </w:rPr>
            </w:pPr>
            <w:r>
              <w:rPr>
                <w:rFonts w:hint="eastAsia" w:ascii="宋体" w:hAnsi="宋体"/>
              </w:rPr>
              <w:t>招标文件的澄清和修改</w:t>
            </w:r>
          </w:p>
        </w:tc>
        <w:tc>
          <w:tcPr>
            <w:tcW w:w="4980" w:type="dxa"/>
            <w:vAlign w:val="center"/>
          </w:tcPr>
          <w:p>
            <w:pPr>
              <w:jc w:val="center"/>
              <w:rPr>
                <w:rFonts w:ascii="宋体" w:hAnsi="宋体"/>
              </w:rPr>
            </w:pPr>
            <w:r>
              <w:rPr>
                <w:rFonts w:hint="eastAsia" w:ascii="宋体" w:hAnsi="宋体"/>
              </w:rPr>
              <w:t>不晚于投标截止日三日前，投标人有义务在招标期间在政府集中采购机构网站浏览与本项目有关的澄清和修改信息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0</w:t>
            </w:r>
          </w:p>
        </w:tc>
        <w:tc>
          <w:tcPr>
            <w:tcW w:w="2409" w:type="dxa"/>
            <w:vAlign w:val="center"/>
          </w:tcPr>
          <w:p>
            <w:pPr>
              <w:jc w:val="center"/>
              <w:rPr>
                <w:rFonts w:ascii="宋体" w:hAnsi="宋体"/>
              </w:rPr>
            </w:pPr>
            <w:r>
              <w:rPr>
                <w:rFonts w:hint="eastAsia" w:ascii="宋体" w:hAnsi="宋体"/>
              </w:rPr>
              <w:t>投标有效期</w:t>
            </w:r>
          </w:p>
        </w:tc>
        <w:tc>
          <w:tcPr>
            <w:tcW w:w="4980" w:type="dxa"/>
            <w:vAlign w:val="center"/>
          </w:tcPr>
          <w:p>
            <w:pPr>
              <w:jc w:val="center"/>
              <w:rPr>
                <w:rFonts w:ascii="宋体" w:hAnsi="宋体"/>
              </w:rPr>
            </w:pPr>
            <w:r>
              <w:rPr>
                <w:rFonts w:hint="eastAsia" w:ascii="宋体" w:hAnsi="宋体"/>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2</w:t>
            </w:r>
          </w:p>
        </w:tc>
        <w:tc>
          <w:tcPr>
            <w:tcW w:w="2409" w:type="dxa"/>
            <w:vAlign w:val="center"/>
          </w:tcPr>
          <w:p>
            <w:pPr>
              <w:jc w:val="center"/>
              <w:rPr>
                <w:rFonts w:ascii="宋体" w:hAnsi="宋体"/>
              </w:rPr>
            </w:pPr>
            <w:r>
              <w:rPr>
                <w:rFonts w:hint="eastAsia" w:ascii="宋体" w:hAnsi="宋体"/>
              </w:rPr>
              <w:t>投标人的替代方案</w:t>
            </w:r>
          </w:p>
        </w:tc>
        <w:tc>
          <w:tcPr>
            <w:tcW w:w="4980" w:type="dxa"/>
            <w:vAlign w:val="center"/>
          </w:tcPr>
          <w:p>
            <w:pPr>
              <w:jc w:val="center"/>
              <w:rPr>
                <w:rFonts w:ascii="宋体" w:hAnsi="宋体"/>
              </w:rPr>
            </w:pPr>
            <w:r>
              <w:rPr>
                <w:rFonts w:hint="eastAsia" w:ascii="宋体" w:hAnsi="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5</w:t>
            </w:r>
          </w:p>
        </w:tc>
        <w:tc>
          <w:tcPr>
            <w:tcW w:w="2409" w:type="dxa"/>
            <w:vAlign w:val="center"/>
          </w:tcPr>
          <w:p>
            <w:pPr>
              <w:jc w:val="center"/>
              <w:rPr>
                <w:rFonts w:ascii="宋体" w:hAnsi="宋体"/>
              </w:rPr>
            </w:pPr>
            <w:r>
              <w:rPr>
                <w:rFonts w:hint="eastAsia" w:ascii="宋体" w:hAnsi="宋体"/>
              </w:rPr>
              <w:t>投标文件的大小</w:t>
            </w:r>
          </w:p>
        </w:tc>
        <w:tc>
          <w:tcPr>
            <w:tcW w:w="4980" w:type="dxa"/>
            <w:vAlign w:val="center"/>
          </w:tcPr>
          <w:p>
            <w:pPr>
              <w:jc w:val="center"/>
              <w:rPr>
                <w:rFonts w:ascii="宋体" w:hAnsi="宋体"/>
              </w:rPr>
            </w:pPr>
            <w:r>
              <w:rPr>
                <w:rFonts w:hint="eastAsia" w:ascii="宋体" w:hAnsi="宋体"/>
              </w:rPr>
              <w:t>投标文件大小不得超过100MB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6</w:t>
            </w:r>
          </w:p>
        </w:tc>
        <w:tc>
          <w:tcPr>
            <w:tcW w:w="2409" w:type="dxa"/>
            <w:vAlign w:val="center"/>
          </w:tcPr>
          <w:p>
            <w:pPr>
              <w:jc w:val="center"/>
              <w:rPr>
                <w:rFonts w:ascii="宋体" w:hAnsi="宋体"/>
              </w:rPr>
            </w:pPr>
            <w:bookmarkStart w:id="35" w:name="_Hlk71664860"/>
            <w:r>
              <w:rPr>
                <w:rFonts w:hint="eastAsia" w:ascii="宋体" w:hAnsi="宋体"/>
              </w:rPr>
              <w:t>样品、现场演示、方案讲解</w:t>
            </w:r>
            <w:bookmarkEnd w:id="35"/>
          </w:p>
        </w:tc>
        <w:tc>
          <w:tcPr>
            <w:tcW w:w="4980" w:type="dxa"/>
            <w:vAlign w:val="center"/>
          </w:tcPr>
          <w:p>
            <w:pPr>
              <w:jc w:val="center"/>
              <w:rPr>
                <w:rFonts w:ascii="宋体" w:hAnsi="宋体"/>
              </w:rPr>
            </w:pPr>
            <w:r>
              <w:rPr>
                <w:rFonts w:hint="eastAsia" w:ascii="宋体" w:hAnsi="宋体"/>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7</w:t>
            </w:r>
          </w:p>
        </w:tc>
        <w:tc>
          <w:tcPr>
            <w:tcW w:w="2409" w:type="dxa"/>
            <w:vAlign w:val="center"/>
          </w:tcPr>
          <w:p>
            <w:pPr>
              <w:jc w:val="center"/>
              <w:rPr>
                <w:rFonts w:ascii="宋体" w:hAnsi="宋体"/>
              </w:rPr>
            </w:pPr>
            <w:r>
              <w:rPr>
                <w:rFonts w:hint="eastAsia" w:ascii="宋体" w:hAnsi="宋体"/>
              </w:rPr>
              <w:t>评审方法</w:t>
            </w:r>
          </w:p>
        </w:tc>
        <w:tc>
          <w:tcPr>
            <w:tcW w:w="4980" w:type="dxa"/>
            <w:vAlign w:val="center"/>
          </w:tcPr>
          <w:p>
            <w:pPr>
              <w:jc w:val="center"/>
              <w:rPr>
                <w:rFonts w:ascii="宋体" w:hAnsi="宋体"/>
              </w:rPr>
            </w:pPr>
            <w:r>
              <w:rPr>
                <w:rFonts w:hint="eastAsia" w:ascii="宋体" w:hAnsi="宋体"/>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8</w:t>
            </w:r>
          </w:p>
        </w:tc>
        <w:tc>
          <w:tcPr>
            <w:tcW w:w="2409" w:type="dxa"/>
            <w:vAlign w:val="center"/>
          </w:tcPr>
          <w:p>
            <w:pPr>
              <w:jc w:val="center"/>
              <w:rPr>
                <w:rFonts w:ascii="宋体" w:hAnsi="宋体"/>
              </w:rPr>
            </w:pPr>
            <w:r>
              <w:rPr>
                <w:rFonts w:hint="eastAsia" w:ascii="宋体" w:hAnsi="宋体"/>
              </w:rPr>
              <w:t>定标方法</w:t>
            </w:r>
          </w:p>
        </w:tc>
        <w:tc>
          <w:tcPr>
            <w:tcW w:w="4980" w:type="dxa"/>
            <w:vAlign w:val="center"/>
          </w:tcPr>
          <w:p>
            <w:pPr>
              <w:jc w:val="center"/>
              <w:rPr>
                <w:rFonts w:ascii="宋体" w:hAnsi="宋体"/>
              </w:rPr>
            </w:pPr>
            <w:r>
              <w:rPr>
                <w:rFonts w:hint="eastAsia" w:ascii="宋体" w:hAnsi="宋体"/>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4</w:t>
            </w:r>
            <w:r>
              <w:rPr>
                <w:rFonts w:ascii="宋体" w:hAnsi="宋体"/>
              </w:rPr>
              <w:t>6</w:t>
            </w:r>
          </w:p>
        </w:tc>
        <w:tc>
          <w:tcPr>
            <w:tcW w:w="2409" w:type="dxa"/>
            <w:vAlign w:val="center"/>
          </w:tcPr>
          <w:p>
            <w:pPr>
              <w:jc w:val="center"/>
              <w:rPr>
                <w:rFonts w:ascii="宋体" w:hAnsi="宋体"/>
              </w:rPr>
            </w:pPr>
            <w:r>
              <w:rPr>
                <w:rFonts w:hint="eastAsia" w:ascii="宋体" w:hAnsi="宋体"/>
              </w:rPr>
              <w:t>履约担保</w:t>
            </w:r>
          </w:p>
        </w:tc>
        <w:tc>
          <w:tcPr>
            <w:tcW w:w="4980" w:type="dxa"/>
            <w:vAlign w:val="center"/>
          </w:tcPr>
          <w:p>
            <w:pPr>
              <w:jc w:val="center"/>
              <w:rPr>
                <w:rFonts w:ascii="宋体" w:hAnsi="宋体"/>
              </w:rPr>
            </w:pPr>
            <w:r>
              <w:rPr>
                <w:rFonts w:hint="eastAsia" w:ascii="宋体" w:hAnsi="宋体"/>
              </w:rPr>
              <w:t>合同总额5%的履约保证金，详见商务要求</w:t>
            </w:r>
          </w:p>
        </w:tc>
      </w:tr>
    </w:tbl>
    <w:p>
      <w:pPr>
        <w:rPr>
          <w:b/>
        </w:rPr>
      </w:pPr>
      <w:r>
        <w:rPr>
          <w:rFonts w:hint="eastAsia"/>
          <w:szCs w:val="21"/>
        </w:rPr>
        <w:t>备注：本表是通用条款相关条款的补充和明确，如与通用条款内容相冲突的，以本表为准。</w:t>
      </w:r>
    </w:p>
    <w:bookmarkEnd w:id="34"/>
    <w:p>
      <w:pPr>
        <w:pStyle w:val="6"/>
        <w:spacing w:before="120" w:beforeLines="50" w:after="120" w:afterLines="50"/>
        <w:rPr>
          <w:szCs w:val="24"/>
        </w:rPr>
      </w:pPr>
      <w:bookmarkStart w:id="36" w:name="_Hlk72218117"/>
      <w:r>
        <w:rPr>
          <w:rFonts w:hint="eastAsia"/>
          <w:szCs w:val="24"/>
        </w:rPr>
        <w:t>二、其他关键信息</w:t>
      </w:r>
    </w:p>
    <w:p>
      <w:pPr>
        <w:ind w:firstLine="422" w:firstLineChars="200"/>
        <w:rPr>
          <w:b/>
          <w:bCs/>
        </w:rPr>
      </w:pPr>
      <w:bookmarkStart w:id="37" w:name="_Hlk72579427"/>
      <w:r>
        <w:rPr>
          <w:rFonts w:hint="eastAsia"/>
          <w:b/>
          <w:bCs/>
        </w:rPr>
        <w:t>（一）与“对通用条款的补充内容”章节相关的事项</w:t>
      </w:r>
    </w:p>
    <w:p>
      <w:pPr>
        <w:spacing w:line="276" w:lineRule="auto"/>
        <w:jc w:val="left"/>
        <w:rPr>
          <w:rFonts w:asciiTheme="minorEastAsia" w:hAnsiTheme="minorEastAsia" w:eastAsiaTheme="minorEastAsia"/>
          <w:b/>
          <w:kern w:val="0"/>
          <w:szCs w:val="20"/>
        </w:rPr>
      </w:pPr>
      <w:r>
        <w:rPr>
          <w:rFonts w:hint="eastAsia" w:asciiTheme="minorEastAsia" w:hAnsiTheme="minorEastAsia" w:eastAsiaTheme="minorEastAsia"/>
          <w:b/>
          <w:kern w:val="0"/>
          <w:szCs w:val="20"/>
        </w:rPr>
        <w:t>1、评标定标信息</w:t>
      </w:r>
    </w:p>
    <w:p>
      <w:pPr>
        <w:jc w:val="center"/>
      </w:pPr>
      <w:r>
        <w:rPr>
          <w:rFonts w:hint="eastAsia"/>
          <w:b/>
        </w:rPr>
        <w:t>非评定分离项目</w:t>
      </w:r>
    </w:p>
    <w:tbl>
      <w:tblPr>
        <w:tblStyle w:val="4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pPr>
            <w:r>
              <w:rPr>
                <w:rFonts w:hint="eastAsia"/>
              </w:rPr>
              <w:t>评标方法</w:t>
            </w:r>
          </w:p>
        </w:tc>
        <w:tc>
          <w:tcPr>
            <w:tcW w:w="2660" w:type="pct"/>
          </w:tcPr>
          <w:p>
            <w:pPr>
              <w:jc w:val="center"/>
              <w:rPr>
                <w:rFonts w:hint="default" w:eastAsia="宋体"/>
                <w:lang w:val="en-US" w:eastAsia="zh-CN"/>
              </w:rPr>
            </w:pPr>
            <w:r>
              <w:rPr>
                <w:rFonts w:hint="eastAsia"/>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9" w:type="pct"/>
          </w:tcPr>
          <w:p>
            <w:pPr>
              <w:jc w:val="center"/>
            </w:pPr>
            <w:r>
              <w:rPr>
                <w:rFonts w:hint="eastAsia"/>
              </w:rPr>
              <w:t>候选中标供应商家数</w:t>
            </w:r>
          </w:p>
        </w:tc>
        <w:tc>
          <w:tcPr>
            <w:tcW w:w="2660" w:type="pct"/>
          </w:tcPr>
          <w:p>
            <w:pPr>
              <w:jc w:val="center"/>
              <w:rPr>
                <w:rFonts w:hint="eastAsia" w:eastAsia="宋体"/>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pPr>
            <w:r>
              <w:rPr>
                <w:rFonts w:hint="eastAsia"/>
              </w:rPr>
              <w:t>中标供应商家数</w:t>
            </w:r>
          </w:p>
        </w:tc>
        <w:tc>
          <w:tcPr>
            <w:tcW w:w="2660" w:type="pct"/>
          </w:tcPr>
          <w:p>
            <w:pPr>
              <w:jc w:val="center"/>
            </w:pPr>
            <w:r>
              <w:rPr>
                <w:rFonts w:hint="eastAsia"/>
              </w:rPr>
              <w:t>1</w:t>
            </w:r>
          </w:p>
        </w:tc>
      </w:tr>
    </w:tbl>
    <w:p>
      <w:pPr>
        <w:pStyle w:val="38"/>
      </w:pPr>
    </w:p>
    <w:p>
      <w:pPr>
        <w:ind w:firstLine="422" w:firstLineChars="200"/>
        <w:rPr>
          <w:rFonts w:hint="eastAsia"/>
          <w:b/>
        </w:rPr>
      </w:pPr>
    </w:p>
    <w:p>
      <w:pPr>
        <w:ind w:firstLine="422" w:firstLineChars="200"/>
        <w:rPr>
          <w:b/>
        </w:rPr>
      </w:pPr>
      <w:r>
        <w:rPr>
          <w:rFonts w:hint="eastAsia"/>
          <w:b/>
        </w:rPr>
        <w:t>（二）其他事项</w:t>
      </w:r>
      <w:bookmarkEnd w:id="37"/>
    </w:p>
    <w:p>
      <w:pPr>
        <w:ind w:firstLine="422" w:firstLineChars="200"/>
        <w:rPr>
          <w:rFonts w:hint="default" w:eastAsia="宋体"/>
          <w:b/>
          <w:bCs/>
          <w:lang w:val="en-US" w:eastAsia="zh-CN"/>
        </w:rPr>
      </w:pPr>
      <w:r>
        <w:rPr>
          <w:b/>
          <w:bCs/>
        </w:rPr>
        <w:t>1</w:t>
      </w:r>
      <w:r>
        <w:rPr>
          <w:rFonts w:hint="eastAsia"/>
          <w:b/>
          <w:bCs/>
        </w:rPr>
        <w:t>、</w:t>
      </w:r>
      <w:r>
        <w:rPr>
          <w:rFonts w:hint="eastAsia"/>
          <w:b/>
          <w:bCs/>
          <w:lang w:val="en-US" w:eastAsia="zh-CN"/>
        </w:rPr>
        <w:t>关于享受</w:t>
      </w:r>
      <w:r>
        <w:rPr>
          <w:rFonts w:hint="eastAsia"/>
          <w:b/>
          <w:bCs/>
        </w:rPr>
        <w:t>优惠政策的主体</w:t>
      </w:r>
      <w:r>
        <w:rPr>
          <w:rFonts w:hint="eastAsia"/>
          <w:b/>
          <w:bCs/>
          <w:lang w:eastAsia="zh-CN"/>
        </w:rPr>
        <w:t>、</w:t>
      </w:r>
      <w:r>
        <w:rPr>
          <w:rFonts w:hint="eastAsia"/>
          <w:b/>
          <w:bCs/>
        </w:rPr>
        <w:t>价格扣除比例</w:t>
      </w:r>
      <w:r>
        <w:rPr>
          <w:rFonts w:hint="eastAsia"/>
          <w:b/>
          <w:bCs/>
          <w:lang w:val="en-US" w:eastAsia="zh-CN"/>
        </w:rPr>
        <w:t>及采购标的所属行业的说明</w:t>
      </w:r>
    </w:p>
    <w:p>
      <w:pPr>
        <w:ind w:firstLine="420" w:firstLineChars="200"/>
        <w:rPr>
          <w:rFonts w:hint="default" w:eastAsia="宋体"/>
          <w:lang w:val="en-US" w:eastAsia="zh-CN"/>
        </w:rPr>
      </w:pPr>
      <w:r>
        <w:rPr>
          <w:rFonts w:hint="eastAsia"/>
        </w:rPr>
        <w:t>（1）</w:t>
      </w:r>
      <w:r>
        <w:rPr>
          <w:rFonts w:hint="eastAsia"/>
          <w:lang w:val="en-US" w:eastAsia="zh-CN"/>
        </w:rPr>
        <w:t>专门面向中小企业采购的项目，不再执行价格扣除比例。</w:t>
      </w:r>
    </w:p>
    <w:p>
      <w:pPr>
        <w:ind w:firstLine="420" w:firstLineChars="200"/>
      </w:pPr>
      <w:r>
        <w:rPr>
          <w:rFonts w:hint="eastAsia"/>
          <w:lang w:eastAsia="zh-CN"/>
        </w:rPr>
        <w:t>（</w:t>
      </w:r>
      <w:r>
        <w:rPr>
          <w:rFonts w:hint="eastAsia"/>
          <w:lang w:val="en-US" w:eastAsia="zh-CN"/>
        </w:rPr>
        <w:t>2</w:t>
      </w:r>
      <w:r>
        <w:rPr>
          <w:rFonts w:hint="eastAsia"/>
          <w:lang w:eastAsia="zh-CN"/>
        </w:rPr>
        <w:t>）</w:t>
      </w:r>
      <w:r>
        <w:rPr>
          <w:rFonts w:hint="eastAsia"/>
          <w:lang w:val="en-US" w:eastAsia="zh-CN"/>
        </w:rPr>
        <w:t>非</w:t>
      </w:r>
      <w:r>
        <w:rPr>
          <w:rFonts w:hint="eastAsia" w:ascii="Times New Roman" w:eastAsia="宋体"/>
          <w:lang w:val="en-US" w:eastAsia="zh-CN"/>
        </w:rPr>
        <w:t>专门面向中小企业采购的项目，</w:t>
      </w:r>
      <w:r>
        <w:rPr>
          <w:rFonts w:hint="eastAsia"/>
          <w:lang w:val="en-US" w:eastAsia="zh-CN"/>
        </w:rPr>
        <w:t>应</w:t>
      </w:r>
      <w:r>
        <w:rPr>
          <w:rFonts w:hint="eastAsia" w:ascii="Times New Roman" w:eastAsia="宋体"/>
          <w:lang w:val="en-US" w:eastAsia="zh-CN"/>
        </w:rPr>
        <w:t>执行价格扣除比例</w:t>
      </w:r>
      <w:r>
        <w:rPr>
          <w:rFonts w:hint="eastAsia"/>
          <w:lang w:val="en-US" w:eastAsia="zh-CN"/>
        </w:rPr>
        <w:t>：</w:t>
      </w:r>
      <w:r>
        <w:rPr>
          <w:rFonts w:hint="eastAsia"/>
        </w:rPr>
        <w:t>投标人提供的货物（以招标文件用户需求书“货物清单明细”的“货物名称”一栏为准）全部均由优惠主体制造，则对其投标总价给予</w:t>
      </w:r>
      <w:r>
        <w:rPr>
          <w:color w:val="FF0000"/>
          <w:u w:val="single"/>
        </w:rPr>
        <w:t xml:space="preserve">  </w:t>
      </w:r>
      <w:r>
        <w:rPr>
          <w:rFonts w:hint="eastAsia"/>
          <w:color w:val="FF0000"/>
          <w:u w:val="single"/>
          <w:lang w:val="en-US" w:eastAsia="zh-CN"/>
        </w:rPr>
        <w:t xml:space="preserve">10 </w:t>
      </w:r>
      <w:r>
        <w:rPr>
          <w:rFonts w:hint="eastAsia"/>
          <w:color w:val="FF0000"/>
          <w:u w:val="none"/>
          <w:lang w:val="en-US" w:eastAsia="zh-CN"/>
        </w:rPr>
        <w:t xml:space="preserve"> </w:t>
      </w:r>
      <w:r>
        <w:rPr>
          <w:color w:val="FF0000"/>
          <w:u w:val="none"/>
        </w:rPr>
        <w:t>%</w:t>
      </w:r>
      <w:r>
        <w:rPr>
          <w:rFonts w:hint="eastAsia"/>
        </w:rPr>
        <w:t>的扣除，用扣除后的价格参与评审。满足多项优惠政策的</w:t>
      </w:r>
      <w:r>
        <w:rPr>
          <w:rFonts w:hint="eastAsia"/>
          <w:lang w:val="en-US" w:eastAsia="zh-CN"/>
        </w:rPr>
        <w:t>供应商</w:t>
      </w:r>
      <w:r>
        <w:rPr>
          <w:rFonts w:hint="eastAsia"/>
        </w:rPr>
        <w:t>，不重复享受多项价格扣除政策。</w:t>
      </w:r>
    </w:p>
    <w:p>
      <w:pPr>
        <w:ind w:firstLine="420" w:firstLineChars="200"/>
      </w:pPr>
      <w:r>
        <w:rPr>
          <w:rFonts w:hint="eastAsia"/>
        </w:rPr>
        <w:t>备注：（a）</w:t>
      </w:r>
      <w:r>
        <w:rPr>
          <w:rFonts w:hint="eastAsia"/>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w:t>
      </w:r>
      <w:r>
        <w:rPr>
          <w:rFonts w:hint="eastAsia" w:ascii="宋体" w:hAnsi="宋体" w:cs="宋体"/>
          <w:szCs w:val="21"/>
        </w:rPr>
        <w:t>、自行采购</w:t>
      </w:r>
      <w:r>
        <w:rPr>
          <w:rFonts w:hint="eastAsia"/>
        </w:rPr>
        <w:t>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bookmarkStart w:id="38" w:name="_Hlk71970739"/>
      <w:r>
        <w:rPr>
          <w:rFonts w:hint="eastAsia" w:asciiTheme="minorEastAsia" w:hAnsiTheme="minorEastAsia" w:eastAsiaTheme="minorEastAsia" w:cstheme="minorEastAsia"/>
          <w:sz w:val="21"/>
          <w:szCs w:val="21"/>
        </w:rPr>
        <w:t>中小企业参加政府采购</w:t>
      </w:r>
      <w:r>
        <w:rPr>
          <w:rFonts w:hint="eastAsia" w:ascii="宋体" w:hAnsi="宋体" w:cs="宋体"/>
          <w:szCs w:val="21"/>
        </w:rPr>
        <w:t>、自行采购</w:t>
      </w:r>
      <w:r>
        <w:rPr>
          <w:rFonts w:hint="eastAsia" w:asciiTheme="minorEastAsia" w:hAnsiTheme="minorEastAsia" w:eastAsiaTheme="minorEastAsia" w:cstheme="minorEastAsia"/>
          <w:sz w:val="21"/>
          <w:szCs w:val="21"/>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 w:val="21"/>
          <w:szCs w:val="21"/>
        </w:rPr>
        <w:t>《中小企业声明函》中相关企业</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lang w:val="en-US" w:eastAsia="zh-CN"/>
        </w:rPr>
        <w:t>货物制造商</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rPr>
        <w:t>所属行业应当与采购标的所属行业相一致</w:t>
      </w:r>
      <w:r>
        <w:rPr>
          <w:rFonts w:hint="eastAsia" w:asciiTheme="minorEastAsia" w:hAnsiTheme="minorEastAsia" w:eastAsiaTheme="minorEastAsia" w:cstheme="minorEastAsia"/>
          <w:b/>
          <w:bCs/>
          <w:color w:val="FF0000"/>
          <w:sz w:val="21"/>
          <w:szCs w:val="21"/>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以招标文件第一册第三章用户需求书“货物</w:t>
      </w:r>
      <w:r>
        <w:rPr>
          <w:rFonts w:hint="eastAsia"/>
          <w:b/>
          <w:bCs/>
          <w:color w:val="FF0000"/>
          <w:lang w:val="en-US" w:eastAsia="zh-CN"/>
        </w:rPr>
        <w:t>清单</w:t>
      </w:r>
      <w:r>
        <w:rPr>
          <w:rFonts w:hint="eastAsia" w:ascii="Times New Roman" w:eastAsia="宋体"/>
          <w:b/>
          <w:bCs/>
          <w:color w:val="FF0000"/>
          <w:lang w:val="en-US" w:eastAsia="zh-CN"/>
        </w:rPr>
        <w:t>明细”的“标的所属行业”一栏为准</w:t>
      </w:r>
      <w:r>
        <w:rPr>
          <w:rFonts w:hint="eastAsia" w:asciiTheme="minorEastAsia" w:hAnsiTheme="minorEastAsia" w:eastAsiaTheme="minorEastAsia" w:cstheme="minorEastAsia"/>
          <w:b/>
          <w:bCs/>
          <w:color w:val="FF0000"/>
          <w:sz w:val="21"/>
          <w:szCs w:val="21"/>
        </w:rPr>
        <w:t>。</w:t>
      </w:r>
      <w:bookmarkEnd w:id="38"/>
    </w:p>
    <w:p>
      <w:pPr>
        <w:ind w:firstLine="420" w:firstLineChars="200"/>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w:t>
      </w:r>
      <w:r>
        <w:rPr>
          <w:rFonts w:hint="eastAsia" w:ascii="Times New Roman" w:eastAsia="宋体"/>
          <w:lang w:val="en-US" w:eastAsia="zh-CN"/>
        </w:rPr>
        <w:t>四</w:t>
      </w:r>
      <w:r>
        <w:rPr>
          <w:rFonts w:hint="eastAsia"/>
        </w:rPr>
        <w:t>章“投标文件组成要求及格式”中“</w:t>
      </w:r>
      <w:r>
        <w:rPr>
          <w:rFonts w:hint="eastAsia" w:ascii="Times New Roman" w:eastAsia="宋体"/>
          <w:lang w:val="en-US" w:eastAsia="zh-CN"/>
        </w:rPr>
        <w:t>三、</w:t>
      </w:r>
      <w:r>
        <w:rPr>
          <w:rFonts w:hint="eastAsia"/>
        </w:rPr>
        <w:t>投标人情况及资格证明文件”章节提供的格式）。</w:t>
      </w:r>
    </w:p>
    <w:p>
      <w:pPr>
        <w:ind w:firstLine="420" w:firstLineChars="200"/>
        <w:rPr>
          <w:color w:val="FF0000"/>
        </w:rPr>
      </w:pPr>
      <w:r>
        <w:rPr>
          <w:rFonts w:hint="eastAsia"/>
        </w:rPr>
        <w:t>（</w:t>
      </w:r>
      <w:r>
        <w:rPr>
          <w:rFonts w:hint="eastAsia"/>
          <w:lang w:val="en-US" w:eastAsia="zh-CN"/>
        </w:rPr>
        <w:t>5</w:t>
      </w:r>
      <w:r>
        <w:rPr>
          <w:rFonts w:hint="eastAsia"/>
        </w:rPr>
        <w:t>）享受价格扣除获得采购合同的，小微企业不得将合同分包给大中型企业。</w:t>
      </w:r>
    </w:p>
    <w:p>
      <w:pPr>
        <w:ind w:firstLine="422" w:firstLineChars="200"/>
        <w:rPr>
          <w:rFonts w:hint="eastAsia"/>
          <w:b/>
          <w:bCs/>
          <w:lang w:val="en-US" w:eastAsia="zh-CN"/>
        </w:rPr>
      </w:pPr>
    </w:p>
    <w:p>
      <w:pPr>
        <w:ind w:firstLine="422" w:firstLineChars="200"/>
        <w:rPr>
          <w:rFonts w:hint="eastAsia"/>
          <w:b/>
          <w:bCs/>
          <w:lang w:val="en-US" w:eastAsia="zh-CN"/>
        </w:rPr>
      </w:pPr>
      <w:r>
        <w:rPr>
          <w:rFonts w:hint="eastAsia"/>
          <w:b/>
          <w:bCs/>
          <w:lang w:val="en-US" w:eastAsia="zh-CN"/>
        </w:rPr>
        <w:t>2、本项目为代理服务项目，将向中标（成交）供应商收取代理服务费。</w:t>
      </w:r>
    </w:p>
    <w:p>
      <w:pPr>
        <w:ind w:firstLine="420" w:firstLineChars="200"/>
      </w:pPr>
      <w:r>
        <w:rPr>
          <w:rFonts w:hint="eastAsia"/>
        </w:rPr>
        <w:t>中标</w:t>
      </w:r>
      <w:r>
        <w:rPr>
          <w:rFonts w:hint="eastAsia"/>
          <w:lang w:eastAsia="zh-CN"/>
        </w:rPr>
        <w:t>（</w:t>
      </w:r>
      <w:r>
        <w:rPr>
          <w:rFonts w:hint="eastAsia"/>
          <w:lang w:val="en-US" w:eastAsia="zh-CN"/>
        </w:rPr>
        <w:t>成交</w:t>
      </w:r>
      <w:r>
        <w:rPr>
          <w:rFonts w:hint="eastAsia"/>
          <w:lang w:eastAsia="zh-CN"/>
        </w:rPr>
        <w:t>）</w:t>
      </w:r>
      <w:r>
        <w:rPr>
          <w:rFonts w:hint="eastAsia"/>
        </w:rPr>
        <w:t>供应商在领取《中标</w:t>
      </w:r>
      <w:r>
        <w:rPr>
          <w:rFonts w:hint="eastAsia"/>
          <w:lang w:eastAsia="zh-CN"/>
        </w:rPr>
        <w:t>（</w:t>
      </w:r>
      <w:r>
        <w:rPr>
          <w:rFonts w:hint="eastAsia"/>
          <w:lang w:val="en-US" w:eastAsia="zh-CN"/>
        </w:rPr>
        <w:t>成交</w:t>
      </w:r>
      <w:r>
        <w:rPr>
          <w:rFonts w:hint="eastAsia"/>
          <w:lang w:eastAsia="zh-CN"/>
        </w:rPr>
        <w:t>）</w:t>
      </w:r>
      <w:r>
        <w:rPr>
          <w:rFonts w:hint="eastAsia"/>
        </w:rPr>
        <w:t>通知书》之前须向深圳公共资源交易中心（深圳交易集团有限公司</w:t>
      </w:r>
      <w:r>
        <w:rPr>
          <w:rFonts w:hint="eastAsia"/>
          <w:lang w:val="en-US" w:eastAsia="zh-CN"/>
        </w:rPr>
        <w:t>大鹏分公司</w:t>
      </w:r>
      <w:r>
        <w:rPr>
          <w:rFonts w:hint="eastAsia"/>
        </w:rPr>
        <w:t>）交纳代理服务费。若因中标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供应商交纳代理服务费所产生的时间影响到合同签订的，由中标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供应商自行承担责任。代理服务费标准参照</w:t>
      </w:r>
      <w:r>
        <w:rPr>
          <w:rFonts w:hint="eastAsia"/>
          <w:lang w:val="en-US" w:eastAsia="zh-CN"/>
        </w:rPr>
        <w:t>下列</w:t>
      </w:r>
      <w:r>
        <w:rPr>
          <w:rFonts w:hint="eastAsia"/>
        </w:rPr>
        <w:t>标准收取。</w:t>
      </w:r>
      <w:r>
        <w:rPr>
          <w:rFonts w:hint="eastAsia"/>
          <w:b/>
          <w:color w:val="FF0000"/>
        </w:rPr>
        <w:t>本项目类型为货物采购：</w:t>
      </w:r>
    </w:p>
    <w:p>
      <w:pPr>
        <w:ind w:firstLine="420" w:firstLineChars="200"/>
      </w:pPr>
      <w:r>
        <w:rPr>
          <w:rFonts w:hint="eastAsia"/>
        </w:rPr>
        <w:t>（</w:t>
      </w:r>
      <w:r>
        <w:rPr>
          <w:rFonts w:hint="eastAsia"/>
          <w:lang w:val="en-US" w:eastAsia="zh-CN"/>
        </w:rPr>
        <w:t>1</w:t>
      </w:r>
      <w:r>
        <w:rPr>
          <w:rFonts w:hint="eastAsia"/>
        </w:rPr>
        <w:t>）代理服务费以《中标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通知书》确定的</w:t>
      </w:r>
      <w:r>
        <w:rPr>
          <w:rFonts w:hint="eastAsia"/>
          <w:lang w:val="en-US" w:eastAsia="zh-CN"/>
        </w:rPr>
        <w:t>中标（</w:t>
      </w:r>
      <w:r>
        <w:rPr>
          <w:rFonts w:hint="eastAsia"/>
        </w:rPr>
        <w:t>成交</w:t>
      </w:r>
      <w:r>
        <w:rPr>
          <w:rFonts w:hint="eastAsia"/>
          <w:lang w:eastAsia="zh-CN"/>
        </w:rPr>
        <w:t>）</w:t>
      </w:r>
      <w:r>
        <w:rPr>
          <w:rFonts w:hint="eastAsia"/>
        </w:rPr>
        <w:t>金额作为计算基数，按差额定率累进法计算。</w:t>
      </w:r>
    </w:p>
    <w:p>
      <w:pPr>
        <w:ind w:firstLine="420" w:firstLineChars="200"/>
      </w:pPr>
      <w:r>
        <w:rPr>
          <w:rFonts w:hint="eastAsia"/>
        </w:rPr>
        <w:t>（</w:t>
      </w:r>
      <w:r>
        <w:rPr>
          <w:rFonts w:hint="eastAsia"/>
          <w:lang w:val="en-US" w:eastAsia="zh-CN"/>
        </w:rPr>
        <w:t>2</w:t>
      </w: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金额的各部分费率如下表：</w:t>
      </w:r>
    </w:p>
    <w:tbl>
      <w:tblPr>
        <w:tblStyle w:val="4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pPr>
            <w:r>
              <w:rPr>
                <w:rFonts w:hint="eastAsia"/>
                <w:lang w:val="en-US" w:eastAsia="zh-CN"/>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w:t>
            </w:r>
          </w:p>
        </w:tc>
        <w:tc>
          <w:tcPr>
            <w:tcW w:w="1799" w:type="dxa"/>
            <w:vAlign w:val="center"/>
          </w:tcPr>
          <w:p>
            <w:pPr>
              <w:widowControl/>
              <w:spacing w:line="360" w:lineRule="auto"/>
              <w:jc w:val="center"/>
            </w:pPr>
            <w:r>
              <w:rPr>
                <w:rFonts w:hint="eastAsia"/>
              </w:rPr>
              <w:t>货物采购</w:t>
            </w:r>
          </w:p>
        </w:tc>
        <w:tc>
          <w:tcPr>
            <w:tcW w:w="1799" w:type="dxa"/>
            <w:vAlign w:val="center"/>
          </w:tcPr>
          <w:p>
            <w:pPr>
              <w:widowControl/>
              <w:spacing w:line="360" w:lineRule="auto"/>
              <w:jc w:val="center"/>
            </w:pPr>
            <w:r>
              <w:rPr>
                <w:rFonts w:hint="eastAsia"/>
              </w:rPr>
              <w:t>服务采购</w:t>
            </w:r>
          </w:p>
        </w:tc>
        <w:tc>
          <w:tcPr>
            <w:tcW w:w="1799" w:type="dxa"/>
            <w:vAlign w:val="center"/>
          </w:tcPr>
          <w:p>
            <w:pPr>
              <w:widowControl/>
              <w:spacing w:line="360" w:lineRule="auto"/>
              <w:jc w:val="cente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100万元以下</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100万元（含）-500万元</w:t>
            </w:r>
          </w:p>
        </w:tc>
        <w:tc>
          <w:tcPr>
            <w:tcW w:w="1799" w:type="dxa"/>
            <w:vAlign w:val="center"/>
          </w:tcPr>
          <w:p>
            <w:pPr>
              <w:widowControl/>
              <w:spacing w:line="360" w:lineRule="auto"/>
              <w:jc w:val="center"/>
            </w:pPr>
            <w:r>
              <w:rPr>
                <w:rFonts w:hint="eastAsia"/>
              </w:rPr>
              <w:t>1.1%</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500万元（含）-1000万元</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0.45%</w:t>
            </w:r>
          </w:p>
        </w:tc>
        <w:tc>
          <w:tcPr>
            <w:tcW w:w="1799" w:type="dxa"/>
            <w:vAlign w:val="center"/>
          </w:tcPr>
          <w:p>
            <w:pPr>
              <w:widowControl/>
              <w:spacing w:line="360" w:lineRule="auto"/>
              <w:jc w:val="cente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1000万元（含）-5000万元</w:t>
            </w:r>
          </w:p>
        </w:tc>
        <w:tc>
          <w:tcPr>
            <w:tcW w:w="1799" w:type="dxa"/>
            <w:vAlign w:val="center"/>
          </w:tcPr>
          <w:p>
            <w:pPr>
              <w:widowControl/>
              <w:spacing w:line="360" w:lineRule="auto"/>
              <w:jc w:val="center"/>
            </w:pPr>
            <w:r>
              <w:rPr>
                <w:rFonts w:hint="eastAsia"/>
              </w:rPr>
              <w:t>0.5%</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5000万元（含）-1亿元</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0.1%</w:t>
            </w:r>
          </w:p>
        </w:tc>
        <w:tc>
          <w:tcPr>
            <w:tcW w:w="1799" w:type="dxa"/>
            <w:vAlign w:val="center"/>
          </w:tcPr>
          <w:p>
            <w:pPr>
              <w:widowControl/>
              <w:spacing w:line="360" w:lineRule="auto"/>
              <w:jc w:val="cente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1亿元（含）-5亿元</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5亿元（含）-10亿元</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pPr>
            <w:r>
              <w:rPr>
                <w:rFonts w:hint="eastAsia"/>
              </w:rPr>
              <w:t>10亿元（含）-50亿元</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50亿元（含）-100亿元</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100亿元（含）以上</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r>
    </w:tbl>
    <w:p>
      <w:pPr>
        <w:ind w:firstLine="420" w:firstLineChars="200"/>
      </w:pPr>
      <w:r>
        <w:rPr>
          <w:rFonts w:hint="eastAsia"/>
        </w:rPr>
        <w:t xml:space="preserve">备注：1.每宗交易代理服务费不低于 </w:t>
      </w:r>
      <w:r>
        <w:rPr>
          <w:rFonts w:hint="eastAsia"/>
          <w:lang w:val="en-US" w:eastAsia="zh-CN"/>
        </w:rPr>
        <w:t>5</w:t>
      </w:r>
      <w:r>
        <w:rPr>
          <w:rFonts w:hint="eastAsia"/>
        </w:rPr>
        <w:t>000 元；</w:t>
      </w:r>
    </w:p>
    <w:p>
      <w:pPr>
        <w:ind w:firstLine="420" w:firstLineChars="200"/>
        <w:rPr>
          <w:rFonts w:hint="eastAsia" w:eastAsia="宋体"/>
          <w:lang w:eastAsia="zh-CN"/>
        </w:rPr>
      </w:pPr>
      <w:r>
        <w:rPr>
          <w:rFonts w:hint="eastAsia"/>
        </w:rPr>
        <w:t>2.对于报总价的采购类项目，中标</w:t>
      </w:r>
      <w:r>
        <w:rPr>
          <w:rFonts w:hint="eastAsia"/>
          <w:lang w:eastAsia="zh-CN"/>
        </w:rPr>
        <w:t>（</w:t>
      </w:r>
      <w:r>
        <w:rPr>
          <w:rFonts w:hint="eastAsia"/>
          <w:lang w:val="en-US" w:eastAsia="zh-CN"/>
        </w:rPr>
        <w:t>成交</w:t>
      </w:r>
      <w:r>
        <w:rPr>
          <w:rFonts w:hint="eastAsia"/>
          <w:lang w:eastAsia="zh-CN"/>
        </w:rPr>
        <w:t>）</w:t>
      </w:r>
      <w:r>
        <w:rPr>
          <w:rFonts w:hint="eastAsia"/>
        </w:rPr>
        <w:t>价为中标（成交）金额；对于报单价、折扣或费率的采购类项目，中标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价为预算上限金额或经委托方与代理方确定的支付上限金额；</w:t>
      </w:r>
    </w:p>
    <w:p>
      <w:pPr>
        <w:ind w:firstLine="420" w:firstLineChars="200"/>
      </w:pP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ind w:firstLine="420" w:firstLineChars="200"/>
      </w:pPr>
      <w:r>
        <w:rPr>
          <w:rFonts w:hint="eastAsia"/>
        </w:rPr>
        <w:t>（</w:t>
      </w:r>
      <w:r>
        <w:rPr>
          <w:rFonts w:hint="eastAsia"/>
          <w:lang w:val="en-US" w:eastAsia="zh-CN"/>
        </w:rPr>
        <w:t>3</w:t>
      </w:r>
      <w:r>
        <w:rPr>
          <w:rFonts w:hint="eastAsia"/>
        </w:rPr>
        <w:t>）中标（成交）供应商中标（成交）后，必须按规定采用银行对公转账方式向深圳交易集团有限公司直接交纳代理服务费，交纳信息及要求按照缴款</w:t>
      </w:r>
      <w:r>
        <w:rPr>
          <w:rFonts w:hint="eastAsia"/>
          <w:lang w:eastAsia="zh-CN"/>
        </w:rPr>
        <w:t>（</w:t>
      </w:r>
      <w:r>
        <w:rPr>
          <w:rFonts w:hint="eastAsia"/>
          <w:lang w:val="en-US" w:eastAsia="zh-CN"/>
        </w:rPr>
        <w:t>付款</w:t>
      </w:r>
      <w:r>
        <w:rPr>
          <w:rFonts w:hint="eastAsia"/>
          <w:lang w:eastAsia="zh-CN"/>
        </w:rPr>
        <w:t>）</w:t>
      </w:r>
      <w:r>
        <w:rPr>
          <w:rFonts w:hint="eastAsia"/>
        </w:rPr>
        <w:t>通知书执行。</w:t>
      </w:r>
    </w:p>
    <w:p>
      <w:pPr>
        <w:pStyle w:val="38"/>
        <w:rPr>
          <w:b/>
        </w:rPr>
      </w:pPr>
    </w:p>
    <w:p>
      <w:pPr>
        <w:pStyle w:val="38"/>
        <w:rPr>
          <w:b/>
        </w:rPr>
      </w:pPr>
    </w:p>
    <w:p>
      <w:pPr>
        <w:pStyle w:val="38"/>
        <w:rPr>
          <w:b/>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36"/>
    <w:p>
      <w:pPr>
        <w:pStyle w:val="6"/>
        <w:rPr>
          <w:sz w:val="28"/>
          <w:szCs w:val="28"/>
        </w:rPr>
      </w:pPr>
      <w:r>
        <w:rPr>
          <w:rFonts w:hint="eastAsia"/>
          <w:sz w:val="28"/>
          <w:szCs w:val="28"/>
        </w:rPr>
        <w:t>第三章 用户需求书</w:t>
      </w:r>
    </w:p>
    <w:p>
      <w:pPr>
        <w:pStyle w:val="6"/>
        <w:spacing w:before="120" w:beforeLines="50" w:after="120" w:afterLines="50"/>
        <w:rPr>
          <w:szCs w:val="24"/>
        </w:rPr>
      </w:pPr>
      <w:r>
        <w:rPr>
          <w:rFonts w:hint="eastAsia"/>
          <w:szCs w:val="24"/>
        </w:rPr>
        <w:t>一、项目基本信息</w:t>
      </w:r>
    </w:p>
    <w:p>
      <w:pPr>
        <w:rPr>
          <w:rFonts w:ascii="宋体" w:hAnsi="宋体"/>
          <w:b/>
          <w:color w:val="FF0000"/>
          <w:szCs w:val="21"/>
        </w:rPr>
      </w:pPr>
    </w:p>
    <w:tbl>
      <w:tblPr>
        <w:tblStyle w:val="4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4545"/>
        <w:gridCol w:w="3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8" w:type="pct"/>
            <w:vAlign w:val="center"/>
          </w:tcPr>
          <w:p>
            <w:pPr>
              <w:jc w:val="center"/>
              <w:rPr>
                <w:bCs/>
                <w:szCs w:val="21"/>
              </w:rPr>
            </w:pPr>
            <w:r>
              <w:rPr>
                <w:rFonts w:hint="eastAsia"/>
                <w:bCs/>
                <w:szCs w:val="21"/>
              </w:rPr>
              <w:t>序号</w:t>
            </w:r>
          </w:p>
        </w:tc>
        <w:tc>
          <w:tcPr>
            <w:tcW w:w="2664" w:type="pct"/>
            <w:vAlign w:val="center"/>
          </w:tcPr>
          <w:p>
            <w:pPr>
              <w:jc w:val="center"/>
              <w:rPr>
                <w:bCs/>
                <w:szCs w:val="21"/>
              </w:rPr>
            </w:pPr>
            <w:r>
              <w:rPr>
                <w:rFonts w:hint="eastAsia"/>
                <w:bCs/>
                <w:szCs w:val="21"/>
              </w:rPr>
              <w:t>采购项目名称</w:t>
            </w:r>
          </w:p>
        </w:tc>
        <w:tc>
          <w:tcPr>
            <w:tcW w:w="1986" w:type="pct"/>
            <w:vAlign w:val="center"/>
          </w:tcPr>
          <w:p>
            <w:pPr>
              <w:jc w:val="center"/>
              <w:rPr>
                <w:b/>
                <w:bCs/>
                <w:color w:val="FF0000"/>
                <w:szCs w:val="21"/>
              </w:rPr>
            </w:pPr>
            <w:r>
              <w:rPr>
                <w:rFonts w:hint="eastAsia"/>
                <w:b/>
                <w:bCs/>
                <w:color w:val="FF0000"/>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8" w:type="pct"/>
            <w:vAlign w:val="center"/>
          </w:tcPr>
          <w:p>
            <w:pPr>
              <w:jc w:val="center"/>
              <w:rPr>
                <w:bCs/>
                <w:color w:val="FF0000"/>
                <w:szCs w:val="21"/>
              </w:rPr>
            </w:pPr>
            <w:r>
              <w:rPr>
                <w:rFonts w:hint="eastAsia"/>
                <w:bCs/>
                <w:color w:val="FF0000"/>
                <w:szCs w:val="21"/>
              </w:rPr>
              <w:t>1</w:t>
            </w:r>
          </w:p>
        </w:tc>
        <w:tc>
          <w:tcPr>
            <w:tcW w:w="2664" w:type="pct"/>
            <w:vAlign w:val="center"/>
          </w:tcPr>
          <w:p>
            <w:pPr>
              <w:jc w:val="center"/>
              <w:rPr>
                <w:rFonts w:hint="eastAsia" w:eastAsia="宋体"/>
                <w:b/>
                <w:bCs/>
                <w:color w:val="FF0000"/>
                <w:szCs w:val="21"/>
                <w:lang w:eastAsia="zh-CN"/>
              </w:rPr>
            </w:pPr>
            <w:r>
              <w:rPr>
                <w:rFonts w:hint="eastAsia"/>
                <w:b/>
                <w:bCs/>
                <w:color w:val="FF0000"/>
                <w:szCs w:val="21"/>
                <w:lang w:eastAsia="zh-CN"/>
              </w:rPr>
              <w:t>儿保科检查设备一批（多功能组合式监护仪（脑功能状态定量测量仪）和屈光筛查仪）</w:t>
            </w:r>
          </w:p>
        </w:tc>
        <w:tc>
          <w:tcPr>
            <w:tcW w:w="1986" w:type="pct"/>
            <w:vAlign w:val="center"/>
          </w:tcPr>
          <w:p>
            <w:pPr>
              <w:jc w:val="center"/>
              <w:rPr>
                <w:rFonts w:hint="default"/>
                <w:bCs/>
                <w:color w:val="FF0000"/>
                <w:szCs w:val="21"/>
                <w:lang w:val="en-US"/>
              </w:rPr>
            </w:pPr>
            <w:r>
              <w:rPr>
                <w:rFonts w:hint="eastAsia" w:ascii="仿宋" w:hAnsi="仿宋" w:eastAsia="仿宋"/>
                <w:sz w:val="24"/>
                <w:szCs w:val="24"/>
                <w:lang w:val="en-US" w:eastAsia="zh-CN"/>
              </w:rPr>
              <w:t>511700.00</w:t>
            </w:r>
          </w:p>
        </w:tc>
      </w:tr>
    </w:tbl>
    <w:p>
      <w:pPr>
        <w:rPr>
          <w:rFonts w:ascii="宋体" w:hAnsi="宋体"/>
          <w:b/>
          <w:color w:val="FF0000"/>
          <w:szCs w:val="21"/>
        </w:rPr>
      </w:pPr>
    </w:p>
    <w:p>
      <w:pPr>
        <w:rPr>
          <w:rFonts w:ascii="宋体" w:hAnsi="宋体"/>
          <w:b/>
          <w:color w:val="FF0000"/>
          <w:szCs w:val="21"/>
        </w:rPr>
      </w:pPr>
    </w:p>
    <w:p>
      <w:pPr>
        <w:pStyle w:val="6"/>
        <w:spacing w:before="120" w:beforeLines="50" w:after="120" w:afterLines="50"/>
        <w:rPr>
          <w:szCs w:val="24"/>
        </w:rPr>
      </w:pPr>
      <w:bookmarkStart w:id="39" w:name="_Hlk72258617"/>
      <w:r>
        <w:rPr>
          <w:rFonts w:hint="eastAsia"/>
          <w:szCs w:val="24"/>
        </w:rPr>
        <w:t>二、</w:t>
      </w:r>
      <w:bookmarkStart w:id="40" w:name="_Hlk72073432"/>
      <w:r>
        <w:rPr>
          <w:rFonts w:hint="eastAsia"/>
          <w:szCs w:val="24"/>
        </w:rPr>
        <w:t>货物</w:t>
      </w:r>
      <w:r>
        <w:rPr>
          <w:rFonts w:hint="eastAsia"/>
          <w:szCs w:val="24"/>
          <w:lang w:val="en-US" w:eastAsia="zh-CN"/>
        </w:rPr>
        <w:t>清单</w:t>
      </w:r>
      <w:r>
        <w:rPr>
          <w:rFonts w:hint="eastAsia"/>
          <w:szCs w:val="24"/>
        </w:rPr>
        <w:t>明细</w:t>
      </w:r>
      <w:bookmarkEnd w:id="40"/>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524"/>
        <w:gridCol w:w="608"/>
        <w:gridCol w:w="552"/>
        <w:gridCol w:w="1033"/>
        <w:gridCol w:w="1023"/>
        <w:gridCol w:w="1120"/>
        <w:gridCol w:w="1120"/>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8" w:type="pct"/>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893" w:type="pct"/>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货物名称（标的名称）</w:t>
            </w:r>
          </w:p>
        </w:tc>
        <w:tc>
          <w:tcPr>
            <w:tcW w:w="357" w:type="pct"/>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数量</w:t>
            </w:r>
          </w:p>
        </w:tc>
        <w:tc>
          <w:tcPr>
            <w:tcW w:w="324" w:type="pct"/>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单位</w:t>
            </w:r>
          </w:p>
        </w:tc>
        <w:tc>
          <w:tcPr>
            <w:tcW w:w="605" w:type="pct"/>
            <w:vAlign w:val="center"/>
          </w:tcPr>
          <w:p>
            <w:pPr>
              <w:jc w:val="center"/>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是否接受进口</w:t>
            </w:r>
          </w:p>
        </w:tc>
        <w:tc>
          <w:tcPr>
            <w:tcW w:w="599" w:type="pct"/>
            <w:vAlign w:val="center"/>
          </w:tcPr>
          <w:p>
            <w:pPr>
              <w:jc w:val="center"/>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是否专门面向中小企业</w:t>
            </w:r>
          </w:p>
        </w:tc>
        <w:tc>
          <w:tcPr>
            <w:tcW w:w="656" w:type="pct"/>
            <w:vAlign w:val="center"/>
          </w:tcPr>
          <w:p>
            <w:pPr>
              <w:jc w:val="center"/>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标的所属行业</w:t>
            </w:r>
          </w:p>
        </w:tc>
        <w:tc>
          <w:tcPr>
            <w:tcW w:w="656" w:type="pct"/>
            <w:vAlign w:val="center"/>
          </w:tcPr>
          <w:p>
            <w:pPr>
              <w:jc w:val="both"/>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最高限价（万元）</w:t>
            </w:r>
          </w:p>
        </w:tc>
        <w:tc>
          <w:tcPr>
            <w:tcW w:w="656" w:type="pct"/>
            <w:vAlign w:val="center"/>
          </w:tcPr>
          <w:p>
            <w:pPr>
              <w:jc w:val="both"/>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是否医疗器械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8" w:type="pct"/>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893" w:type="pct"/>
            <w:vAlign w:val="center"/>
          </w:tcPr>
          <w:p>
            <w:pPr>
              <w:jc w:val="center"/>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多功能组合式监护仪（脑功能状态定量仪）</w:t>
            </w:r>
          </w:p>
        </w:tc>
        <w:tc>
          <w:tcPr>
            <w:tcW w:w="357" w:type="pct"/>
            <w:vAlign w:val="center"/>
          </w:tcPr>
          <w:p>
            <w:pPr>
              <w:jc w:val="center"/>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1</w:t>
            </w:r>
          </w:p>
        </w:tc>
        <w:tc>
          <w:tcPr>
            <w:tcW w:w="324" w:type="pct"/>
            <w:vAlign w:val="center"/>
          </w:tcPr>
          <w:p>
            <w:pPr>
              <w:jc w:val="center"/>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台</w:t>
            </w:r>
          </w:p>
        </w:tc>
        <w:tc>
          <w:tcPr>
            <w:tcW w:w="605" w:type="pct"/>
            <w:vAlign w:val="center"/>
          </w:tcPr>
          <w:p>
            <w:pPr>
              <w:jc w:val="center"/>
              <w:rPr>
                <w:rFonts w:hint="eastAsia" w:ascii="宋体" w:hAnsi="宋体" w:eastAsia="宋体" w:cs="宋体"/>
                <w:b/>
                <w:bCs/>
                <w:color w:val="FF0000"/>
                <w:sz w:val="21"/>
                <w:szCs w:val="21"/>
              </w:rPr>
            </w:pPr>
            <w:r>
              <w:rPr>
                <w:rFonts w:hint="eastAsia" w:ascii="宋体" w:hAnsi="宋体" w:eastAsia="宋体" w:cs="宋体"/>
                <w:b/>
                <w:bCs/>
                <w:sz w:val="21"/>
                <w:szCs w:val="21"/>
              </w:rPr>
              <w:t>拒绝进口</w:t>
            </w:r>
          </w:p>
        </w:tc>
        <w:tc>
          <w:tcPr>
            <w:tcW w:w="599" w:type="pct"/>
            <w:vAlign w:val="center"/>
          </w:tcPr>
          <w:p>
            <w:pPr>
              <w:jc w:val="center"/>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否</w:t>
            </w:r>
          </w:p>
        </w:tc>
        <w:tc>
          <w:tcPr>
            <w:tcW w:w="656" w:type="pct"/>
            <w:vAlign w:val="center"/>
          </w:tcPr>
          <w:p>
            <w:pPr>
              <w:jc w:val="center"/>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工业</w:t>
            </w:r>
          </w:p>
        </w:tc>
        <w:tc>
          <w:tcPr>
            <w:tcW w:w="656" w:type="pct"/>
            <w:vAlign w:val="center"/>
          </w:tcPr>
          <w:p>
            <w:pPr>
              <w:jc w:val="center"/>
              <w:rPr>
                <w:rFonts w:hint="eastAsia" w:ascii="宋体" w:hAnsi="宋体" w:eastAsia="宋体" w:cs="宋体"/>
                <w:b/>
                <w:bCs/>
                <w:color w:val="FF0000"/>
                <w:sz w:val="21"/>
                <w:szCs w:val="21"/>
                <w:lang w:val="en-US" w:eastAsia="zh-CN"/>
              </w:rPr>
            </w:pPr>
            <w:r>
              <w:rPr>
                <w:rFonts w:hint="eastAsia" w:ascii="宋体" w:hAnsi="宋体" w:eastAsia="宋体" w:cs="宋体"/>
                <w:b/>
                <w:bCs/>
                <w:color w:val="EE0000"/>
                <w:sz w:val="21"/>
                <w:szCs w:val="21"/>
                <w:lang w:val="en-US" w:eastAsia="zh-CN"/>
              </w:rPr>
              <w:t>41.32</w:t>
            </w:r>
          </w:p>
        </w:tc>
        <w:tc>
          <w:tcPr>
            <w:tcW w:w="656" w:type="pct"/>
            <w:vAlign w:val="center"/>
          </w:tcPr>
          <w:p>
            <w:pPr>
              <w:jc w:val="center"/>
              <w:rPr>
                <w:rFonts w:hint="eastAsia" w:ascii="宋体" w:hAnsi="宋体" w:eastAsia="宋体" w:cs="宋体"/>
                <w:b/>
                <w:bCs/>
                <w:color w:val="EE0000"/>
                <w:sz w:val="21"/>
                <w:szCs w:val="21"/>
                <w:lang w:val="en-US" w:eastAsia="zh-CN"/>
              </w:rPr>
            </w:pPr>
            <w:r>
              <w:rPr>
                <w:rFonts w:hint="eastAsia" w:ascii="宋体" w:hAnsi="宋体" w:eastAsia="宋体" w:cs="宋体"/>
                <w:b/>
                <w:bCs/>
                <w:color w:val="EE0000"/>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8" w:type="pct"/>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893" w:type="pct"/>
            <w:vAlign w:val="center"/>
          </w:tcPr>
          <w:p>
            <w:pPr>
              <w:ind w:firstLine="0" w:firstLineChars="0"/>
              <w:jc w:val="center"/>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屈光筛查仪</w:t>
            </w:r>
          </w:p>
        </w:tc>
        <w:tc>
          <w:tcPr>
            <w:tcW w:w="357" w:type="pct"/>
            <w:vAlign w:val="center"/>
          </w:tcPr>
          <w:p>
            <w:pPr>
              <w:jc w:val="center"/>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1</w:t>
            </w:r>
          </w:p>
        </w:tc>
        <w:tc>
          <w:tcPr>
            <w:tcW w:w="324" w:type="pct"/>
            <w:vAlign w:val="center"/>
          </w:tcPr>
          <w:p>
            <w:pPr>
              <w:jc w:val="center"/>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台</w:t>
            </w:r>
          </w:p>
        </w:tc>
        <w:tc>
          <w:tcPr>
            <w:tcW w:w="605" w:type="pct"/>
            <w:vAlign w:val="center"/>
          </w:tcPr>
          <w:p>
            <w:pPr>
              <w:jc w:val="center"/>
              <w:rPr>
                <w:rFonts w:hint="eastAsia" w:ascii="宋体" w:hAnsi="宋体" w:eastAsia="宋体" w:cs="宋体"/>
                <w:b/>
                <w:bCs/>
                <w:color w:val="FF0000"/>
                <w:sz w:val="21"/>
                <w:szCs w:val="21"/>
              </w:rPr>
            </w:pPr>
            <w:r>
              <w:rPr>
                <w:rFonts w:hint="eastAsia" w:ascii="宋体" w:hAnsi="宋体" w:eastAsia="宋体" w:cs="宋体"/>
                <w:b/>
                <w:bCs/>
                <w:sz w:val="21"/>
                <w:szCs w:val="21"/>
              </w:rPr>
              <w:t>拒绝进口</w:t>
            </w:r>
          </w:p>
        </w:tc>
        <w:tc>
          <w:tcPr>
            <w:tcW w:w="599" w:type="pct"/>
            <w:vAlign w:val="center"/>
          </w:tcPr>
          <w:p>
            <w:pPr>
              <w:jc w:val="center"/>
              <w:rPr>
                <w:rFonts w:hint="eastAsia" w:ascii="宋体" w:hAnsi="宋体" w:eastAsia="宋体" w:cs="宋体"/>
                <w:b/>
                <w:bCs/>
                <w:color w:val="FF0000"/>
                <w:sz w:val="21"/>
                <w:szCs w:val="21"/>
              </w:rPr>
            </w:pPr>
            <w:r>
              <w:rPr>
                <w:rFonts w:hint="eastAsia" w:ascii="宋体" w:hAnsi="宋体" w:eastAsia="宋体" w:cs="宋体"/>
                <w:b/>
                <w:bCs/>
                <w:color w:val="FF0000"/>
                <w:sz w:val="21"/>
                <w:szCs w:val="21"/>
                <w:lang w:val="en-US" w:eastAsia="zh-CN"/>
              </w:rPr>
              <w:t>否</w:t>
            </w:r>
          </w:p>
        </w:tc>
        <w:tc>
          <w:tcPr>
            <w:tcW w:w="656" w:type="pct"/>
            <w:vAlign w:val="center"/>
          </w:tcPr>
          <w:p>
            <w:pPr>
              <w:jc w:val="center"/>
              <w:rPr>
                <w:rFonts w:hint="eastAsia" w:ascii="宋体" w:hAnsi="宋体" w:eastAsia="宋体" w:cs="宋体"/>
                <w:b/>
                <w:bCs/>
                <w:color w:val="FF0000"/>
                <w:sz w:val="21"/>
                <w:szCs w:val="21"/>
              </w:rPr>
            </w:pPr>
            <w:r>
              <w:rPr>
                <w:rFonts w:hint="eastAsia" w:ascii="宋体" w:hAnsi="宋体" w:eastAsia="宋体" w:cs="宋体"/>
                <w:b/>
                <w:bCs/>
                <w:color w:val="FF0000"/>
                <w:sz w:val="21"/>
                <w:szCs w:val="21"/>
                <w:lang w:val="en-US" w:eastAsia="zh-CN"/>
              </w:rPr>
              <w:t>工业</w:t>
            </w:r>
          </w:p>
        </w:tc>
        <w:tc>
          <w:tcPr>
            <w:tcW w:w="656" w:type="pct"/>
            <w:vAlign w:val="center"/>
          </w:tcPr>
          <w:p>
            <w:pPr>
              <w:jc w:val="center"/>
              <w:rPr>
                <w:rFonts w:hint="eastAsia" w:ascii="宋体" w:hAnsi="宋体" w:eastAsia="宋体" w:cs="宋体"/>
                <w:b/>
                <w:bCs/>
                <w:color w:val="FF0000"/>
                <w:sz w:val="21"/>
                <w:szCs w:val="21"/>
                <w:lang w:val="en-US" w:eastAsia="zh-CN"/>
              </w:rPr>
            </w:pPr>
            <w:r>
              <w:rPr>
                <w:rFonts w:hint="eastAsia" w:ascii="宋体" w:hAnsi="宋体" w:eastAsia="宋体" w:cs="宋体"/>
                <w:b/>
                <w:bCs/>
                <w:color w:val="EE0000"/>
                <w:sz w:val="21"/>
                <w:szCs w:val="21"/>
                <w:lang w:val="en-US" w:eastAsia="zh-CN"/>
              </w:rPr>
              <w:t>9.85</w:t>
            </w:r>
          </w:p>
        </w:tc>
        <w:tc>
          <w:tcPr>
            <w:tcW w:w="656" w:type="pct"/>
            <w:vAlign w:val="center"/>
          </w:tcPr>
          <w:p>
            <w:pPr>
              <w:jc w:val="center"/>
              <w:rPr>
                <w:rFonts w:hint="eastAsia" w:ascii="宋体" w:hAnsi="宋体" w:eastAsia="宋体" w:cs="宋体"/>
                <w:b/>
                <w:bCs/>
                <w:color w:val="EE0000"/>
                <w:sz w:val="21"/>
                <w:szCs w:val="21"/>
                <w:lang w:val="en-US" w:eastAsia="zh-CN"/>
              </w:rPr>
            </w:pPr>
            <w:r>
              <w:rPr>
                <w:rFonts w:hint="eastAsia" w:ascii="宋体" w:hAnsi="宋体" w:eastAsia="宋体" w:cs="宋体"/>
                <w:b/>
                <w:bCs/>
                <w:color w:val="EE0000"/>
                <w:sz w:val="21"/>
                <w:szCs w:val="21"/>
                <w:lang w:val="en-US" w:eastAsia="zh-CN"/>
              </w:rPr>
              <w:t>是</w:t>
            </w:r>
          </w:p>
        </w:tc>
      </w:tr>
    </w:tbl>
    <w:p>
      <w:pPr>
        <w:ind w:firstLine="422" w:firstLineChars="200"/>
        <w:rPr>
          <w:rFonts w:hint="eastAsia" w:ascii="宋体" w:hAnsi="宋体"/>
          <w:b/>
          <w:color w:val="FF0000"/>
          <w:szCs w:val="21"/>
        </w:rPr>
      </w:pPr>
    </w:p>
    <w:tbl>
      <w:tblPr>
        <w:tblStyle w:val="45"/>
        <w:tblW w:w="8307"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307" w:type="dxa"/>
          </w:tcPr>
          <w:p>
            <w:pPr>
              <w:rPr>
                <w:rFonts w:ascii="仿宋" w:hAnsi="仿宋" w:eastAsia="仿宋"/>
                <w:color w:val="000000" w:themeColor="text1"/>
                <w:sz w:val="24"/>
                <w:szCs w:val="24"/>
                <w14:textFill>
                  <w14:solidFill>
                    <w14:schemeClr w14:val="tx1"/>
                  </w14:solidFill>
                </w14:textFill>
              </w:rPr>
            </w:pPr>
            <w:r>
              <w:rPr>
                <w:rFonts w:hint="eastAsia"/>
              </w:rPr>
              <w:t>（多功能组合式监护仪，脑功能状态定量仪）单台配置清单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307" w:type="dxa"/>
          </w:tcPr>
          <w:p>
            <w:pPr>
              <w:rPr>
                <w:rFonts w:ascii="仿宋" w:hAnsi="仿宋" w:eastAsia="仿宋"/>
                <w:b/>
                <w:bCs/>
                <w:color w:val="000000" w:themeColor="text1"/>
                <w:sz w:val="24"/>
                <w:szCs w:val="24"/>
                <w14:textFill>
                  <w14:solidFill>
                    <w14:schemeClr w14:val="tx1"/>
                  </w14:solidFill>
                </w14:textFill>
              </w:rPr>
            </w:pPr>
            <w:r>
              <w:rPr>
                <w:rFonts w:hint="eastAsia"/>
              </w:rPr>
              <w:t>1．主机：1台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307" w:type="dxa"/>
          </w:tcPr>
          <w:p>
            <w:pPr>
              <w:rPr>
                <w:rFonts w:ascii="仿宋" w:hAnsi="仿宋" w:eastAsia="仿宋"/>
                <w:b/>
                <w:bCs/>
                <w:color w:val="000000" w:themeColor="text1"/>
                <w:sz w:val="24"/>
                <w:szCs w:val="24"/>
                <w14:textFill>
                  <w14:solidFill>
                    <w14:schemeClr w14:val="tx1"/>
                  </w14:solidFill>
                </w14:textFill>
              </w:rPr>
            </w:pPr>
            <w:r>
              <w:rPr>
                <w:rFonts w:hint="eastAsia"/>
              </w:rPr>
              <w:t>2.系统软件： 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307" w:type="dxa"/>
          </w:tcPr>
          <w:p>
            <w:pPr>
              <w:rPr>
                <w:rFonts w:ascii="仿宋" w:hAnsi="仿宋" w:eastAsia="仿宋"/>
                <w:color w:val="000000" w:themeColor="text1"/>
                <w:sz w:val="24"/>
                <w:szCs w:val="24"/>
                <w14:textFill>
                  <w14:solidFill>
                    <w14:schemeClr w14:val="tx1"/>
                  </w14:solidFill>
                </w14:textFill>
              </w:rPr>
            </w:pPr>
            <w:r>
              <w:rPr>
                <w:rFonts w:hint="eastAsia"/>
              </w:rPr>
              <w:t>3.台车：1台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307" w:type="dxa"/>
          </w:tcPr>
          <w:p>
            <w:pPr>
              <w:rPr>
                <w:rFonts w:hint="default" w:eastAsia="宋体"/>
                <w:lang w:val="en-US" w:eastAsia="zh-CN"/>
              </w:rPr>
            </w:pPr>
            <w:r>
              <w:rPr>
                <w:rFonts w:hint="eastAsia"/>
                <w:lang w:val="en-US" w:eastAsia="zh-CN"/>
              </w:rPr>
              <w:t>4.打印机  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307" w:type="dxa"/>
          </w:tcPr>
          <w:p>
            <w:pPr>
              <w:rPr>
                <w:rFonts w:ascii="仿宋" w:hAnsi="仿宋" w:eastAsia="仿宋"/>
                <w:color w:val="000000" w:themeColor="text1"/>
                <w:sz w:val="24"/>
                <w:szCs w:val="24"/>
                <w14:textFill>
                  <w14:solidFill>
                    <w14:schemeClr w14:val="tx1"/>
                  </w14:solidFill>
                </w14:textFill>
              </w:rPr>
            </w:pPr>
            <w:r>
              <w:rPr>
                <w:rFonts w:hint="eastAsia"/>
                <w:lang w:val="en-US" w:eastAsia="zh-CN"/>
              </w:rPr>
              <w:t>5</w:t>
            </w:r>
            <w:r>
              <w:rPr>
                <w:rFonts w:hint="eastAsia"/>
              </w:rPr>
              <w:t>．脑电传感器/电极：2条</w:t>
            </w:r>
          </w:p>
        </w:tc>
      </w:tr>
    </w:tbl>
    <w:p>
      <w:pPr>
        <w:ind w:firstLine="482" w:firstLineChars="200"/>
        <w:rPr>
          <w:rFonts w:hint="eastAsia" w:ascii="仿宋" w:hAnsi="仿宋" w:eastAsia="仿宋"/>
          <w:b/>
          <w:sz w:val="24"/>
          <w:szCs w:val="24"/>
        </w:rPr>
      </w:pPr>
    </w:p>
    <w:tbl>
      <w:tblPr>
        <w:tblStyle w:val="45"/>
        <w:tblW w:w="8307"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307"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屈光筛查仪单台配置清单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307" w:type="dxa"/>
            <w:vAlign w:val="top"/>
          </w:tcPr>
          <w:p>
            <w:pP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sz w:val="21"/>
                <w:szCs w:val="21"/>
              </w:rPr>
              <w:t>1.主机： 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307" w:type="dxa"/>
            <w:vAlign w:val="top"/>
          </w:tcPr>
          <w:p>
            <w:pP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r>
              <w:rPr>
                <w:rFonts w:hint="eastAsia" w:ascii="宋体" w:hAnsi="宋体" w:eastAsia="宋体" w:cs="宋体"/>
                <w:b/>
                <w:bCs/>
                <w:color w:val="000000" w:themeColor="text1"/>
                <w:sz w:val="21"/>
                <w:szCs w:val="21"/>
                <w14:textFill>
                  <w14:solidFill>
                    <w14:schemeClr w14:val="tx1"/>
                  </w14:solidFill>
                </w14:textFill>
              </w:rPr>
              <w:t>.</w:t>
            </w:r>
            <w:r>
              <w:rPr>
                <w:rFonts w:hint="eastAsia" w:ascii="宋体" w:hAnsi="宋体" w:eastAsia="宋体" w:cs="宋体"/>
                <w:sz w:val="21"/>
                <w:szCs w:val="21"/>
              </w:rPr>
              <w:t xml:space="preserve"> 电池：2套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307" w:type="dxa"/>
            <w:vAlign w:val="top"/>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r>
              <w:rPr>
                <w:rFonts w:hint="eastAsia" w:ascii="宋体" w:hAnsi="宋体" w:eastAsia="宋体" w:cs="宋体"/>
                <w:sz w:val="21"/>
                <w:szCs w:val="21"/>
              </w:rPr>
              <w:t xml:space="preserve"> 充电器： 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307" w:type="dxa"/>
            <w:vAlign w:val="top"/>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4. </w:t>
            </w:r>
            <w:r>
              <w:rPr>
                <w:rFonts w:hint="eastAsia" w:ascii="宋体" w:hAnsi="宋体" w:eastAsia="宋体" w:cs="宋体"/>
                <w:sz w:val="21"/>
                <w:szCs w:val="21"/>
              </w:rPr>
              <w:t>无线打印机：1台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7" w:type="dxa"/>
            <w:vAlign w:val="top"/>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r>
              <w:rPr>
                <w:rFonts w:hint="eastAsia" w:ascii="宋体" w:hAnsi="宋体" w:eastAsia="宋体" w:cs="宋体"/>
                <w:sz w:val="21"/>
                <w:szCs w:val="21"/>
              </w:rPr>
              <w:t xml:space="preserve"> 打印机充电器：1个</w:t>
            </w:r>
          </w:p>
        </w:tc>
      </w:tr>
    </w:tbl>
    <w:p>
      <w:pPr>
        <w:ind w:firstLine="422" w:firstLineChars="200"/>
        <w:rPr>
          <w:rFonts w:hint="eastAsia" w:ascii="宋体" w:hAnsi="宋体"/>
          <w:b/>
          <w:color w:val="FF0000"/>
          <w:szCs w:val="21"/>
        </w:rPr>
      </w:pPr>
    </w:p>
    <w:p>
      <w:pPr>
        <w:ind w:firstLine="422" w:firstLineChars="200"/>
        <w:rPr>
          <w:rFonts w:hint="eastAsia" w:ascii="宋体" w:hAnsi="宋体"/>
          <w:b/>
          <w:color w:val="FF0000"/>
          <w:szCs w:val="21"/>
        </w:rPr>
      </w:pPr>
    </w:p>
    <w:p>
      <w:pPr>
        <w:ind w:firstLine="422" w:firstLineChars="200"/>
        <w:rPr>
          <w:rFonts w:ascii="宋体" w:hAnsi="宋体"/>
          <w:b/>
          <w:color w:val="FF0000"/>
          <w:szCs w:val="21"/>
        </w:rPr>
      </w:pPr>
      <w:r>
        <w:rPr>
          <w:rFonts w:hint="eastAsia" w:ascii="宋体" w:hAnsi="宋体"/>
          <w:b/>
          <w:color w:val="FF0000"/>
          <w:szCs w:val="21"/>
        </w:rPr>
        <w:t>备注：1.</w:t>
      </w:r>
      <w:r>
        <w:rPr>
          <w:rFonts w:hint="eastAsia" w:ascii="宋体" w:hAnsi="宋体"/>
          <w:b/>
          <w:color w:val="FF0000"/>
          <w:szCs w:val="21"/>
          <w:lang w:eastAsia="zh-CN"/>
        </w:rPr>
        <w:t>“是否接受进口”</w:t>
      </w:r>
      <w:r>
        <w:rPr>
          <w:rFonts w:hint="eastAsia" w:ascii="宋体" w:hAnsi="宋体"/>
          <w:b/>
          <w:color w:val="FF0000"/>
          <w:szCs w:val="21"/>
        </w:rPr>
        <w:t>栏注明“拒绝进口”的产品不接受投标人选用进口产品参与投标；注明“接受进口”的产品允许投标人选用进口产品参与投标，但不排斥国内产品。</w:t>
      </w:r>
    </w:p>
    <w:p>
      <w:pPr>
        <w:ind w:firstLine="422" w:firstLineChars="200"/>
        <w:rPr>
          <w:rFonts w:ascii="宋体" w:hAnsi="宋体"/>
          <w:b/>
          <w:color w:val="FF0000"/>
          <w:szCs w:val="21"/>
        </w:rPr>
      </w:pPr>
      <w:r>
        <w:rPr>
          <w:rFonts w:hint="eastAsia" w:ascii="宋体" w:hAnsi="宋体"/>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ind w:firstLine="422" w:firstLineChars="200"/>
        <w:rPr>
          <w:rFonts w:ascii="宋体" w:hAnsi="宋体"/>
          <w:b/>
          <w:color w:val="FF0000"/>
          <w:szCs w:val="21"/>
        </w:rPr>
      </w:pPr>
      <w:r>
        <w:rPr>
          <w:rFonts w:hint="eastAsia" w:ascii="宋体" w:hAnsi="宋体"/>
          <w:b/>
          <w:color w:val="FF0000"/>
          <w:szCs w:val="21"/>
        </w:rPr>
        <w:t>3、本项目核心产品为：</w:t>
      </w:r>
      <w:r>
        <w:rPr>
          <w:rFonts w:hint="eastAsia" w:ascii="宋体" w:hAnsi="宋体"/>
          <w:b/>
          <w:color w:val="FF0000"/>
          <w:szCs w:val="21"/>
          <w:u w:val="single"/>
        </w:rPr>
        <w:t xml:space="preserve">   </w:t>
      </w:r>
      <w:r>
        <w:rPr>
          <w:rFonts w:hint="eastAsia" w:ascii="宋体" w:hAnsi="宋体" w:eastAsia="宋体" w:cs="宋体"/>
          <w:b w:val="0"/>
          <w:bCs/>
          <w:sz w:val="24"/>
          <w:szCs w:val="24"/>
          <w:u w:val="single"/>
        </w:rPr>
        <w:t>多功能组合式监护仪（脑功能状态定量仪）</w:t>
      </w:r>
      <w:r>
        <w:rPr>
          <w:rFonts w:hint="eastAsia" w:ascii="宋体" w:hAnsi="宋体"/>
          <w:b/>
          <w:color w:val="FF0000"/>
          <w:szCs w:val="21"/>
          <w:u w:val="single"/>
        </w:rPr>
        <w:t xml:space="preserve">   </w:t>
      </w:r>
      <w:r>
        <w:rPr>
          <w:rFonts w:hint="eastAsia" w:ascii="宋体" w:hAnsi="宋体"/>
          <w:b/>
          <w:color w:val="FF0000"/>
          <w:szCs w:val="21"/>
        </w:rPr>
        <w:t>。</w:t>
      </w:r>
    </w:p>
    <w:bookmarkEnd w:id="39"/>
    <w:p>
      <w:pPr>
        <w:rPr>
          <w:rFonts w:ascii="宋体" w:hAnsi="宋体"/>
          <w:b/>
          <w:color w:val="FF0000"/>
          <w:szCs w:val="21"/>
        </w:rPr>
      </w:pPr>
    </w:p>
    <w:p>
      <w:pPr>
        <w:pStyle w:val="9"/>
      </w:pPr>
    </w:p>
    <w:p>
      <w:pPr>
        <w:pStyle w:val="6"/>
        <w:spacing w:before="120" w:beforeLines="50" w:after="120" w:afterLines="50"/>
        <w:rPr>
          <w:sz w:val="28"/>
          <w:szCs w:val="28"/>
        </w:rPr>
      </w:pPr>
      <w:bookmarkStart w:id="41" w:name="_Toc128884461"/>
      <w:r>
        <w:rPr>
          <w:rFonts w:hint="eastAsia"/>
          <w:sz w:val="28"/>
          <w:szCs w:val="28"/>
        </w:rPr>
        <w:t>三、实质性条款</w:t>
      </w:r>
    </w:p>
    <w:tbl>
      <w:tblPr>
        <w:tblStyle w:val="45"/>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7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kern w:val="0"/>
                <w:sz w:val="21"/>
                <w:szCs w:val="21"/>
              </w:rPr>
            </w:pPr>
            <w:r>
              <w:rPr>
                <w:rFonts w:hint="eastAsia" w:ascii="宋体" w:hAnsi="宋体"/>
                <w:kern w:val="0"/>
                <w:sz w:val="21"/>
                <w:szCs w:val="21"/>
              </w:rPr>
              <w:t>序号</w:t>
            </w:r>
          </w:p>
        </w:tc>
        <w:tc>
          <w:tcPr>
            <w:tcW w:w="728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kern w:val="0"/>
                <w:sz w:val="21"/>
                <w:szCs w:val="21"/>
              </w:rPr>
            </w:pPr>
            <w:r>
              <w:rPr>
                <w:rFonts w:hint="eastAsia" w:ascii="宋体" w:hAnsi="宋体"/>
                <w:kern w:val="0"/>
                <w:sz w:val="21"/>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kern w:val="0"/>
                <w:sz w:val="21"/>
                <w:szCs w:val="21"/>
                <w:lang w:val="en-US" w:eastAsia="zh-CN"/>
              </w:rPr>
            </w:pPr>
            <w:r>
              <w:rPr>
                <w:rFonts w:hint="eastAsia" w:ascii="宋体" w:hAnsi="宋体"/>
                <w:kern w:val="0"/>
                <w:sz w:val="21"/>
                <w:szCs w:val="21"/>
                <w:lang w:val="en-US" w:eastAsia="zh-CN"/>
              </w:rPr>
              <w:t>1</w:t>
            </w:r>
          </w:p>
        </w:tc>
        <w:tc>
          <w:tcPr>
            <w:tcW w:w="7282" w:type="dxa"/>
            <w:vAlign w:val="top"/>
          </w:tcPr>
          <w:p>
            <w:pPr>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2.1★适用于6个月以上婴幼儿及儿童屈光度的初步测定;测量数据不可用作验光处方。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90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kern w:val="0"/>
                <w:sz w:val="21"/>
                <w:szCs w:val="21"/>
                <w:lang w:val="en-US" w:eastAsia="zh-CN"/>
              </w:rPr>
            </w:pPr>
            <w:r>
              <w:rPr>
                <w:rFonts w:hint="eastAsia" w:ascii="宋体" w:hAnsi="宋体"/>
                <w:kern w:val="0"/>
                <w:sz w:val="21"/>
                <w:szCs w:val="21"/>
                <w:lang w:val="en-US" w:eastAsia="zh-CN"/>
              </w:rPr>
              <w:t>2</w:t>
            </w:r>
          </w:p>
        </w:tc>
        <w:tc>
          <w:tcPr>
            <w:tcW w:w="7282" w:type="dxa"/>
            <w:vAlign w:val="top"/>
          </w:tcPr>
          <w:p>
            <w:pPr>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2.13.</w:t>
            </w:r>
            <w:r>
              <w:rPr>
                <w:rFonts w:hint="eastAsia" w:ascii="宋体" w:hAnsi="宋体" w:eastAsia="宋体" w:cs="宋体"/>
                <w:b w:val="0"/>
                <w:bCs w:val="0"/>
                <w:color w:val="auto"/>
                <w:sz w:val="21"/>
                <w:szCs w:val="21"/>
                <w:lang w:eastAsia="zh-CN"/>
              </w:rPr>
              <w:t>对接</w:t>
            </w:r>
            <w:r>
              <w:rPr>
                <w:rFonts w:hint="eastAsia" w:ascii="宋体" w:hAnsi="宋体" w:eastAsia="宋体" w:cs="宋体"/>
                <w:b w:val="0"/>
                <w:bCs w:val="0"/>
                <w:color w:val="auto"/>
                <w:spacing w:val="9"/>
                <w:kern w:val="0"/>
                <w:sz w:val="21"/>
                <w:szCs w:val="21"/>
                <w:lang w:eastAsia="zh-CN"/>
              </w:rPr>
              <w:t>深圳市妇幼保健管理信息系统</w:t>
            </w:r>
            <w:r>
              <w:rPr>
                <w:rFonts w:hint="eastAsia" w:ascii="宋体" w:hAnsi="宋体" w:eastAsia="宋体" w:cs="宋体"/>
                <w:b w:val="0"/>
                <w:bCs w:val="0"/>
                <w:color w:val="auto"/>
                <w:spacing w:val="9"/>
                <w:kern w:val="0"/>
                <w:sz w:val="21"/>
                <w:szCs w:val="21"/>
                <w:lang w:val="en-US" w:eastAsia="zh-CN"/>
              </w:rPr>
              <w:t>近视防控模块</w:t>
            </w:r>
            <w:r>
              <w:rPr>
                <w:rFonts w:hint="eastAsia" w:ascii="宋体" w:hAnsi="宋体" w:eastAsia="宋体" w:cs="宋体"/>
                <w:b w:val="0"/>
                <w:bCs w:val="0"/>
                <w:color w:val="auto"/>
                <w:sz w:val="21"/>
                <w:szCs w:val="21"/>
              </w:rPr>
              <w:t>，且无需二次开发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kern w:val="0"/>
                <w:sz w:val="21"/>
                <w:szCs w:val="21"/>
                <w:lang w:val="en-US" w:eastAsia="zh-CN"/>
              </w:rPr>
            </w:pPr>
            <w:r>
              <w:rPr>
                <w:rFonts w:hint="eastAsia" w:ascii="宋体" w:hAnsi="宋体"/>
                <w:kern w:val="0"/>
                <w:sz w:val="21"/>
                <w:szCs w:val="21"/>
                <w:lang w:val="en-US" w:eastAsia="zh-CN"/>
              </w:rPr>
              <w:t>3</w:t>
            </w:r>
          </w:p>
        </w:tc>
        <w:tc>
          <w:tcPr>
            <w:tcW w:w="728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b w:val="0"/>
                <w:bCs w:val="0"/>
                <w:color w:val="auto"/>
                <w:kern w:val="0"/>
                <w:sz w:val="21"/>
                <w:szCs w:val="21"/>
                <w:lang w:eastAsia="zh-CN"/>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pacing w:val="9"/>
                <w:kern w:val="0"/>
                <w:sz w:val="21"/>
                <w:szCs w:val="21"/>
                <w:lang w:eastAsia="zh-CN"/>
              </w:rPr>
              <w:t>1.1提供主机及配件免费保修期5年，保修期以验收合格，双方代表签署“验收报告”之日起计算。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kern w:val="0"/>
                <w:sz w:val="21"/>
                <w:szCs w:val="21"/>
                <w:lang w:val="en-US" w:eastAsia="zh-CN"/>
              </w:rPr>
            </w:pPr>
            <w:r>
              <w:rPr>
                <w:rFonts w:hint="eastAsia" w:ascii="宋体" w:hAnsi="宋体"/>
                <w:kern w:val="0"/>
                <w:sz w:val="21"/>
                <w:szCs w:val="21"/>
                <w:lang w:val="en-US" w:eastAsia="zh-CN"/>
              </w:rPr>
              <w:t>4</w:t>
            </w:r>
          </w:p>
        </w:tc>
        <w:tc>
          <w:tcPr>
            <w:tcW w:w="728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val="0"/>
                <w:color w:val="auto"/>
                <w:spacing w:val="9"/>
                <w:kern w:val="0"/>
                <w:sz w:val="21"/>
                <w:szCs w:val="21"/>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pacing w:val="9"/>
                <w:kern w:val="0"/>
                <w:sz w:val="21"/>
                <w:szCs w:val="21"/>
                <w:lang w:val="en-US" w:eastAsia="zh-CN"/>
              </w:rPr>
              <w:t>1.5</w:t>
            </w:r>
            <w:r>
              <w:rPr>
                <w:rFonts w:hint="eastAsia" w:ascii="宋体" w:hAnsi="宋体" w:cs="宋体"/>
                <w:b w:val="0"/>
                <w:bCs w:val="0"/>
                <w:color w:val="auto"/>
                <w:spacing w:val="9"/>
                <w:kern w:val="0"/>
                <w:szCs w:val="21"/>
              </w:rPr>
              <w:t>信息化系统：含设备接入医院信息系统（包括但不限于HIS、PACS、LIS等）端口开发、调试及对接费用，确保设备数据能实时、准确上传至医院指定系统，投标供应商须配合医院信息科及科室完成系统对接测试。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kern w:val="0"/>
                <w:sz w:val="21"/>
                <w:szCs w:val="21"/>
                <w:lang w:val="en-US" w:eastAsia="zh-CN"/>
              </w:rPr>
            </w:pPr>
            <w:r>
              <w:rPr>
                <w:rFonts w:hint="eastAsia" w:ascii="宋体" w:hAnsi="宋体"/>
                <w:kern w:val="0"/>
                <w:sz w:val="21"/>
                <w:szCs w:val="21"/>
                <w:lang w:val="en-US" w:eastAsia="zh-CN"/>
              </w:rPr>
              <w:t>5</w:t>
            </w:r>
          </w:p>
        </w:tc>
        <w:tc>
          <w:tcPr>
            <w:tcW w:w="728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val="0"/>
                <w:color w:val="auto"/>
                <w:spacing w:val="9"/>
                <w:kern w:val="0"/>
                <w:sz w:val="21"/>
                <w:szCs w:val="21"/>
              </w:rPr>
            </w:pPr>
            <w:r>
              <w:rPr>
                <w:rFonts w:hint="eastAsia" w:ascii="宋体" w:hAnsi="宋体" w:eastAsia="宋体" w:cs="宋体"/>
                <w:b w:val="0"/>
                <w:bCs w:val="0"/>
                <w:color w:val="auto"/>
                <w:spacing w:val="9"/>
                <w:kern w:val="0"/>
                <w:sz w:val="21"/>
                <w:szCs w:val="21"/>
              </w:rPr>
              <w:t>★</w:t>
            </w:r>
            <w:r>
              <w:rPr>
                <w:rFonts w:hint="eastAsia" w:ascii="宋体" w:hAnsi="宋体" w:eastAsia="宋体" w:cs="宋体"/>
                <w:b w:val="0"/>
                <w:bCs w:val="0"/>
                <w:color w:val="auto"/>
                <w:spacing w:val="8"/>
                <w:kern w:val="0"/>
                <w:sz w:val="21"/>
                <w:szCs w:val="21"/>
              </w:rPr>
              <w:t>1.1投标人在签订合同之日起</w:t>
            </w:r>
            <w:r>
              <w:rPr>
                <w:rFonts w:hint="eastAsia" w:ascii="宋体" w:hAnsi="宋体" w:eastAsia="宋体" w:cs="宋体"/>
                <w:b w:val="0"/>
                <w:bCs w:val="0"/>
                <w:color w:val="auto"/>
                <w:spacing w:val="8"/>
                <w:kern w:val="0"/>
                <w:sz w:val="21"/>
                <w:szCs w:val="21"/>
                <w:lang w:val="en-US" w:eastAsia="zh-CN"/>
              </w:rPr>
              <w:t>30</w:t>
            </w:r>
            <w:r>
              <w:rPr>
                <w:rFonts w:hint="eastAsia" w:ascii="宋体" w:hAnsi="宋体" w:eastAsia="宋体" w:cs="宋体"/>
                <w:b w:val="0"/>
                <w:bCs w:val="0"/>
                <w:color w:val="auto"/>
                <w:spacing w:val="8"/>
                <w:kern w:val="0"/>
                <w:sz w:val="21"/>
                <w:szCs w:val="21"/>
              </w:rPr>
              <w:t xml:space="preserve"> 天（日历日）内交货。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kern w:val="0"/>
                <w:sz w:val="21"/>
                <w:szCs w:val="21"/>
                <w:lang w:val="en-US" w:eastAsia="zh-CN"/>
              </w:rPr>
            </w:pPr>
            <w:r>
              <w:rPr>
                <w:rFonts w:hint="eastAsia" w:ascii="宋体" w:hAnsi="宋体"/>
                <w:kern w:val="0"/>
                <w:sz w:val="21"/>
                <w:szCs w:val="21"/>
                <w:lang w:val="en-US" w:eastAsia="zh-CN"/>
              </w:rPr>
              <w:t>6</w:t>
            </w:r>
          </w:p>
        </w:tc>
        <w:tc>
          <w:tcPr>
            <w:tcW w:w="728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val="0"/>
                <w:color w:val="auto"/>
                <w:spacing w:val="9"/>
                <w:kern w:val="0"/>
                <w:sz w:val="21"/>
                <w:szCs w:val="21"/>
              </w:rPr>
            </w:pPr>
            <w:r>
              <w:rPr>
                <w:rFonts w:hint="eastAsia" w:ascii="宋体" w:hAnsi="宋体" w:cs="宋体"/>
                <w:spacing w:val="8"/>
                <w:kern w:val="0"/>
                <w:sz w:val="21"/>
                <w:szCs w:val="21"/>
                <w:lang w:val="en-US" w:eastAsia="zh-CN"/>
              </w:rPr>
              <w:t>5.2</w:t>
            </w:r>
            <w:r>
              <w:rPr>
                <w:rFonts w:hint="eastAsia" w:ascii="宋体" w:hAnsi="宋体" w:eastAsia="宋体" w:cs="宋体"/>
                <w:spacing w:val="8"/>
                <w:kern w:val="0"/>
                <w:sz w:val="21"/>
                <w:szCs w:val="21"/>
              </w:rPr>
              <w:t>★投标人所投产品为第一类医疗器械的，提供监督管理部门签发的有效的《医疗器械备案凭证》扫描件。所投产品为第二类或第三类医疗器械的，必须提供医疗器械注册证书（或者备案凭证）扫描件，原件备查。开标时，该证应在有效期内，若不在有效期内，则需提供该证和所投产品在该证有效期内生产的药监局出具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kern w:val="0"/>
                <w:sz w:val="21"/>
                <w:szCs w:val="21"/>
                <w:lang w:val="en-US" w:eastAsia="zh-CN"/>
              </w:rPr>
            </w:pPr>
            <w:r>
              <w:rPr>
                <w:rFonts w:hint="eastAsia" w:ascii="宋体" w:hAnsi="宋体"/>
                <w:kern w:val="0"/>
                <w:sz w:val="21"/>
                <w:szCs w:val="21"/>
                <w:lang w:val="en-US" w:eastAsia="zh-CN"/>
              </w:rPr>
              <w:t>7</w:t>
            </w:r>
          </w:p>
        </w:tc>
        <w:tc>
          <w:tcPr>
            <w:tcW w:w="728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val="0"/>
                <w:color w:val="auto"/>
                <w:spacing w:val="9"/>
                <w:kern w:val="0"/>
                <w:sz w:val="21"/>
                <w:szCs w:val="21"/>
              </w:rPr>
            </w:pPr>
            <w:r>
              <w:rPr>
                <w:rFonts w:hint="eastAsia" w:ascii="宋体" w:hAnsi="宋体" w:eastAsia="宋体" w:cs="宋体"/>
                <w:b w:val="0"/>
                <w:bCs w:val="0"/>
                <w:color w:val="auto"/>
                <w:spacing w:val="9"/>
                <w:kern w:val="0"/>
                <w:sz w:val="21"/>
                <w:szCs w:val="21"/>
              </w:rPr>
              <w:t>★投标人提供本项目的投标授权代表（提供投标截止日前缴纳的近1个月（由于社保部门原因最近一个月的社保证明无法提供的可往前顺延一个月）的社保证明；如投标授权代表与本项目其他投标授权代表在同一公司缴纳社保，均作投标无效处理；如为新成立企业且成立时间不足一个月或投标授权代表为本公司法人的可提供情况说明或证明材料亦视为符合；如投标授权代表为新入职员工或退休返聘人员，尚未办理社保参保手续的，则需提供劳动合同）。</w:t>
            </w:r>
          </w:p>
        </w:tc>
      </w:tr>
    </w:tbl>
    <w:p>
      <w:pPr>
        <w:rPr>
          <w:b/>
        </w:rPr>
      </w:pPr>
      <w:r>
        <w:rPr>
          <w:rFonts w:hint="eastAsia"/>
          <w:b/>
        </w:rPr>
        <w:t>注：上表所列内容为不可负偏离条款</w:t>
      </w:r>
      <w:bookmarkEnd w:id="41"/>
      <w:r>
        <w:rPr>
          <w:rFonts w:hint="eastAsia"/>
          <w:b/>
        </w:rPr>
        <w:t>，负偏离将视为未实质性满足招标文件要求作投标无效处理。</w:t>
      </w:r>
    </w:p>
    <w:p>
      <w:pPr>
        <w:rPr>
          <w:b/>
          <w:szCs w:val="21"/>
        </w:rPr>
      </w:pPr>
    </w:p>
    <w:p>
      <w:pPr>
        <w:pStyle w:val="9"/>
      </w:pPr>
    </w:p>
    <w:p>
      <w:pPr>
        <w:keepNext/>
        <w:keepLines/>
        <w:widowControl w:val="0"/>
        <w:adjustRightInd w:val="0"/>
        <w:spacing w:before="120" w:beforeLines="50" w:after="120" w:afterLines="50" w:line="240" w:lineRule="auto"/>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四、技术要求</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Times New Roman" w:hAnsi="Times New Roman" w:eastAsia="宋体" w:cs="Times New Roman"/>
          <w:b/>
        </w:rPr>
      </w:pPr>
      <w:r>
        <w:rPr>
          <w:rFonts w:hint="eastAsia" w:ascii="Times New Roman" w:hAnsi="Times New Roman" w:eastAsia="宋体" w:cs="Times New Roman"/>
          <w:b/>
          <w:szCs w:val="21"/>
        </w:rPr>
        <w:t>说明：</w:t>
      </w:r>
      <w:r>
        <w:rPr>
          <w:rFonts w:ascii="Times New Roman" w:hAnsi="Times New Roman" w:eastAsia="宋体" w:cs="Times New Roman"/>
          <w:b/>
          <w:szCs w:val="21"/>
        </w:rPr>
        <w:t xml:space="preserve"> </w:t>
      </w:r>
      <w:r>
        <w:rPr>
          <w:rFonts w:ascii="Times New Roman" w:hAnsi="Times New Roman" w:eastAsia="宋体" w:cs="Times New Roman"/>
          <w:b/>
        </w:rPr>
        <w:t>1</w:t>
      </w:r>
      <w:r>
        <w:rPr>
          <w:rFonts w:hint="eastAsia" w:ascii="Times New Roman" w:hAnsi="Times New Roman" w:eastAsia="宋体" w:cs="Times New Roman"/>
          <w:b/>
        </w:rPr>
        <w:t>、评分时，如对一项招标技术要求（以划分框为准）中的内容存在两处（或以上）负偏离的，在评分时只作一项负偏离扣分。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Times New Roman" w:hAnsi="Times New Roman" w:eastAsia="宋体" w:cs="Times New Roman"/>
          <w:b/>
          <w:szCs w:val="21"/>
        </w:rPr>
      </w:pPr>
      <w:r>
        <w:rPr>
          <w:rFonts w:ascii="Times New Roman" w:hAnsi="Times New Roman" w:eastAsia="宋体" w:cs="Times New Roman"/>
          <w:b/>
          <w:szCs w:val="21"/>
        </w:rPr>
        <w:t>2</w:t>
      </w:r>
      <w:r>
        <w:rPr>
          <w:rFonts w:hint="eastAsia" w:ascii="Times New Roman" w:hAnsi="Times New Roman" w:eastAsia="宋体" w:cs="Times New Roman"/>
          <w:b/>
          <w:szCs w:val="21"/>
        </w:rPr>
        <w:t>、带★号条款为不可</w:t>
      </w:r>
      <w:r>
        <w:rPr>
          <w:rFonts w:hint="eastAsia" w:ascii="Times New Roman" w:hAnsi="Times New Roman" w:eastAsia="宋体" w:cs="Times New Roman"/>
          <w:b/>
          <w:szCs w:val="21"/>
          <w:lang w:val="en-US" w:eastAsia="zh-CN"/>
        </w:rPr>
        <w:t>负</w:t>
      </w:r>
      <w:r>
        <w:rPr>
          <w:rFonts w:hint="eastAsia" w:ascii="Times New Roman" w:hAnsi="Times New Roman" w:eastAsia="宋体" w:cs="Times New Roman"/>
          <w:b/>
          <w:szCs w:val="21"/>
        </w:rPr>
        <w:t>偏离条款，不作为评分准则中的评分内容</w:t>
      </w:r>
      <w:r>
        <w:rPr>
          <w:rFonts w:hint="eastAsia" w:ascii="Times New Roman" w:hAnsi="Times New Roman" w:eastAsia="宋体" w:cs="Times New Roman"/>
          <w:b/>
          <w:szCs w:val="21"/>
          <w:lang w:eastAsia="zh-CN"/>
        </w:rPr>
        <w:t>，</w:t>
      </w:r>
      <w:r>
        <w:rPr>
          <w:rFonts w:hint="eastAsia" w:ascii="Times New Roman" w:hAnsi="Times New Roman" w:eastAsia="宋体" w:cs="Times New Roman"/>
          <w:b/>
          <w:szCs w:val="21"/>
        </w:rPr>
        <w:t>如未响应或出现负偏离的，将作投标无效处理；带“</w:t>
      </w:r>
      <w:r>
        <w:rPr>
          <w:rFonts w:ascii="Times New Roman" w:hAnsi="Times New Roman" w:eastAsia="宋体" w:cs="Times New Roman"/>
        </w:rPr>
        <w:t>▲</w:t>
      </w:r>
      <w:r>
        <w:rPr>
          <w:rFonts w:hint="eastAsia" w:ascii="Times New Roman" w:hAnsi="Times New Roman" w:eastAsia="宋体" w:cs="Times New Roman"/>
          <w:b/>
          <w:szCs w:val="21"/>
        </w:rPr>
        <w:t>”指标项为重要参数条款，负偏离时依相关评分准则内容作重点扣分处理。</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ascii="Times New Roman" w:hAnsi="Times New Roman" w:eastAsia="宋体" w:cs="Times New Roman"/>
          <w:b/>
          <w:szCs w:val="21"/>
        </w:rPr>
        <w:t>3</w:t>
      </w:r>
      <w:r>
        <w:rPr>
          <w:rFonts w:hint="eastAsia" w:ascii="Times New Roman" w:hAnsi="Times New Roman" w:eastAsia="宋体" w:cs="Times New Roman"/>
          <w:b/>
          <w:szCs w:val="21"/>
        </w:rPr>
        <w:t>、</w:t>
      </w:r>
      <w:bookmarkStart w:id="42" w:name="_Hlk72585069"/>
      <w:r>
        <w:rPr>
          <w:rFonts w:hint="eastAsia" w:ascii="Times New Roman" w:hAnsi="Times New Roman" w:eastAsia="宋体" w:cs="Times New Roman"/>
          <w:b/>
          <w:szCs w:val="21"/>
        </w:rPr>
        <w:t>招标技术要求中，用红色加粗字体标注的指标项均要求提供证明资料；其余指标项未要求提供证明资料，无需提供相关证明资料。</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4.针对招标文件产品技术参数如涉及相关既定值、单向范围值、区间范围值的，投标技术参数响应方式举例说明如下：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（1）涉及相关既定值的，例：招标技术参数要求值为“20L”，投标技术参数响应值与“20L”不一致的，均视为负偏离；</w:t>
      </w:r>
    </w:p>
    <w:p>
      <w:pPr>
        <w:widowControl w:val="0"/>
        <w:ind w:firstLine="420"/>
        <w:jc w:val="both"/>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w:t>
      </w:r>
      <w:r>
        <w:rPr>
          <w:rFonts w:hint="eastAsia" w:cs="Times New Roman"/>
          <w:kern w:val="2"/>
          <w:sz w:val="21"/>
          <w:szCs w:val="20"/>
          <w:lang w:val="en-US" w:eastAsia="zh-CN" w:bidi="ar-SA"/>
        </w:rPr>
        <w:t>7</w:t>
      </w:r>
      <w:r>
        <w:rPr>
          <w:rFonts w:hint="eastAsia" w:ascii="Times New Roman" w:hAnsi="Times New Roman" w:eastAsia="宋体" w:cs="Times New Roman"/>
          <w:kern w:val="2"/>
          <w:sz w:val="21"/>
          <w:szCs w:val="20"/>
          <w:lang w:val="en-US" w:eastAsia="zh-CN" w:bidi="ar-SA"/>
        </w:rPr>
        <w:t>”或“＞</w:t>
      </w:r>
      <w:r>
        <w:rPr>
          <w:rFonts w:hint="eastAsia" w:cs="Times New Roman"/>
          <w:kern w:val="2"/>
          <w:sz w:val="21"/>
          <w:szCs w:val="20"/>
          <w:lang w:val="en-US" w:eastAsia="zh-CN" w:bidi="ar-SA"/>
        </w:rPr>
        <w:t>7</w:t>
      </w:r>
      <w:r>
        <w:rPr>
          <w:rFonts w:hint="eastAsia" w:ascii="Times New Roman" w:hAnsi="Times New Roman" w:eastAsia="宋体" w:cs="Times New Roman"/>
          <w:kern w:val="2"/>
          <w:sz w:val="21"/>
          <w:szCs w:val="20"/>
          <w:lang w:val="en-US" w:eastAsia="zh-CN" w:bidi="ar-SA"/>
        </w:rPr>
        <w:t>”等）或投标技术参数响应值为招标技术参数要求范围值内的任意值的（如响应为“7m”或“6.5m”等）均视为符合要求，投标技术参数响应值小于招标技术参数要求的（如响应为"＜6m"或“＜5m”或“5m”等）均视为负偏离；</w:t>
      </w:r>
    </w:p>
    <w:p>
      <w:pPr>
        <w:widowControl w:val="0"/>
        <w:ind w:firstLine="420"/>
        <w:jc w:val="both"/>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（3）涉及相关区间范围值的，</w:t>
      </w:r>
      <w:r>
        <w:rPr>
          <w:rFonts w:hint="eastAsia" w:ascii="Times New Roman" w:hAnsi="Times New Roman" w:eastAsia="宋体" w:cs="Times New Roman"/>
          <w:b/>
          <w:kern w:val="2"/>
          <w:sz w:val="21"/>
          <w:szCs w:val="21"/>
          <w:lang w:val="en-US" w:eastAsia="zh-CN" w:bidi="ar-SA"/>
        </w:rPr>
        <w:t>除特别注明以外，均包含首尾两端本数。</w:t>
      </w:r>
      <w:r>
        <w:rPr>
          <w:rFonts w:hint="eastAsia" w:ascii="Times New Roman" w:hAnsi="Times New Roman" w:eastAsia="宋体" w:cs="Times New Roman"/>
          <w:kern w:val="2"/>
          <w:sz w:val="21"/>
          <w:szCs w:val="20"/>
          <w:lang w:val="en-US" w:eastAsia="zh-CN" w:bidi="ar-SA"/>
        </w:rPr>
        <w:t>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“9-20ML”或“9ML”等）均视为负偏离。</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5、相关证明材料的产品名称与招标技术要求的货物名称不一致的，需提供为同种产品的说明；若名称不一致又未提供说明的，由评审委员会判定是否符合文件要求。</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jc w:val="left"/>
        <w:rPr>
          <w:rFonts w:hint="default" w:ascii="Times New Roman" w:hAnsi="Times New Roman" w:eastAsia="宋体" w:cs="Times New Roman"/>
          <w:b/>
          <w:color w:val="FF0000"/>
          <w:szCs w:val="21"/>
          <w:lang w:val="en-US" w:eastAsia="zh-CN"/>
        </w:rPr>
      </w:pPr>
      <w:r>
        <w:rPr>
          <w:rFonts w:hint="eastAsia" w:ascii="Times New Roman" w:hAnsi="Times New Roman" w:eastAsia="宋体" w:cs="Times New Roman"/>
          <w:b/>
          <w:color w:val="FF0000"/>
          <w:szCs w:val="21"/>
          <w:lang w:val="en-US" w:eastAsia="zh-CN"/>
        </w:rPr>
        <w:t>6.在</w:t>
      </w:r>
      <w:r>
        <w:rPr>
          <w:rFonts w:hint="eastAsia" w:ascii="Times New Roman" w:hAnsi="Times New Roman" w:eastAsia="宋体" w:cs="Times New Roman"/>
          <w:b/>
          <w:color w:val="FF0000"/>
          <w:szCs w:val="21"/>
        </w:rPr>
        <w:t>招标技术要求中</w:t>
      </w:r>
      <w:r>
        <w:rPr>
          <w:rFonts w:hint="eastAsia" w:ascii="Times New Roman" w:hAnsi="Times New Roman" w:eastAsia="宋体" w:cs="Times New Roman"/>
          <w:b/>
          <w:color w:val="FF0000"/>
          <w:szCs w:val="21"/>
          <w:lang w:eastAsia="zh-CN"/>
        </w:rPr>
        <w:t>，</w:t>
      </w:r>
      <w:r>
        <w:rPr>
          <w:rFonts w:hint="eastAsia" w:ascii="Times New Roman" w:hAnsi="Times New Roman" w:eastAsia="宋体" w:cs="Times New Roman"/>
          <w:b/>
          <w:color w:val="FF0000"/>
          <w:szCs w:val="21"/>
          <w:lang w:val="en-US" w:eastAsia="zh-CN"/>
        </w:rPr>
        <w:t>若要求提供检测报告的，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pPr>
        <w:widowControl w:val="0"/>
        <w:ind w:firstLine="420"/>
        <w:jc w:val="both"/>
        <w:rPr>
          <w:rFonts w:hint="eastAsia" w:ascii="Times New Roman" w:hAnsi="Times New Roman" w:eastAsia="宋体" w:cs="Times New Roman"/>
          <w:kern w:val="2"/>
          <w:sz w:val="21"/>
          <w:szCs w:val="20"/>
          <w:lang w:val="en-US" w:eastAsia="zh-CN" w:bidi="ar-SA"/>
        </w:rPr>
      </w:pPr>
    </w:p>
    <w:bookmarkEnd w:id="42"/>
    <w:p>
      <w:pPr>
        <w:rPr>
          <w:rFonts w:ascii="Times New Roman" w:hAnsi="Times New Roman" w:eastAsia="宋体" w:cs="Times New Roman"/>
          <w:b/>
          <w:szCs w:val="21"/>
        </w:rPr>
      </w:pPr>
    </w:p>
    <w:tbl>
      <w:tblPr>
        <w:tblStyle w:val="45"/>
        <w:tblW w:w="8265"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389"/>
        <w:gridCol w:w="5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00" w:type="dxa"/>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1389" w:type="dxa"/>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货物名称</w:t>
            </w:r>
          </w:p>
        </w:tc>
        <w:tc>
          <w:tcPr>
            <w:tcW w:w="5876" w:type="dxa"/>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000" w:type="dxa"/>
            <w:vMerge w:val="restart"/>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389" w:type="dxa"/>
            <w:vMerge w:val="restart"/>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多功能组合式监护仪（脑功能状态定量仪）</w:t>
            </w: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1.设备功能：适用于临床脑电信号的采集与监测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2.采样通道：≥2导脑电</w:t>
            </w:r>
            <w:r>
              <w:rPr>
                <w:rFonts w:hint="eastAsia" w:ascii="宋体" w:hAnsi="宋体" w:cs="宋体"/>
                <w:color w:val="EE0000"/>
                <w:sz w:val="21"/>
                <w:szCs w:val="21"/>
                <w:lang w:eastAsia="zh-CN"/>
              </w:rPr>
              <w:t>（需要提供彩页或技术白皮书或说明书相关证明材料）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3.采样频率： ≥1600Hz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4.采样精度：≥16bit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5.共模信号抑制能力：≥80dB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6.输入阻抗：&gt;5M Ohms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7.抗干扰能力：具备强抗干扰能力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8.脑电波显示功能：支持双通道脑电图显示，可实时呈现原始脑电波形及波形趋势描记</w:t>
            </w:r>
            <w:r>
              <w:rPr>
                <w:rFonts w:hint="eastAsia" w:ascii="宋体" w:hAnsi="宋体" w:cs="宋体"/>
                <w:color w:val="EE0000"/>
                <w:sz w:val="21"/>
                <w:szCs w:val="21"/>
                <w:lang w:eastAsia="zh-CN"/>
              </w:rPr>
              <w:t>（需要提供彩页或技术白皮书或说明书相关证明材料）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000" w:type="dxa"/>
            <w:vMerge w:val="restart"/>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restart"/>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屈光筛查仪</w:t>
            </w:r>
            <w:r>
              <w:rPr>
                <w:rFonts w:hint="eastAsia" w:ascii="宋体" w:hAnsi="宋体" w:eastAsia="宋体" w:cs="宋体"/>
                <w:color w:val="000000" w:themeColor="text1"/>
                <w:sz w:val="21"/>
                <w:szCs w:val="21"/>
                <w14:textFill>
                  <w14:solidFill>
                    <w14:schemeClr w14:val="tx1"/>
                  </w14:solidFill>
                </w14:textFill>
              </w:rPr>
              <w:t>设备</w:t>
            </w:r>
          </w:p>
          <w:p>
            <w:pP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w:t>
            </w:r>
            <w:r>
              <w:rPr>
                <w:rFonts w:hint="eastAsia" w:ascii="宋体" w:hAnsi="宋体" w:eastAsia="宋体" w:cs="宋体"/>
                <w:sz w:val="21"/>
                <w:szCs w:val="21"/>
              </w:rPr>
              <w:t>适用于6个月以上婴幼儿及儿童屈光度的初步测定;测量数据不可用作验光处方。</w:t>
            </w:r>
          </w:p>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w:t>
            </w:r>
            <w:r>
              <w:rPr>
                <w:rFonts w:hint="eastAsia" w:ascii="宋体" w:hAnsi="宋体" w:eastAsia="宋体" w:cs="宋体"/>
                <w:sz w:val="21"/>
                <w:szCs w:val="21"/>
              </w:rPr>
              <w:t>支持无线手持式双目设计，筛查模式单眼/双眼可选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2.3</w:t>
            </w:r>
            <w:r>
              <w:rPr>
                <w:rFonts w:hint="eastAsia" w:ascii="宋体" w:hAnsi="宋体" w:eastAsia="宋体" w:cs="宋体"/>
                <w:b/>
                <w:bCs/>
                <w:color w:val="000000" w:themeColor="text1"/>
                <w:sz w:val="21"/>
                <w:szCs w:val="21"/>
                <w14:textFill>
                  <w14:solidFill>
                    <w14:schemeClr w14:val="tx1"/>
                  </w14:solidFill>
                </w14:textFill>
              </w:rPr>
              <w:t>．</w:t>
            </w:r>
            <w:r>
              <w:rPr>
                <w:rFonts w:hint="eastAsia" w:ascii="宋体" w:hAnsi="宋体" w:eastAsia="宋体" w:cs="宋体"/>
                <w:sz w:val="21"/>
                <w:szCs w:val="21"/>
              </w:rPr>
              <w:t>筛查内容：屈光筛查（近视、远视、散光、屈光参差）、眼位照相、瞳孔大小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2.4.</w:t>
            </w:r>
            <w:r>
              <w:rPr>
                <w:rFonts w:hint="eastAsia" w:ascii="宋体" w:hAnsi="宋体" w:eastAsia="宋体" w:cs="宋体"/>
                <w:sz w:val="21"/>
                <w:szCs w:val="21"/>
              </w:rPr>
              <w:t xml:space="preserve"> 测量和分析的检测结果超出设定的正常值时，机器自动给出潜在的视力风险提示，并以红色的显示测量结果，避免漏诊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2.5.</w:t>
            </w:r>
            <w:r>
              <w:rPr>
                <w:rFonts w:hint="eastAsia" w:ascii="宋体" w:hAnsi="宋体" w:eastAsia="宋体" w:cs="宋体"/>
                <w:sz w:val="21"/>
                <w:szCs w:val="21"/>
              </w:rPr>
              <w:t>球面度DS：范围-7.5OD～+7.5OD，分辨率0.25D/0.01D，精度±0.50D</w:t>
            </w:r>
            <w:r>
              <w:rPr>
                <w:rFonts w:hint="eastAsia" w:ascii="宋体" w:hAnsi="宋体" w:cs="宋体"/>
                <w:color w:val="EE0000"/>
                <w:sz w:val="21"/>
                <w:szCs w:val="21"/>
                <w:lang w:eastAsia="zh-CN"/>
              </w:rPr>
              <w:t>（需要提供彩页或技术白皮书或说明书相关证明材料）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2.6.</w:t>
            </w:r>
            <w:r>
              <w:rPr>
                <w:rFonts w:hint="eastAsia" w:ascii="宋体" w:hAnsi="宋体" w:eastAsia="宋体" w:cs="宋体"/>
                <w:sz w:val="21"/>
                <w:szCs w:val="21"/>
              </w:rPr>
              <w:t xml:space="preserve"> 柱面度DC：范围0.00D～3.00D，分辨率0.25D/0.01D，精度±0.50D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2.7.</w:t>
            </w:r>
            <w:r>
              <w:rPr>
                <w:rFonts w:hint="eastAsia" w:ascii="宋体" w:hAnsi="宋体" w:eastAsia="宋体" w:cs="宋体"/>
                <w:sz w:val="21"/>
                <w:szCs w:val="21"/>
              </w:rPr>
              <w:t xml:space="preserve"> 轴位Axis:范围0°～180°，分辨率：1°，精度：±5°（0.1D～3.0D）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2.8.</w:t>
            </w:r>
            <w:r>
              <w:rPr>
                <w:rFonts w:hint="eastAsia" w:ascii="宋体" w:hAnsi="宋体" w:eastAsia="宋体" w:cs="宋体"/>
                <w:sz w:val="21"/>
                <w:szCs w:val="21"/>
              </w:rPr>
              <w:t xml:space="preserve"> 瞳孔直径Pupil Size：范围4.0mm～9.0mm，分辨率：0.1mm，精度：±0.1mm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2.9．</w:t>
            </w:r>
            <w:r>
              <w:rPr>
                <w:rFonts w:hint="eastAsia" w:ascii="宋体" w:hAnsi="宋体" w:eastAsia="宋体" w:cs="宋体"/>
                <w:sz w:val="21"/>
                <w:szCs w:val="21"/>
              </w:rPr>
              <w:t>瞳距Pupil Distance:范围35mm~80mm，分辨率：1mm，精度：±1mm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sz w:val="21"/>
                <w:szCs w:val="21"/>
              </w:rPr>
              <w:t>2.10.支持可通过蓝牙、Wi-Fi、USB模式或扫描传输数据</w:t>
            </w:r>
            <w:r>
              <w:rPr>
                <w:rFonts w:hint="eastAsia" w:ascii="宋体" w:hAnsi="宋体" w:cs="宋体"/>
                <w:color w:val="EE0000"/>
                <w:sz w:val="21"/>
                <w:szCs w:val="21"/>
                <w:lang w:eastAsia="zh-CN"/>
              </w:rPr>
              <w:t>（需要提供彩页或技术白皮书或说明书相关证明材料）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sz w:val="21"/>
                <w:szCs w:val="21"/>
              </w:rPr>
              <w:t>2.11.电池：具有两块充电锂电池，续航6小时，可随时拆卸</w:t>
            </w:r>
            <w:r>
              <w:rPr>
                <w:rFonts w:hint="eastAsia" w:ascii="宋体" w:hAnsi="宋体" w:cs="宋体"/>
                <w:color w:val="EE0000"/>
                <w:sz w:val="21"/>
                <w:szCs w:val="21"/>
                <w:lang w:eastAsia="zh-CN"/>
              </w:rPr>
              <w:t>（需要提供彩页或技术白皮书或说明书相关证明材料）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sz w:val="21"/>
                <w:szCs w:val="21"/>
              </w:rPr>
              <w:t>2.12.触摸显示屏≥4.3英寸，且触摸显示屏呈90°垂直</w:t>
            </w:r>
            <w:r>
              <w:rPr>
                <w:rFonts w:hint="eastAsia" w:ascii="宋体" w:hAnsi="宋体" w:cs="宋体"/>
                <w:color w:val="EE0000"/>
                <w:sz w:val="21"/>
                <w:szCs w:val="21"/>
                <w:lang w:eastAsia="zh-CN"/>
              </w:rPr>
              <w:t>（需要提供彩页或技术白皮书或说明书相关证明材料）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2.1</w:t>
            </w:r>
            <w:r>
              <w:rPr>
                <w:rFonts w:hint="eastAsia" w:ascii="宋体" w:hAnsi="宋体" w:eastAsia="宋体" w:cs="宋体"/>
                <w:b w:val="0"/>
                <w:bCs w:val="0"/>
                <w:color w:val="auto"/>
                <w:sz w:val="21"/>
                <w:szCs w:val="21"/>
              </w:rPr>
              <w:t>3.</w:t>
            </w:r>
            <w:r>
              <w:rPr>
                <w:rFonts w:hint="eastAsia" w:ascii="宋体" w:hAnsi="宋体" w:eastAsia="宋体" w:cs="宋体"/>
                <w:b w:val="0"/>
                <w:bCs w:val="0"/>
                <w:color w:val="auto"/>
                <w:sz w:val="21"/>
                <w:szCs w:val="21"/>
                <w:lang w:eastAsia="zh-CN"/>
              </w:rPr>
              <w:t>对接</w:t>
            </w:r>
            <w:r>
              <w:rPr>
                <w:rFonts w:hint="eastAsia" w:ascii="宋体" w:hAnsi="宋体" w:eastAsia="宋体" w:cs="宋体"/>
                <w:b w:val="0"/>
                <w:bCs w:val="0"/>
                <w:color w:val="auto"/>
                <w:spacing w:val="9"/>
                <w:kern w:val="0"/>
                <w:sz w:val="21"/>
                <w:szCs w:val="21"/>
                <w:lang w:eastAsia="zh-CN"/>
              </w:rPr>
              <w:t>深圳市妇幼保健管理信息系统</w:t>
            </w:r>
            <w:r>
              <w:rPr>
                <w:rFonts w:hint="eastAsia" w:ascii="宋体" w:hAnsi="宋体" w:eastAsia="宋体" w:cs="宋体"/>
                <w:b w:val="0"/>
                <w:bCs w:val="0"/>
                <w:color w:val="auto"/>
                <w:spacing w:val="9"/>
                <w:kern w:val="0"/>
                <w:sz w:val="21"/>
                <w:szCs w:val="21"/>
                <w:lang w:val="en-US" w:eastAsia="zh-CN"/>
              </w:rPr>
              <w:t>近视防控模块</w:t>
            </w:r>
            <w:r>
              <w:rPr>
                <w:rFonts w:hint="eastAsia" w:ascii="宋体" w:hAnsi="宋体" w:eastAsia="宋体" w:cs="宋体"/>
                <w:b w:val="0"/>
                <w:bCs w:val="0"/>
                <w:color w:val="auto"/>
                <w:sz w:val="21"/>
                <w:szCs w:val="21"/>
              </w:rPr>
              <w:t>，且无需二次开发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2.14.</w:t>
            </w:r>
            <w:r>
              <w:rPr>
                <w:rFonts w:hint="eastAsia" w:ascii="宋体" w:hAnsi="宋体" w:eastAsia="宋体" w:cs="宋体"/>
                <w:sz w:val="21"/>
                <w:szCs w:val="21"/>
              </w:rPr>
              <w:t>可选配数据管理系统和自助筛查工作站，</w:t>
            </w:r>
            <w:r>
              <w:rPr>
                <w:rFonts w:hint="eastAsia" w:ascii="宋体" w:hAnsi="宋体" w:eastAsia="宋体" w:cs="宋体"/>
                <w:sz w:val="21"/>
                <w:szCs w:val="21"/>
                <w:lang w:val="en-US" w:eastAsia="zh-CN"/>
              </w:rPr>
              <w:t>支持</w:t>
            </w:r>
            <w:r>
              <w:rPr>
                <w:rFonts w:hint="eastAsia" w:ascii="宋体" w:hAnsi="宋体" w:eastAsia="宋体" w:cs="宋体"/>
                <w:sz w:val="21"/>
                <w:szCs w:val="21"/>
              </w:rPr>
              <w:t>大规模筛查</w:t>
            </w:r>
          </w:p>
        </w:tc>
      </w:tr>
    </w:tbl>
    <w:p>
      <w:pPr>
        <w:rPr>
          <w:rFonts w:ascii="Times New Roman" w:hAnsi="Times New Roman" w:eastAsia="宋体" w:cs="Times New Roman"/>
          <w:b/>
          <w:szCs w:val="21"/>
        </w:rPr>
      </w:pPr>
    </w:p>
    <w:p>
      <w:pPr>
        <w:pStyle w:val="6"/>
        <w:spacing w:before="120" w:beforeLines="50" w:after="120" w:afterLines="50"/>
        <w:rPr>
          <w:sz w:val="28"/>
          <w:szCs w:val="28"/>
        </w:rPr>
      </w:pPr>
      <w:r>
        <w:rPr>
          <w:rFonts w:hint="eastAsia"/>
          <w:sz w:val="28"/>
          <w:szCs w:val="28"/>
        </w:rPr>
        <w:t>五、商务要求</w:t>
      </w:r>
    </w:p>
    <w:p>
      <w:pPr>
        <w:ind w:firstLine="422" w:firstLineChars="200"/>
        <w:rPr>
          <w:b/>
          <w:szCs w:val="21"/>
        </w:rPr>
      </w:pPr>
      <w:r>
        <w:rPr>
          <w:rFonts w:hint="eastAsia"/>
          <w:b/>
          <w:szCs w:val="21"/>
        </w:rPr>
        <w:t>说明：带★号条款为不可偏离条款，不作为评分准则中的评分内容</w:t>
      </w:r>
      <w:r>
        <w:rPr>
          <w:rFonts w:hint="eastAsia"/>
          <w:b/>
          <w:szCs w:val="21"/>
          <w:lang w:eastAsia="zh-CN"/>
        </w:rPr>
        <w:t>，</w:t>
      </w:r>
      <w:r>
        <w:rPr>
          <w:rFonts w:hint="eastAsia"/>
          <w:b/>
          <w:szCs w:val="21"/>
        </w:rPr>
        <w:t>如未响应或出现负偏离的，将作投标无效处理；</w:t>
      </w:r>
    </w:p>
    <w:tbl>
      <w:tblPr>
        <w:tblStyle w:val="478"/>
        <w:tblW w:w="502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06"/>
        <w:gridCol w:w="1698"/>
        <w:gridCol w:w="58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48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6"/>
                <w:kern w:val="0"/>
                <w:sz w:val="21"/>
                <w:szCs w:val="21"/>
              </w:rPr>
              <w:t>序号</w:t>
            </w:r>
          </w:p>
        </w:tc>
        <w:tc>
          <w:tcPr>
            <w:tcW w:w="10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14"/>
                <w:kern w:val="0"/>
                <w:sz w:val="21"/>
                <w:szCs w:val="21"/>
              </w:rPr>
              <w:t>目录</w:t>
            </w:r>
          </w:p>
        </w:tc>
        <w:tc>
          <w:tcPr>
            <w:tcW w:w="350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8"/>
                <w:kern w:val="0"/>
                <w:sz w:val="21"/>
                <w:szCs w:val="21"/>
              </w:rPr>
              <w:t>商务要求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00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4"/>
                <w:kern w:val="0"/>
                <w:sz w:val="21"/>
                <w:szCs w:val="21"/>
              </w:rPr>
              <w:t>（一）免费保修期内售后服务要求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82"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position w:val="-1"/>
                <w:sz w:val="21"/>
                <w:szCs w:val="21"/>
              </w:rPr>
              <w:t>1</w:t>
            </w:r>
          </w:p>
        </w:tc>
        <w:tc>
          <w:tcPr>
            <w:tcW w:w="101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9"/>
                <w:kern w:val="0"/>
                <w:sz w:val="21"/>
                <w:szCs w:val="21"/>
              </w:rPr>
              <w:t>维修及维护服务</w:t>
            </w:r>
          </w:p>
        </w:tc>
        <w:tc>
          <w:tcPr>
            <w:tcW w:w="3502"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9"/>
                <w:kern w:val="0"/>
                <w:sz w:val="21"/>
                <w:szCs w:val="21"/>
                <w:lang w:eastAsia="zh-CN"/>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pacing w:val="9"/>
                <w:kern w:val="0"/>
                <w:sz w:val="21"/>
                <w:szCs w:val="21"/>
                <w:lang w:eastAsia="zh-CN"/>
              </w:rPr>
              <w:t>1.1提供主机及配件免费保修期5年，保修期以验收合格，双方代表签署“验收报告”之日起计算。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8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position w:val="-1"/>
                <w:sz w:val="21"/>
                <w:szCs w:val="21"/>
              </w:rPr>
            </w:pPr>
          </w:p>
        </w:tc>
        <w:tc>
          <w:tcPr>
            <w:tcW w:w="101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p>
        </w:tc>
        <w:tc>
          <w:tcPr>
            <w:tcW w:w="3502"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9"/>
                <w:kern w:val="0"/>
                <w:sz w:val="21"/>
                <w:szCs w:val="21"/>
              </w:rPr>
            </w:pPr>
            <w:r>
              <w:rPr>
                <w:rFonts w:hint="eastAsia" w:ascii="宋体" w:hAnsi="宋体" w:eastAsia="宋体" w:cs="宋体"/>
                <w:b w:val="0"/>
                <w:bCs w:val="0"/>
                <w:color w:val="auto"/>
                <w:spacing w:val="9"/>
                <w:kern w:val="0"/>
                <w:sz w:val="21"/>
                <w:szCs w:val="21"/>
              </w:rPr>
              <w:t>1.2由生产厂家提供售后服务，4 小时内响应，24小时维修到位。消耗品和零配件供应及时，特殊情况下可提供备用机。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8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position w:val="-1"/>
                <w:sz w:val="21"/>
                <w:szCs w:val="21"/>
              </w:rPr>
            </w:pPr>
          </w:p>
        </w:tc>
        <w:tc>
          <w:tcPr>
            <w:tcW w:w="101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p>
        </w:tc>
        <w:tc>
          <w:tcPr>
            <w:tcW w:w="3502"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9"/>
                <w:kern w:val="0"/>
                <w:sz w:val="21"/>
                <w:szCs w:val="21"/>
              </w:rPr>
            </w:pPr>
            <w:r>
              <w:rPr>
                <w:rFonts w:hint="eastAsia" w:ascii="宋体" w:hAnsi="宋体" w:eastAsia="宋体" w:cs="宋体"/>
                <w:b w:val="0"/>
                <w:bCs w:val="0"/>
                <w:color w:val="auto"/>
                <w:spacing w:val="9"/>
                <w:kern w:val="0"/>
                <w:sz w:val="21"/>
                <w:szCs w:val="21"/>
              </w:rPr>
              <w:t>1.3保修期内，生产厂家每年最少提供 4 次免费保养，执行QA，按照厂家标准进行调校，以及对数据库或软件等进行清理和备份，确认各项技术指标及性能，保养中需更换的损耗品由生产厂家免费提供。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8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position w:val="-1"/>
                <w:sz w:val="21"/>
                <w:szCs w:val="21"/>
              </w:rPr>
            </w:pPr>
          </w:p>
        </w:tc>
        <w:tc>
          <w:tcPr>
            <w:tcW w:w="101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p>
        </w:tc>
        <w:tc>
          <w:tcPr>
            <w:tcW w:w="3502"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9"/>
                <w:kern w:val="0"/>
                <w:sz w:val="21"/>
                <w:szCs w:val="21"/>
              </w:rPr>
            </w:pPr>
            <w:r>
              <w:rPr>
                <w:rFonts w:hint="eastAsia" w:ascii="宋体" w:hAnsi="宋体" w:eastAsia="宋体" w:cs="宋体"/>
                <w:b w:val="0"/>
                <w:bCs w:val="0"/>
                <w:color w:val="auto"/>
                <w:spacing w:val="9"/>
                <w:kern w:val="0"/>
                <w:sz w:val="21"/>
                <w:szCs w:val="21"/>
              </w:rPr>
              <w:t>1.4保修期内，设备主机及配件免费维修、免费更换、免工时费，并免费提供软件升级。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8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position w:val="-1"/>
                <w:sz w:val="21"/>
                <w:szCs w:val="21"/>
              </w:rPr>
            </w:pPr>
          </w:p>
        </w:tc>
        <w:tc>
          <w:tcPr>
            <w:tcW w:w="101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p>
        </w:tc>
        <w:tc>
          <w:tcPr>
            <w:tcW w:w="3502"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textAlignment w:val="auto"/>
              <w:rPr>
                <w:rFonts w:hint="eastAsia" w:ascii="宋体" w:hAnsi="宋体" w:eastAsia="宋体" w:cs="宋体"/>
                <w:b w:val="0"/>
                <w:bCs w:val="0"/>
                <w:color w:val="auto"/>
                <w:spacing w:val="9"/>
                <w:kern w:val="0"/>
                <w:sz w:val="21"/>
                <w:szCs w:val="21"/>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pacing w:val="9"/>
                <w:kern w:val="0"/>
                <w:sz w:val="21"/>
                <w:szCs w:val="21"/>
                <w:lang w:val="en-US" w:eastAsia="zh-CN"/>
              </w:rPr>
              <w:t>1.5</w:t>
            </w:r>
            <w:r>
              <w:rPr>
                <w:rFonts w:hint="eastAsia" w:ascii="宋体" w:hAnsi="宋体" w:cs="宋体"/>
                <w:b w:val="0"/>
                <w:bCs w:val="0"/>
                <w:color w:val="auto"/>
                <w:spacing w:val="9"/>
                <w:kern w:val="0"/>
                <w:szCs w:val="21"/>
              </w:rPr>
              <w:t>信息化系统：含设备接入医院信息系统（包括但不限于HIS、PACS、LIS等）端口开发、调试及对接费用，确保设备数据能实时、准确上传至医院指定系统，投标供应商须配合医院信息科及科室完成系统对接测试。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500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pacing w:val="4"/>
                <w:kern w:val="0"/>
                <w:sz w:val="21"/>
                <w:szCs w:val="21"/>
              </w:rPr>
              <w:t>（二）免费保修期外售后服务要求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82"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01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kern w:val="0"/>
                <w:sz w:val="21"/>
                <w:szCs w:val="21"/>
              </w:rPr>
            </w:pPr>
            <w:r>
              <w:rPr>
                <w:rFonts w:hint="eastAsia" w:ascii="宋体" w:hAnsi="宋体" w:eastAsia="宋体" w:cs="宋体"/>
                <w:spacing w:val="9"/>
                <w:kern w:val="0"/>
                <w:sz w:val="21"/>
                <w:szCs w:val="21"/>
              </w:rPr>
              <w:t>维修服务和优惠</w:t>
            </w:r>
            <w:r>
              <w:rPr>
                <w:rFonts w:hint="eastAsia" w:ascii="宋体" w:hAnsi="宋体" w:eastAsia="宋体" w:cs="宋体"/>
                <w:spacing w:val="6"/>
                <w:kern w:val="0"/>
                <w:sz w:val="21"/>
                <w:szCs w:val="21"/>
              </w:rPr>
              <w:t>价格</w:t>
            </w:r>
          </w:p>
        </w:tc>
        <w:tc>
          <w:tcPr>
            <w:tcW w:w="3502"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9"/>
                <w:kern w:val="0"/>
                <w:sz w:val="21"/>
                <w:szCs w:val="21"/>
              </w:rPr>
            </w:pPr>
            <w:r>
              <w:rPr>
                <w:rFonts w:hint="eastAsia" w:ascii="宋体" w:hAnsi="宋体" w:eastAsia="宋体" w:cs="宋体"/>
                <w:b w:val="0"/>
                <w:bCs w:val="0"/>
                <w:color w:val="auto"/>
                <w:spacing w:val="9"/>
                <w:kern w:val="0"/>
                <w:sz w:val="21"/>
                <w:szCs w:val="21"/>
              </w:rPr>
              <w:t>1.1由生产厂家提供售后服务，  4 小时内响应，  24  小时维修到位。消耗品和零配件供应及时，特殊情况下可提供备用机。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8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spacing w:val="9"/>
                <w:kern w:val="0"/>
                <w:sz w:val="21"/>
                <w:szCs w:val="21"/>
              </w:rPr>
            </w:pPr>
          </w:p>
        </w:tc>
        <w:tc>
          <w:tcPr>
            <w:tcW w:w="3502"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9"/>
                <w:kern w:val="0"/>
                <w:sz w:val="21"/>
                <w:szCs w:val="21"/>
              </w:rPr>
            </w:pPr>
            <w:r>
              <w:rPr>
                <w:rFonts w:hint="eastAsia" w:ascii="宋体" w:hAnsi="宋体" w:eastAsia="宋体" w:cs="宋体"/>
                <w:b w:val="0"/>
                <w:bCs w:val="0"/>
                <w:color w:val="auto"/>
                <w:spacing w:val="9"/>
                <w:kern w:val="0"/>
                <w:sz w:val="21"/>
                <w:szCs w:val="21"/>
              </w:rPr>
              <w:t>1.2终身维修，保修期满后，生产厂家对用户进行的售后服务只收更换部件的成本费，提供维修零配件、消耗品优惠价格。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8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spacing w:val="9"/>
                <w:kern w:val="0"/>
                <w:sz w:val="21"/>
                <w:szCs w:val="21"/>
              </w:rPr>
            </w:pPr>
          </w:p>
        </w:tc>
        <w:tc>
          <w:tcPr>
            <w:tcW w:w="3502"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9"/>
                <w:kern w:val="0"/>
                <w:sz w:val="21"/>
                <w:szCs w:val="21"/>
              </w:rPr>
            </w:pPr>
            <w:r>
              <w:rPr>
                <w:rFonts w:hint="eastAsia" w:ascii="宋体" w:hAnsi="宋体" w:eastAsia="宋体" w:cs="宋体"/>
                <w:b w:val="0"/>
                <w:bCs w:val="0"/>
                <w:color w:val="auto"/>
                <w:spacing w:val="9"/>
                <w:kern w:val="0"/>
                <w:sz w:val="21"/>
                <w:szCs w:val="21"/>
              </w:rPr>
              <w:t>1.3采购人可与投标人就优惠价进行谈判，但优惠价不得高于投标人在投标文件中承诺的消耗品、零配件报价。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8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spacing w:val="9"/>
                <w:kern w:val="0"/>
                <w:sz w:val="21"/>
                <w:szCs w:val="21"/>
              </w:rPr>
            </w:pPr>
          </w:p>
        </w:tc>
        <w:tc>
          <w:tcPr>
            <w:tcW w:w="3502"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9"/>
                <w:kern w:val="0"/>
                <w:sz w:val="21"/>
                <w:szCs w:val="21"/>
              </w:rPr>
            </w:pPr>
            <w:r>
              <w:rPr>
                <w:rFonts w:hint="eastAsia" w:ascii="宋体" w:hAnsi="宋体" w:eastAsia="宋体" w:cs="宋体"/>
                <w:b w:val="0"/>
                <w:bCs w:val="0"/>
                <w:color w:val="auto"/>
                <w:spacing w:val="9"/>
                <w:kern w:val="0"/>
                <w:sz w:val="21"/>
                <w:szCs w:val="21"/>
              </w:rPr>
              <w:t>1.4生产厂家维修的货物经采购人验收合格，且厂家提供维修发票后，采购人支付维修费用。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8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spacing w:val="9"/>
                <w:kern w:val="0"/>
                <w:sz w:val="21"/>
                <w:szCs w:val="21"/>
              </w:rPr>
            </w:pPr>
          </w:p>
        </w:tc>
        <w:tc>
          <w:tcPr>
            <w:tcW w:w="3502"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9"/>
                <w:kern w:val="0"/>
                <w:sz w:val="21"/>
                <w:szCs w:val="21"/>
              </w:rPr>
            </w:pPr>
            <w:r>
              <w:rPr>
                <w:rFonts w:hint="eastAsia" w:ascii="宋体" w:hAnsi="宋体" w:eastAsia="宋体" w:cs="宋体"/>
                <w:b w:val="0"/>
                <w:bCs w:val="0"/>
                <w:color w:val="auto"/>
                <w:spacing w:val="9"/>
                <w:kern w:val="0"/>
                <w:sz w:val="21"/>
                <w:szCs w:val="21"/>
              </w:rPr>
              <w:t>1.5投标人及生产厂家不得以任何理由不按时进行维修，不得要求采购人购买所谓“保修服务”（即：不论设备有无故障，先买保修服务），不得在设备中嵌设任何不利于采购人使用与维修设备的障碍。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00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pacing w:val="10"/>
                <w:kern w:val="0"/>
                <w:sz w:val="21"/>
                <w:szCs w:val="21"/>
              </w:rPr>
              <w:t>（三）其他商务要求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2"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01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8"/>
                <w:kern w:val="0"/>
                <w:sz w:val="21"/>
                <w:szCs w:val="21"/>
              </w:rPr>
              <w:t>交货要求</w:t>
            </w:r>
          </w:p>
        </w:tc>
        <w:tc>
          <w:tcPr>
            <w:tcW w:w="3502"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8"/>
                <w:kern w:val="0"/>
                <w:sz w:val="21"/>
                <w:szCs w:val="21"/>
              </w:rPr>
            </w:pPr>
            <w:r>
              <w:rPr>
                <w:rFonts w:hint="eastAsia" w:ascii="宋体" w:hAnsi="宋体" w:eastAsia="宋体" w:cs="宋体"/>
                <w:b w:val="0"/>
                <w:bCs w:val="0"/>
                <w:color w:val="auto"/>
                <w:spacing w:val="9"/>
                <w:kern w:val="0"/>
                <w:sz w:val="21"/>
                <w:szCs w:val="21"/>
              </w:rPr>
              <w:t>★</w:t>
            </w:r>
            <w:r>
              <w:rPr>
                <w:rFonts w:hint="eastAsia" w:ascii="宋体" w:hAnsi="宋体" w:eastAsia="宋体" w:cs="宋体"/>
                <w:b w:val="0"/>
                <w:bCs w:val="0"/>
                <w:color w:val="auto"/>
                <w:spacing w:val="8"/>
                <w:kern w:val="0"/>
                <w:sz w:val="21"/>
                <w:szCs w:val="21"/>
              </w:rPr>
              <w:t>1.1投标人在签订合同之日起</w:t>
            </w:r>
            <w:r>
              <w:rPr>
                <w:rFonts w:hint="eastAsia" w:ascii="宋体" w:hAnsi="宋体" w:eastAsia="宋体" w:cs="宋体"/>
                <w:b w:val="0"/>
                <w:bCs w:val="0"/>
                <w:color w:val="auto"/>
                <w:spacing w:val="8"/>
                <w:kern w:val="0"/>
                <w:sz w:val="21"/>
                <w:szCs w:val="21"/>
                <w:lang w:val="en-US" w:eastAsia="zh-CN"/>
              </w:rPr>
              <w:t>30</w:t>
            </w:r>
            <w:r>
              <w:rPr>
                <w:rFonts w:hint="eastAsia" w:ascii="宋体" w:hAnsi="宋体" w:eastAsia="宋体" w:cs="宋体"/>
                <w:b w:val="0"/>
                <w:bCs w:val="0"/>
                <w:color w:val="auto"/>
                <w:spacing w:val="8"/>
                <w:kern w:val="0"/>
                <w:sz w:val="21"/>
                <w:szCs w:val="21"/>
              </w:rPr>
              <w:t xml:space="preserve"> 天（日历日）内交货。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p>
        </w:tc>
        <w:tc>
          <w:tcPr>
            <w:tcW w:w="3502"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8"/>
                <w:kern w:val="0"/>
                <w:sz w:val="21"/>
                <w:szCs w:val="21"/>
              </w:rPr>
            </w:pPr>
            <w:r>
              <w:rPr>
                <w:rFonts w:hint="eastAsia" w:ascii="宋体" w:hAnsi="宋体" w:eastAsia="宋体" w:cs="宋体"/>
                <w:b w:val="0"/>
                <w:bCs w:val="0"/>
                <w:color w:val="auto"/>
                <w:spacing w:val="8"/>
                <w:kern w:val="0"/>
                <w:sz w:val="21"/>
                <w:szCs w:val="21"/>
              </w:rPr>
              <w:t>1.2投标人应提供货物的技术文件，包括但不限于设备配置清单、产品说明书、图纸、操作手册、维护手册（含维修密码及接口数据）、质量证明文件（含生产厂家出具的出厂合格证）、服务指南等，所有外文资料须提供中文译本。文件应随货物一并交付至采购人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p>
        </w:tc>
        <w:tc>
          <w:tcPr>
            <w:tcW w:w="3502"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8"/>
                <w:kern w:val="0"/>
                <w:sz w:val="21"/>
                <w:szCs w:val="21"/>
              </w:rPr>
            </w:pPr>
            <w:r>
              <w:rPr>
                <w:rFonts w:hint="eastAsia" w:ascii="宋体" w:hAnsi="宋体" w:eastAsia="宋体" w:cs="宋体"/>
                <w:b w:val="0"/>
                <w:bCs w:val="0"/>
                <w:color w:val="auto"/>
                <w:spacing w:val="8"/>
                <w:kern w:val="0"/>
                <w:sz w:val="21"/>
                <w:szCs w:val="21"/>
              </w:rPr>
              <w:t>1.3提供的货物须为全新、经检验合格的产品。产品如需要计量检定的应提供相关计量检定部门出具的合法检定报告。其中，进口设备必须提供相关进口资料。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2"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01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3"/>
                <w:kern w:val="0"/>
                <w:sz w:val="21"/>
                <w:szCs w:val="21"/>
              </w:rPr>
              <w:t>运输、安装和验收</w:t>
            </w:r>
          </w:p>
        </w:tc>
        <w:tc>
          <w:tcPr>
            <w:tcW w:w="3502"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8"/>
                <w:kern w:val="0"/>
                <w:sz w:val="21"/>
                <w:szCs w:val="21"/>
              </w:rPr>
            </w:pPr>
            <w:r>
              <w:rPr>
                <w:rFonts w:hint="eastAsia" w:ascii="宋体" w:hAnsi="宋体" w:eastAsia="宋体" w:cs="宋体"/>
                <w:b w:val="0"/>
                <w:bCs w:val="0"/>
                <w:color w:val="auto"/>
                <w:spacing w:val="8"/>
                <w:kern w:val="0"/>
                <w:sz w:val="21"/>
                <w:szCs w:val="21"/>
              </w:rPr>
              <w:t>2.1投标人负责将货物安全无损运抵采购人指定地点，并承担设备的包装、运输、保险、装卸、安装调试、培训、商检及计量检测、关税、增值税和进口代理等费用。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rPr>
            </w:pPr>
          </w:p>
        </w:tc>
        <w:tc>
          <w:tcPr>
            <w:tcW w:w="3502"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8"/>
                <w:kern w:val="0"/>
                <w:sz w:val="21"/>
                <w:szCs w:val="21"/>
              </w:rPr>
            </w:pPr>
            <w:r>
              <w:rPr>
                <w:rFonts w:hint="eastAsia" w:ascii="宋体" w:hAnsi="宋体" w:eastAsia="宋体" w:cs="宋体"/>
                <w:b w:val="0"/>
                <w:bCs w:val="0"/>
                <w:color w:val="auto"/>
                <w:spacing w:val="8"/>
                <w:kern w:val="0"/>
                <w:sz w:val="21"/>
                <w:szCs w:val="21"/>
              </w:rPr>
              <w:t>2.2货物安装前厂家需派专业工程师到现场确认场地及安装环境是否符合该设备安装要求，在用户单位、中标人双方在场情况下开箱检验。在安装过程中若造成机器损坏，应由中标人负责修复，安装后保证产品质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rPr>
            </w:pPr>
          </w:p>
        </w:tc>
        <w:tc>
          <w:tcPr>
            <w:tcW w:w="3502"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8"/>
                <w:kern w:val="0"/>
                <w:sz w:val="21"/>
                <w:szCs w:val="21"/>
              </w:rPr>
            </w:pPr>
            <w:r>
              <w:rPr>
                <w:rFonts w:hint="eastAsia" w:ascii="宋体" w:hAnsi="宋体" w:eastAsia="宋体" w:cs="宋体"/>
                <w:b w:val="0"/>
                <w:bCs w:val="0"/>
                <w:color w:val="auto"/>
                <w:spacing w:val="8"/>
                <w:kern w:val="0"/>
                <w:sz w:val="21"/>
                <w:szCs w:val="21"/>
              </w:rPr>
              <w:t>2.3采购人有权检验或测试货物，以确认货物是否符合合同规格的要求，并且不承担额外的费用。如果发现所交货物与投标文件中所承诺的不符或存在质量、技术缺陷等，采购人可以拒绝接收该货物，投标人应在  30  天（日历日）内采取补足、更换或退货等措施，以满足规格的要求，由此发生的一切损失和费用由投标人承担。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rPr>
            </w:pPr>
          </w:p>
        </w:tc>
        <w:tc>
          <w:tcPr>
            <w:tcW w:w="3502"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8"/>
                <w:kern w:val="0"/>
                <w:sz w:val="21"/>
                <w:szCs w:val="21"/>
              </w:rPr>
            </w:pPr>
            <w:r>
              <w:rPr>
                <w:rFonts w:hint="eastAsia" w:ascii="宋体" w:hAnsi="宋体" w:eastAsia="宋体" w:cs="宋体"/>
                <w:b w:val="0"/>
                <w:bCs w:val="0"/>
                <w:color w:val="auto"/>
                <w:spacing w:val="8"/>
                <w:kern w:val="0"/>
                <w:sz w:val="21"/>
                <w:szCs w:val="21"/>
              </w:rPr>
              <w:t>2.4供货时须确保产品外观清洁，标记编号以及盘面显示等字体清晰、明确，能够准确无误地表示产品的型号、规格、制造商等，并保证所提供的产品的可追溯性。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rPr>
            </w:pPr>
          </w:p>
        </w:tc>
        <w:tc>
          <w:tcPr>
            <w:tcW w:w="3502"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8"/>
                <w:kern w:val="0"/>
                <w:sz w:val="21"/>
                <w:szCs w:val="21"/>
              </w:rPr>
            </w:pPr>
            <w:r>
              <w:rPr>
                <w:rFonts w:hint="eastAsia" w:ascii="宋体" w:hAnsi="宋体" w:eastAsia="宋体" w:cs="宋体"/>
                <w:b w:val="0"/>
                <w:bCs w:val="0"/>
                <w:color w:val="auto"/>
                <w:spacing w:val="8"/>
                <w:kern w:val="0"/>
                <w:sz w:val="21"/>
                <w:szCs w:val="21"/>
              </w:rPr>
              <w:t>2.5投标人负责货物的现场安装和调试，提供货物安装、调试和维修所需的专用工具和辅助材料。投标人应在货物运至指定地点后一周内开始安装调试，并在  15  天（日历日）内完成安装调试工作。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rPr>
            </w:pPr>
          </w:p>
        </w:tc>
        <w:tc>
          <w:tcPr>
            <w:tcW w:w="3502"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8"/>
                <w:kern w:val="0"/>
                <w:sz w:val="21"/>
                <w:szCs w:val="21"/>
              </w:rPr>
            </w:pPr>
            <w:r>
              <w:rPr>
                <w:rFonts w:hint="eastAsia" w:ascii="宋体" w:hAnsi="宋体" w:eastAsia="宋体" w:cs="宋体"/>
                <w:b w:val="0"/>
                <w:bCs w:val="0"/>
                <w:color w:val="auto"/>
                <w:spacing w:val="8"/>
                <w:kern w:val="0"/>
                <w:sz w:val="21"/>
                <w:szCs w:val="21"/>
              </w:rPr>
              <w:t>2.6由投标人代表、厂家代表和采购人组成验收小组对产品进行验收。验收标准按照产品技术参数要求和合同约定执行。经检验设备正常运作后签署验收报告，产品保修期自验收合格之日起算。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w:t>
            </w:r>
          </w:p>
        </w:tc>
        <w:tc>
          <w:tcPr>
            <w:tcW w:w="10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highlight w:val="none"/>
                <w:lang w:val="en-US" w:eastAsia="zh-CN"/>
              </w:rPr>
            </w:pPr>
            <w:r>
              <w:rPr>
                <w:rFonts w:hint="eastAsia" w:ascii="宋体" w:hAnsi="宋体" w:eastAsia="宋体" w:cs="宋体"/>
                <w:spacing w:val="3"/>
                <w:kern w:val="0"/>
                <w:sz w:val="21"/>
                <w:szCs w:val="21"/>
                <w:highlight w:val="none"/>
                <w:lang w:val="en-US" w:eastAsia="zh-CN"/>
              </w:rPr>
              <w:t>付款方式</w:t>
            </w:r>
          </w:p>
        </w:tc>
        <w:tc>
          <w:tcPr>
            <w:tcW w:w="3502"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b w:val="0"/>
                <w:bCs w:val="0"/>
                <w:color w:val="auto"/>
                <w:spacing w:val="8"/>
                <w:kern w:val="0"/>
                <w:szCs w:val="21"/>
                <w:highlight w:val="none"/>
              </w:rPr>
            </w:pPr>
            <w:r>
              <w:rPr>
                <w:rFonts w:hint="eastAsia" w:ascii="宋体" w:hAnsi="宋体" w:cs="宋体"/>
                <w:b w:val="0"/>
                <w:bCs w:val="0"/>
                <w:color w:val="auto"/>
                <w:spacing w:val="8"/>
                <w:kern w:val="0"/>
                <w:szCs w:val="21"/>
                <w:highlight w:val="none"/>
              </w:rPr>
              <w:t>1.预付款支付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b w:val="0"/>
                <w:bCs w:val="0"/>
                <w:color w:val="auto"/>
                <w:spacing w:val="8"/>
                <w:kern w:val="0"/>
                <w:szCs w:val="21"/>
                <w:highlight w:val="none"/>
              </w:rPr>
            </w:pPr>
            <w:r>
              <w:rPr>
                <w:rFonts w:hint="eastAsia" w:ascii="宋体" w:hAnsi="宋体" w:cs="宋体"/>
                <w:b w:val="0"/>
                <w:bCs w:val="0"/>
                <w:color w:val="auto"/>
                <w:spacing w:val="8"/>
                <w:kern w:val="0"/>
                <w:szCs w:val="21"/>
                <w:highlight w:val="none"/>
              </w:rPr>
              <w:t>合同签订后，</w:t>
            </w:r>
            <w:r>
              <w:rPr>
                <w:rFonts w:hint="eastAsia" w:ascii="宋体" w:hAnsi="宋体" w:cs="宋体"/>
                <w:b w:val="0"/>
                <w:bCs w:val="0"/>
                <w:color w:val="auto"/>
                <w:spacing w:val="8"/>
                <w:kern w:val="0"/>
                <w:szCs w:val="21"/>
                <w:highlight w:val="none"/>
                <w:lang w:eastAsia="zh-CN"/>
              </w:rPr>
              <w:t>中标供应商</w:t>
            </w:r>
            <w:r>
              <w:rPr>
                <w:rFonts w:hint="eastAsia" w:ascii="宋体" w:hAnsi="宋体" w:cs="宋体"/>
                <w:b w:val="0"/>
                <w:bCs w:val="0"/>
                <w:color w:val="auto"/>
                <w:spacing w:val="8"/>
                <w:kern w:val="0"/>
                <w:szCs w:val="21"/>
                <w:highlight w:val="none"/>
              </w:rPr>
              <w:t>需向</w:t>
            </w:r>
            <w:r>
              <w:rPr>
                <w:rFonts w:hint="eastAsia" w:ascii="宋体" w:hAnsi="宋体" w:cs="宋体"/>
                <w:b w:val="0"/>
                <w:bCs w:val="0"/>
                <w:color w:val="auto"/>
                <w:spacing w:val="8"/>
                <w:kern w:val="0"/>
                <w:szCs w:val="21"/>
                <w:highlight w:val="none"/>
                <w:lang w:eastAsia="zh-CN"/>
              </w:rPr>
              <w:t>采购人</w:t>
            </w:r>
            <w:r>
              <w:rPr>
                <w:rFonts w:hint="eastAsia" w:ascii="宋体" w:hAnsi="宋体" w:cs="宋体"/>
                <w:b w:val="0"/>
                <w:bCs w:val="0"/>
                <w:color w:val="auto"/>
                <w:spacing w:val="8"/>
                <w:kern w:val="0"/>
                <w:szCs w:val="21"/>
                <w:highlight w:val="none"/>
              </w:rPr>
              <w:t>提供全额发票，</w:t>
            </w:r>
            <w:r>
              <w:rPr>
                <w:rFonts w:hint="eastAsia" w:ascii="宋体" w:hAnsi="宋体" w:cs="宋体"/>
                <w:b w:val="0"/>
                <w:bCs w:val="0"/>
                <w:color w:val="auto"/>
                <w:spacing w:val="8"/>
                <w:kern w:val="0"/>
                <w:szCs w:val="21"/>
                <w:highlight w:val="none"/>
                <w:lang w:eastAsia="zh-CN"/>
              </w:rPr>
              <w:t>采购人</w:t>
            </w:r>
            <w:r>
              <w:rPr>
                <w:rFonts w:hint="eastAsia" w:ascii="宋体" w:hAnsi="宋体" w:cs="宋体"/>
                <w:b w:val="0"/>
                <w:bCs w:val="0"/>
                <w:color w:val="auto"/>
                <w:spacing w:val="8"/>
                <w:kern w:val="0"/>
                <w:szCs w:val="21"/>
                <w:highlight w:val="none"/>
              </w:rPr>
              <w:t>在收到发票且财政资金到位后，向</w:t>
            </w:r>
            <w:r>
              <w:rPr>
                <w:rFonts w:hint="eastAsia" w:ascii="宋体" w:hAnsi="宋体" w:cs="宋体"/>
                <w:b w:val="0"/>
                <w:bCs w:val="0"/>
                <w:color w:val="auto"/>
                <w:spacing w:val="8"/>
                <w:kern w:val="0"/>
                <w:szCs w:val="21"/>
                <w:highlight w:val="none"/>
                <w:lang w:eastAsia="zh-CN"/>
              </w:rPr>
              <w:t>中标供应商</w:t>
            </w:r>
            <w:r>
              <w:rPr>
                <w:rFonts w:hint="eastAsia" w:ascii="宋体" w:hAnsi="宋体" w:cs="宋体"/>
                <w:b w:val="0"/>
                <w:bCs w:val="0"/>
                <w:color w:val="auto"/>
                <w:spacing w:val="8"/>
                <w:kern w:val="0"/>
                <w:szCs w:val="21"/>
                <w:highlight w:val="none"/>
              </w:rPr>
              <w:t>支付合同总金额50%的货物预付款。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b w:val="0"/>
                <w:bCs w:val="0"/>
                <w:color w:val="auto"/>
                <w:spacing w:val="8"/>
                <w:kern w:val="0"/>
                <w:szCs w:val="21"/>
                <w:highlight w:val="none"/>
              </w:rPr>
            </w:pPr>
            <w:r>
              <w:rPr>
                <w:rFonts w:hint="eastAsia" w:ascii="宋体" w:hAnsi="宋体" w:cs="宋体"/>
                <w:b w:val="0"/>
                <w:bCs w:val="0"/>
                <w:color w:val="auto"/>
                <w:spacing w:val="8"/>
                <w:kern w:val="0"/>
                <w:szCs w:val="21"/>
                <w:highlight w:val="none"/>
              </w:rPr>
              <w:t>2.进度款（尾款）支付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b w:val="0"/>
                <w:bCs w:val="0"/>
                <w:color w:val="auto"/>
                <w:spacing w:val="8"/>
                <w:kern w:val="0"/>
                <w:szCs w:val="21"/>
                <w:highlight w:val="none"/>
              </w:rPr>
            </w:pPr>
            <w:r>
              <w:rPr>
                <w:rFonts w:hint="eastAsia" w:ascii="宋体" w:hAnsi="宋体" w:cs="宋体"/>
                <w:b w:val="0"/>
                <w:bCs w:val="0"/>
                <w:color w:val="auto"/>
                <w:spacing w:val="8"/>
                <w:kern w:val="0"/>
                <w:szCs w:val="21"/>
                <w:highlight w:val="none"/>
                <w:lang w:eastAsia="zh-CN"/>
              </w:rPr>
              <w:t>中标供应商</w:t>
            </w:r>
            <w:r>
              <w:rPr>
                <w:rFonts w:hint="eastAsia" w:ascii="宋体" w:hAnsi="宋体" w:cs="宋体"/>
                <w:b w:val="0"/>
                <w:bCs w:val="0"/>
                <w:color w:val="auto"/>
                <w:spacing w:val="8"/>
                <w:kern w:val="0"/>
                <w:szCs w:val="21"/>
                <w:highlight w:val="none"/>
              </w:rPr>
              <w:t>将货物运至指定地点、完成安装调试、设备运行合格并通过验收后，</w:t>
            </w:r>
            <w:r>
              <w:rPr>
                <w:rFonts w:hint="eastAsia" w:ascii="宋体" w:hAnsi="宋体" w:cs="宋体"/>
                <w:b w:val="0"/>
                <w:bCs w:val="0"/>
                <w:color w:val="auto"/>
                <w:spacing w:val="8"/>
                <w:kern w:val="0"/>
                <w:szCs w:val="21"/>
                <w:highlight w:val="none"/>
                <w:lang w:eastAsia="zh-CN"/>
              </w:rPr>
              <w:t>采购人</w:t>
            </w:r>
            <w:r>
              <w:rPr>
                <w:rFonts w:hint="eastAsia" w:ascii="宋体" w:hAnsi="宋体" w:cs="宋体"/>
                <w:b w:val="0"/>
                <w:bCs w:val="0"/>
                <w:color w:val="auto"/>
                <w:spacing w:val="8"/>
                <w:kern w:val="0"/>
                <w:szCs w:val="21"/>
                <w:highlight w:val="none"/>
              </w:rPr>
              <w:t>根据财政拨款时间支付剩余50%货款。具体规则如下：</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b w:val="0"/>
                <w:bCs w:val="0"/>
                <w:color w:val="auto"/>
                <w:spacing w:val="8"/>
                <w:kern w:val="0"/>
                <w:szCs w:val="21"/>
                <w:highlight w:val="none"/>
              </w:rPr>
            </w:pPr>
            <w:r>
              <w:rPr>
                <w:rFonts w:hint="eastAsia" w:ascii="宋体" w:hAnsi="宋体" w:cs="宋体"/>
                <w:b w:val="0"/>
                <w:bCs w:val="0"/>
                <w:color w:val="auto"/>
                <w:spacing w:val="8"/>
                <w:kern w:val="0"/>
                <w:szCs w:val="21"/>
                <w:highlight w:val="none"/>
              </w:rPr>
              <w:t>2.1若财政资金足额到位且设备验收合格，</w:t>
            </w:r>
            <w:r>
              <w:rPr>
                <w:rFonts w:hint="eastAsia" w:ascii="宋体" w:hAnsi="宋体" w:cs="宋体"/>
                <w:b w:val="0"/>
                <w:bCs w:val="0"/>
                <w:color w:val="auto"/>
                <w:spacing w:val="8"/>
                <w:kern w:val="0"/>
                <w:szCs w:val="21"/>
                <w:highlight w:val="none"/>
                <w:lang w:eastAsia="zh-CN"/>
              </w:rPr>
              <w:t>采购人</w:t>
            </w:r>
            <w:r>
              <w:rPr>
                <w:rFonts w:hint="eastAsia" w:ascii="宋体" w:hAnsi="宋体" w:cs="宋体"/>
                <w:b w:val="0"/>
                <w:bCs w:val="0"/>
                <w:color w:val="auto"/>
                <w:spacing w:val="8"/>
                <w:kern w:val="0"/>
                <w:szCs w:val="21"/>
                <w:highlight w:val="none"/>
              </w:rPr>
              <w:t>按照财务审批流程支付剩余50%货款；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b w:val="0"/>
                <w:bCs w:val="0"/>
                <w:color w:val="auto"/>
                <w:spacing w:val="8"/>
                <w:kern w:val="0"/>
                <w:szCs w:val="21"/>
                <w:highlight w:val="none"/>
              </w:rPr>
            </w:pPr>
            <w:r>
              <w:rPr>
                <w:rFonts w:hint="eastAsia" w:ascii="宋体" w:hAnsi="宋体" w:cs="宋体"/>
                <w:b w:val="0"/>
                <w:bCs w:val="0"/>
                <w:color w:val="auto"/>
                <w:spacing w:val="8"/>
                <w:kern w:val="0"/>
                <w:szCs w:val="21"/>
                <w:highlight w:val="none"/>
              </w:rPr>
              <w:t>2.2若财政资金不足以支付尾款，</w:t>
            </w:r>
            <w:r>
              <w:rPr>
                <w:rFonts w:hint="eastAsia" w:ascii="宋体" w:hAnsi="宋体" w:cs="宋体"/>
                <w:b w:val="0"/>
                <w:bCs w:val="0"/>
                <w:color w:val="auto"/>
                <w:spacing w:val="8"/>
                <w:kern w:val="0"/>
                <w:szCs w:val="21"/>
                <w:highlight w:val="none"/>
                <w:lang w:eastAsia="zh-CN"/>
              </w:rPr>
              <w:t>采购人</w:t>
            </w:r>
            <w:r>
              <w:rPr>
                <w:rFonts w:hint="eastAsia" w:ascii="宋体" w:hAnsi="宋体" w:cs="宋体"/>
                <w:b w:val="0"/>
                <w:bCs w:val="0"/>
                <w:color w:val="auto"/>
                <w:spacing w:val="8"/>
                <w:kern w:val="0"/>
                <w:szCs w:val="21"/>
                <w:highlight w:val="none"/>
              </w:rPr>
              <w:t>可据实支付部分款项，待剩余资金到位后结清余款；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b w:val="0"/>
                <w:bCs w:val="0"/>
                <w:color w:val="auto"/>
                <w:spacing w:val="8"/>
                <w:kern w:val="0"/>
                <w:sz w:val="21"/>
                <w:szCs w:val="21"/>
                <w:highlight w:val="none"/>
                <w:lang w:val="en-US" w:eastAsia="zh-CN" w:bidi="ar-SA"/>
              </w:rPr>
            </w:pPr>
            <w:r>
              <w:rPr>
                <w:rFonts w:hint="eastAsia" w:ascii="宋体" w:hAnsi="宋体" w:cs="宋体"/>
                <w:b w:val="0"/>
                <w:bCs w:val="0"/>
                <w:color w:val="auto"/>
                <w:spacing w:val="8"/>
                <w:kern w:val="0"/>
                <w:szCs w:val="21"/>
                <w:highlight w:val="none"/>
              </w:rPr>
              <w:t>2.3若</w:t>
            </w:r>
            <w:r>
              <w:rPr>
                <w:rFonts w:hint="eastAsia" w:ascii="宋体" w:hAnsi="宋体" w:cs="宋体"/>
                <w:b w:val="0"/>
                <w:bCs w:val="0"/>
                <w:color w:val="auto"/>
                <w:spacing w:val="8"/>
                <w:kern w:val="0"/>
                <w:szCs w:val="21"/>
                <w:highlight w:val="none"/>
                <w:lang w:eastAsia="zh-CN"/>
              </w:rPr>
              <w:t>采购人</w:t>
            </w:r>
            <w:r>
              <w:rPr>
                <w:rFonts w:hint="eastAsia" w:ascii="宋体" w:hAnsi="宋体" w:cs="宋体"/>
                <w:b w:val="0"/>
                <w:bCs w:val="0"/>
                <w:color w:val="auto"/>
                <w:spacing w:val="8"/>
                <w:kern w:val="0"/>
                <w:szCs w:val="21"/>
                <w:highlight w:val="none"/>
              </w:rPr>
              <w:t>2025年资金预算不足，付款顺延至2026年。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w:t>
            </w:r>
          </w:p>
        </w:tc>
        <w:tc>
          <w:tcPr>
            <w:tcW w:w="10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highlight w:val="none"/>
                <w:lang w:val="en-US" w:eastAsia="zh-CN"/>
              </w:rPr>
            </w:pPr>
            <w:r>
              <w:rPr>
                <w:rFonts w:hint="eastAsia" w:ascii="宋体" w:hAnsi="宋体" w:eastAsia="宋体" w:cs="宋体"/>
                <w:spacing w:val="3"/>
                <w:kern w:val="0"/>
                <w:sz w:val="21"/>
                <w:szCs w:val="21"/>
                <w:highlight w:val="none"/>
                <w:lang w:val="en-US" w:eastAsia="zh-CN"/>
              </w:rPr>
              <w:t>履约保证金</w:t>
            </w:r>
          </w:p>
        </w:tc>
        <w:tc>
          <w:tcPr>
            <w:tcW w:w="3502"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b w:val="0"/>
                <w:bCs w:val="0"/>
                <w:color w:val="auto"/>
                <w:spacing w:val="8"/>
                <w:kern w:val="0"/>
                <w:szCs w:val="21"/>
                <w:highlight w:val="none"/>
              </w:rPr>
            </w:pPr>
            <w:r>
              <w:rPr>
                <w:rFonts w:hint="eastAsia" w:ascii="宋体" w:hAnsi="宋体" w:cs="宋体"/>
                <w:b w:val="0"/>
                <w:bCs w:val="0"/>
                <w:color w:val="auto"/>
                <w:spacing w:val="8"/>
                <w:kern w:val="0"/>
                <w:szCs w:val="21"/>
                <w:highlight w:val="none"/>
              </w:rPr>
              <w:t>1.履约保证金提交要求</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b w:val="0"/>
                <w:bCs w:val="0"/>
                <w:color w:val="auto"/>
                <w:spacing w:val="8"/>
                <w:kern w:val="0"/>
                <w:szCs w:val="21"/>
                <w:highlight w:val="none"/>
              </w:rPr>
            </w:pPr>
            <w:r>
              <w:rPr>
                <w:rFonts w:hint="eastAsia" w:ascii="宋体" w:hAnsi="宋体" w:cs="宋体"/>
                <w:b w:val="0"/>
                <w:bCs w:val="0"/>
                <w:color w:val="auto"/>
                <w:spacing w:val="8"/>
                <w:kern w:val="0"/>
                <w:szCs w:val="21"/>
                <w:highlight w:val="none"/>
              </w:rPr>
              <w:t>1.1</w:t>
            </w:r>
            <w:r>
              <w:rPr>
                <w:rFonts w:hint="eastAsia" w:ascii="宋体" w:hAnsi="宋体" w:cs="宋体"/>
                <w:b w:val="0"/>
                <w:bCs w:val="0"/>
                <w:color w:val="auto"/>
                <w:spacing w:val="8"/>
                <w:kern w:val="0"/>
                <w:szCs w:val="21"/>
                <w:highlight w:val="none"/>
                <w:lang w:eastAsia="zh-CN"/>
              </w:rPr>
              <w:t>中标供应商</w:t>
            </w:r>
            <w:r>
              <w:rPr>
                <w:rFonts w:hint="eastAsia" w:ascii="宋体" w:hAnsi="宋体" w:cs="宋体"/>
                <w:b w:val="0"/>
                <w:bCs w:val="0"/>
                <w:color w:val="auto"/>
                <w:spacing w:val="8"/>
                <w:kern w:val="0"/>
                <w:szCs w:val="21"/>
                <w:highlight w:val="none"/>
              </w:rPr>
              <w:t>需向</w:t>
            </w:r>
            <w:r>
              <w:rPr>
                <w:rFonts w:hint="eastAsia" w:ascii="宋体" w:hAnsi="宋体" w:cs="宋体"/>
                <w:b w:val="0"/>
                <w:bCs w:val="0"/>
                <w:color w:val="auto"/>
                <w:spacing w:val="8"/>
                <w:kern w:val="0"/>
                <w:szCs w:val="21"/>
                <w:highlight w:val="none"/>
                <w:lang w:eastAsia="zh-CN"/>
              </w:rPr>
              <w:t>采购人</w:t>
            </w:r>
            <w:r>
              <w:rPr>
                <w:rFonts w:hint="eastAsia" w:ascii="宋体" w:hAnsi="宋体" w:cs="宋体"/>
                <w:b w:val="0"/>
                <w:bCs w:val="0"/>
                <w:color w:val="auto"/>
                <w:spacing w:val="8"/>
                <w:kern w:val="0"/>
                <w:szCs w:val="21"/>
                <w:highlight w:val="none"/>
              </w:rPr>
              <w:t>提供合同总额5%的履约保证金，由供应商自主选择以支票、汇票、本票、保函等非现金方式提交。</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b w:val="0"/>
                <w:bCs w:val="0"/>
                <w:color w:val="auto"/>
                <w:spacing w:val="8"/>
                <w:kern w:val="0"/>
                <w:szCs w:val="21"/>
                <w:highlight w:val="none"/>
              </w:rPr>
            </w:pPr>
            <w:r>
              <w:rPr>
                <w:rFonts w:hint="eastAsia" w:ascii="宋体" w:hAnsi="宋体" w:cs="宋体"/>
                <w:b w:val="0"/>
                <w:bCs w:val="0"/>
                <w:color w:val="auto"/>
                <w:spacing w:val="8"/>
                <w:kern w:val="0"/>
                <w:szCs w:val="21"/>
                <w:highlight w:val="none"/>
              </w:rPr>
              <w:t>1.2提交时间：合同签订后10日内提交。</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b w:val="0"/>
                <w:bCs w:val="0"/>
                <w:color w:val="auto"/>
                <w:spacing w:val="8"/>
                <w:kern w:val="0"/>
                <w:szCs w:val="21"/>
                <w:highlight w:val="none"/>
              </w:rPr>
            </w:pPr>
            <w:r>
              <w:rPr>
                <w:rFonts w:hint="eastAsia" w:ascii="宋体" w:hAnsi="宋体" w:cs="宋体"/>
                <w:b w:val="0"/>
                <w:bCs w:val="0"/>
                <w:color w:val="auto"/>
                <w:spacing w:val="8"/>
                <w:kern w:val="0"/>
                <w:szCs w:val="21"/>
                <w:highlight w:val="none"/>
              </w:rPr>
              <w:t>1.3如涉及相关费用的，均由</w:t>
            </w:r>
            <w:r>
              <w:rPr>
                <w:rFonts w:hint="eastAsia" w:ascii="宋体" w:hAnsi="宋体" w:cs="宋体"/>
                <w:b w:val="0"/>
                <w:bCs w:val="0"/>
                <w:color w:val="auto"/>
                <w:spacing w:val="8"/>
                <w:kern w:val="0"/>
                <w:szCs w:val="21"/>
                <w:highlight w:val="none"/>
                <w:lang w:eastAsia="zh-CN"/>
              </w:rPr>
              <w:t>中标供应商</w:t>
            </w:r>
            <w:r>
              <w:rPr>
                <w:rFonts w:hint="eastAsia" w:ascii="宋体" w:hAnsi="宋体" w:cs="宋体"/>
                <w:b w:val="0"/>
                <w:bCs w:val="0"/>
                <w:color w:val="auto"/>
                <w:spacing w:val="8"/>
                <w:kern w:val="0"/>
                <w:szCs w:val="21"/>
                <w:highlight w:val="none"/>
              </w:rPr>
              <w:t>自行承担。</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b w:val="0"/>
                <w:bCs w:val="0"/>
                <w:color w:val="auto"/>
                <w:spacing w:val="8"/>
                <w:kern w:val="0"/>
                <w:szCs w:val="21"/>
                <w:highlight w:val="none"/>
              </w:rPr>
            </w:pPr>
            <w:r>
              <w:rPr>
                <w:rFonts w:hint="eastAsia" w:ascii="宋体" w:hAnsi="宋体" w:cs="宋体"/>
                <w:b w:val="0"/>
                <w:bCs w:val="0"/>
                <w:color w:val="auto"/>
                <w:spacing w:val="8"/>
                <w:kern w:val="0"/>
                <w:szCs w:val="21"/>
                <w:highlight w:val="none"/>
              </w:rPr>
              <w:t>2.保证金退还：</w:t>
            </w:r>
            <w:r>
              <w:rPr>
                <w:rFonts w:hint="eastAsia" w:ascii="宋体" w:hAnsi="宋体" w:cs="宋体"/>
                <w:b w:val="0"/>
                <w:bCs w:val="0"/>
                <w:color w:val="auto"/>
                <w:spacing w:val="8"/>
                <w:kern w:val="0"/>
                <w:szCs w:val="21"/>
                <w:highlight w:val="none"/>
                <w:lang w:eastAsia="zh-CN"/>
              </w:rPr>
              <w:t>中标供应商</w:t>
            </w:r>
            <w:r>
              <w:rPr>
                <w:rFonts w:hint="eastAsia" w:ascii="宋体" w:hAnsi="宋体" w:cs="宋体"/>
                <w:b w:val="0"/>
                <w:bCs w:val="0"/>
                <w:color w:val="auto"/>
                <w:spacing w:val="8"/>
                <w:kern w:val="0"/>
                <w:szCs w:val="21"/>
                <w:highlight w:val="none"/>
              </w:rPr>
              <w:t>完成供货且经过</w:t>
            </w:r>
            <w:r>
              <w:rPr>
                <w:rFonts w:hint="eastAsia" w:ascii="宋体" w:hAnsi="宋体" w:cs="宋体"/>
                <w:b w:val="0"/>
                <w:bCs w:val="0"/>
                <w:color w:val="auto"/>
                <w:spacing w:val="8"/>
                <w:kern w:val="0"/>
                <w:szCs w:val="21"/>
                <w:highlight w:val="none"/>
                <w:lang w:eastAsia="zh-CN"/>
              </w:rPr>
              <w:t>采购人</w:t>
            </w:r>
            <w:r>
              <w:rPr>
                <w:rFonts w:hint="eastAsia" w:ascii="宋体" w:hAnsi="宋体" w:cs="宋体"/>
                <w:b w:val="0"/>
                <w:bCs w:val="0"/>
                <w:color w:val="auto"/>
                <w:spacing w:val="8"/>
                <w:kern w:val="0"/>
                <w:szCs w:val="21"/>
                <w:highlight w:val="none"/>
              </w:rPr>
              <w:t>验收合格后，</w:t>
            </w:r>
            <w:r>
              <w:rPr>
                <w:rFonts w:hint="eastAsia" w:ascii="宋体" w:hAnsi="宋体" w:cs="宋体"/>
                <w:b w:val="0"/>
                <w:bCs w:val="0"/>
                <w:color w:val="auto"/>
                <w:spacing w:val="8"/>
                <w:kern w:val="0"/>
                <w:szCs w:val="21"/>
                <w:highlight w:val="none"/>
                <w:lang w:eastAsia="zh-CN"/>
              </w:rPr>
              <w:t>采购人</w:t>
            </w:r>
            <w:r>
              <w:rPr>
                <w:rFonts w:hint="eastAsia" w:ascii="宋体" w:hAnsi="宋体" w:cs="宋体"/>
                <w:b w:val="0"/>
                <w:bCs w:val="0"/>
                <w:color w:val="auto"/>
                <w:spacing w:val="8"/>
                <w:kern w:val="0"/>
                <w:szCs w:val="21"/>
                <w:highlight w:val="none"/>
              </w:rPr>
              <w:t>在30日内不计息退还。</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b w:val="0"/>
                <w:bCs w:val="0"/>
                <w:color w:val="auto"/>
                <w:spacing w:val="8"/>
                <w:kern w:val="0"/>
                <w:sz w:val="21"/>
                <w:szCs w:val="21"/>
                <w:highlight w:val="none"/>
                <w:lang w:val="en-US" w:eastAsia="zh-CN" w:bidi="ar-SA"/>
              </w:rPr>
            </w:pPr>
            <w:r>
              <w:rPr>
                <w:rFonts w:hint="eastAsia" w:ascii="宋体" w:hAnsi="宋体" w:cs="宋体"/>
                <w:b w:val="0"/>
                <w:bCs w:val="0"/>
                <w:color w:val="auto"/>
                <w:spacing w:val="8"/>
                <w:kern w:val="0"/>
                <w:szCs w:val="21"/>
                <w:highlight w:val="none"/>
              </w:rPr>
              <w:t>3.违约处理：如</w:t>
            </w:r>
            <w:r>
              <w:rPr>
                <w:rFonts w:hint="eastAsia" w:ascii="宋体" w:hAnsi="宋体" w:cs="宋体"/>
                <w:b w:val="0"/>
                <w:bCs w:val="0"/>
                <w:color w:val="auto"/>
                <w:spacing w:val="8"/>
                <w:kern w:val="0"/>
                <w:szCs w:val="21"/>
                <w:highlight w:val="none"/>
                <w:lang w:eastAsia="zh-CN"/>
              </w:rPr>
              <w:t>中标供应商</w:t>
            </w:r>
            <w:r>
              <w:rPr>
                <w:rFonts w:hint="eastAsia" w:ascii="宋体" w:hAnsi="宋体" w:cs="宋体"/>
                <w:b w:val="0"/>
                <w:bCs w:val="0"/>
                <w:color w:val="auto"/>
                <w:spacing w:val="8"/>
                <w:kern w:val="0"/>
                <w:szCs w:val="21"/>
                <w:highlight w:val="none"/>
              </w:rPr>
              <w:t>发生违约行为，如设备出现质量问题，或</w:t>
            </w:r>
            <w:r>
              <w:rPr>
                <w:rFonts w:hint="eastAsia" w:ascii="宋体" w:hAnsi="宋体" w:cs="宋体"/>
                <w:b w:val="0"/>
                <w:bCs w:val="0"/>
                <w:color w:val="auto"/>
                <w:spacing w:val="8"/>
                <w:kern w:val="0"/>
                <w:szCs w:val="21"/>
                <w:highlight w:val="none"/>
                <w:lang w:eastAsia="zh-CN"/>
              </w:rPr>
              <w:t>中标供应商</w:t>
            </w:r>
            <w:r>
              <w:rPr>
                <w:rFonts w:hint="eastAsia" w:ascii="宋体" w:hAnsi="宋体" w:cs="宋体"/>
                <w:b w:val="0"/>
                <w:bCs w:val="0"/>
                <w:color w:val="auto"/>
                <w:spacing w:val="8"/>
                <w:kern w:val="0"/>
                <w:szCs w:val="21"/>
                <w:highlight w:val="none"/>
              </w:rPr>
              <w:t>未按</w:t>
            </w:r>
            <w:r>
              <w:rPr>
                <w:rFonts w:hint="eastAsia" w:ascii="宋体" w:hAnsi="宋体" w:cs="宋体"/>
                <w:b w:val="0"/>
                <w:bCs w:val="0"/>
                <w:color w:val="auto"/>
                <w:spacing w:val="8"/>
                <w:kern w:val="0"/>
                <w:szCs w:val="21"/>
                <w:highlight w:val="none"/>
                <w:lang w:eastAsia="zh-CN"/>
              </w:rPr>
              <w:t>采购人</w:t>
            </w:r>
            <w:r>
              <w:rPr>
                <w:rFonts w:hint="eastAsia" w:ascii="宋体" w:hAnsi="宋体" w:cs="宋体"/>
                <w:b w:val="0"/>
                <w:bCs w:val="0"/>
                <w:color w:val="auto"/>
                <w:spacing w:val="8"/>
                <w:kern w:val="0"/>
                <w:szCs w:val="21"/>
                <w:highlight w:val="none"/>
              </w:rPr>
              <w:t>要求维修或替换，则</w:t>
            </w:r>
            <w:r>
              <w:rPr>
                <w:rFonts w:hint="eastAsia" w:ascii="宋体" w:hAnsi="宋体" w:cs="宋体"/>
                <w:b w:val="0"/>
                <w:bCs w:val="0"/>
                <w:color w:val="auto"/>
                <w:spacing w:val="8"/>
                <w:kern w:val="0"/>
                <w:szCs w:val="21"/>
                <w:highlight w:val="none"/>
                <w:lang w:eastAsia="zh-CN"/>
              </w:rPr>
              <w:t>采购人</w:t>
            </w:r>
            <w:r>
              <w:rPr>
                <w:rFonts w:hint="eastAsia" w:ascii="宋体" w:hAnsi="宋体" w:cs="宋体"/>
                <w:b w:val="0"/>
                <w:bCs w:val="0"/>
                <w:color w:val="auto"/>
                <w:spacing w:val="8"/>
                <w:kern w:val="0"/>
                <w:szCs w:val="21"/>
                <w:highlight w:val="none"/>
              </w:rPr>
              <w:t>有权扣除已收取的履约保证金，无需经过</w:t>
            </w:r>
            <w:r>
              <w:rPr>
                <w:rFonts w:hint="eastAsia" w:ascii="宋体" w:hAnsi="宋体" w:cs="宋体"/>
                <w:b w:val="0"/>
                <w:bCs w:val="0"/>
                <w:color w:val="auto"/>
                <w:spacing w:val="8"/>
                <w:kern w:val="0"/>
                <w:szCs w:val="21"/>
                <w:highlight w:val="none"/>
                <w:lang w:eastAsia="zh-CN"/>
              </w:rPr>
              <w:t>中标供应商</w:t>
            </w:r>
            <w:r>
              <w:rPr>
                <w:rFonts w:hint="eastAsia" w:ascii="宋体" w:hAnsi="宋体" w:cs="宋体"/>
                <w:b w:val="0"/>
                <w:bCs w:val="0"/>
                <w:color w:val="auto"/>
                <w:spacing w:val="8"/>
                <w:kern w:val="0"/>
                <w:szCs w:val="21"/>
                <w:highlight w:val="none"/>
              </w:rPr>
              <w:t>同意，由此造成的一切损失由</w:t>
            </w:r>
            <w:r>
              <w:rPr>
                <w:rFonts w:hint="eastAsia" w:ascii="宋体" w:hAnsi="宋体" w:cs="宋体"/>
                <w:b w:val="0"/>
                <w:bCs w:val="0"/>
                <w:color w:val="auto"/>
                <w:spacing w:val="8"/>
                <w:kern w:val="0"/>
                <w:szCs w:val="21"/>
                <w:highlight w:val="none"/>
                <w:lang w:eastAsia="zh-CN"/>
              </w:rPr>
              <w:t>中标供应商</w:t>
            </w:r>
            <w:r>
              <w:rPr>
                <w:rFonts w:hint="eastAsia" w:ascii="宋体" w:hAnsi="宋体" w:cs="宋体"/>
                <w:b w:val="0"/>
                <w:bCs w:val="0"/>
                <w:color w:val="auto"/>
                <w:spacing w:val="8"/>
                <w:kern w:val="0"/>
                <w:szCs w:val="21"/>
                <w:highlight w:val="none"/>
              </w:rPr>
              <w:t>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48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5</w:t>
            </w:r>
          </w:p>
        </w:tc>
        <w:tc>
          <w:tcPr>
            <w:tcW w:w="10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5"/>
                <w:kern w:val="0"/>
                <w:sz w:val="21"/>
                <w:szCs w:val="21"/>
              </w:rPr>
              <w:t>培训</w:t>
            </w:r>
          </w:p>
        </w:tc>
        <w:tc>
          <w:tcPr>
            <w:tcW w:w="350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8"/>
                <w:kern w:val="0"/>
                <w:sz w:val="21"/>
                <w:szCs w:val="21"/>
              </w:rPr>
            </w:pPr>
            <w:r>
              <w:rPr>
                <w:rFonts w:hint="eastAsia" w:ascii="宋体" w:hAnsi="宋体" w:eastAsia="宋体" w:cs="宋体"/>
                <w:b w:val="0"/>
                <w:bCs w:val="0"/>
                <w:color w:val="auto"/>
                <w:spacing w:val="8"/>
                <w:kern w:val="0"/>
                <w:sz w:val="21"/>
                <w:szCs w:val="21"/>
              </w:rPr>
              <w:t>3.1中标人应派专业技术人员免费对采购单位制定人员进行定期培训及指导，直至其完全掌握设备的基本故障处理技术。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2"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6</w:t>
            </w:r>
          </w:p>
        </w:tc>
        <w:tc>
          <w:tcPr>
            <w:tcW w:w="101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7"/>
                <w:kern w:val="0"/>
                <w:sz w:val="21"/>
                <w:szCs w:val="21"/>
              </w:rPr>
              <w:t>知识产权</w:t>
            </w:r>
          </w:p>
        </w:tc>
        <w:tc>
          <w:tcPr>
            <w:tcW w:w="3502"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8"/>
                <w:kern w:val="0"/>
                <w:sz w:val="21"/>
                <w:szCs w:val="21"/>
              </w:rPr>
            </w:pPr>
            <w:r>
              <w:rPr>
                <w:rFonts w:hint="eastAsia" w:ascii="宋体" w:hAnsi="宋体" w:eastAsia="宋体" w:cs="宋体"/>
                <w:b w:val="0"/>
                <w:bCs w:val="0"/>
                <w:color w:val="auto"/>
                <w:spacing w:val="8"/>
                <w:kern w:val="0"/>
                <w:sz w:val="21"/>
                <w:szCs w:val="21"/>
              </w:rPr>
              <w:t>4.1投标人应保证采购人在使用该货物或其任何一部分时，免受第三方提出的侵犯其专利权、商标权、著作权或其他知识产权的起诉。投标人保证所提供软件的合法性，所发生的任何知识产权纠纷与采购人无关。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7"/>
                <w:kern w:val="0"/>
                <w:sz w:val="21"/>
                <w:szCs w:val="21"/>
              </w:rPr>
            </w:pPr>
          </w:p>
        </w:tc>
        <w:tc>
          <w:tcPr>
            <w:tcW w:w="3502"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8"/>
                <w:kern w:val="0"/>
                <w:sz w:val="21"/>
                <w:szCs w:val="21"/>
              </w:rPr>
            </w:pPr>
            <w:r>
              <w:rPr>
                <w:rFonts w:hint="eastAsia" w:ascii="宋体" w:hAnsi="宋体" w:eastAsia="宋体" w:cs="宋体"/>
                <w:b w:val="0"/>
                <w:bCs w:val="0"/>
                <w:color w:val="auto"/>
                <w:spacing w:val="8"/>
                <w:kern w:val="0"/>
                <w:sz w:val="21"/>
                <w:szCs w:val="21"/>
              </w:rPr>
              <w:t>4.2采购人购买产品后，有权对该产品与其他设备进行配套、整合或适当改进，而免受侵犯专利权的起诉。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jc w:val="center"/>
        </w:trPr>
        <w:tc>
          <w:tcPr>
            <w:tcW w:w="482"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6</w:t>
            </w:r>
          </w:p>
        </w:tc>
        <w:tc>
          <w:tcPr>
            <w:tcW w:w="101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7"/>
                <w:kern w:val="0"/>
                <w:sz w:val="21"/>
                <w:szCs w:val="21"/>
              </w:rPr>
              <w:t>其他</w:t>
            </w:r>
          </w:p>
        </w:tc>
        <w:tc>
          <w:tcPr>
            <w:tcW w:w="350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b w:val="0"/>
                <w:bCs w:val="0"/>
                <w:color w:val="auto"/>
                <w:spacing w:val="8"/>
                <w:kern w:val="0"/>
                <w:sz w:val="21"/>
                <w:szCs w:val="21"/>
              </w:rPr>
            </w:pPr>
            <w:r>
              <w:rPr>
                <w:rFonts w:hint="eastAsia" w:ascii="宋体" w:hAnsi="宋体" w:eastAsia="宋体" w:cs="宋体"/>
                <w:b w:val="0"/>
                <w:bCs w:val="0"/>
                <w:color w:val="auto"/>
                <w:spacing w:val="8"/>
                <w:kern w:val="0"/>
                <w:sz w:val="21"/>
                <w:szCs w:val="21"/>
              </w:rPr>
              <w:t>5.1投标人应按其投标文件中的承诺，进行其他售后服务工作。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jc w:val="center"/>
        </w:trPr>
        <w:tc>
          <w:tcPr>
            <w:tcW w:w="48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lang w:val="en-US" w:eastAsia="zh-CN"/>
              </w:rPr>
            </w:pPr>
          </w:p>
        </w:tc>
        <w:tc>
          <w:tcPr>
            <w:tcW w:w="101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7"/>
                <w:kern w:val="0"/>
                <w:sz w:val="21"/>
                <w:szCs w:val="21"/>
              </w:rPr>
            </w:pPr>
          </w:p>
        </w:tc>
        <w:tc>
          <w:tcPr>
            <w:tcW w:w="3502" w:type="pct"/>
            <w:vAlign w:val="center"/>
          </w:tcPr>
          <w:p>
            <w:pPr>
              <w:pStyle w:val="2"/>
              <w:rPr>
                <w:rFonts w:hint="eastAsia" w:ascii="宋体" w:hAnsi="宋体" w:eastAsia="宋体" w:cs="宋体"/>
                <w:b w:val="0"/>
                <w:bCs w:val="0"/>
                <w:color w:val="auto"/>
                <w:spacing w:val="8"/>
                <w:kern w:val="0"/>
                <w:sz w:val="21"/>
                <w:szCs w:val="21"/>
              </w:rPr>
            </w:pPr>
            <w:r>
              <w:rPr>
                <w:rFonts w:hint="eastAsia" w:ascii="宋体" w:hAnsi="宋体" w:cs="宋体"/>
                <w:b w:val="0"/>
                <w:bCs w:val="0"/>
                <w:color w:val="auto"/>
                <w:spacing w:val="8"/>
                <w:kern w:val="0"/>
                <w:sz w:val="21"/>
                <w:szCs w:val="21"/>
                <w:lang w:val="en-US" w:eastAsia="zh-CN"/>
              </w:rPr>
              <w:t>5.2</w:t>
            </w:r>
            <w:r>
              <w:rPr>
                <w:rFonts w:hint="eastAsia" w:ascii="宋体" w:hAnsi="宋体" w:eastAsia="宋体" w:cs="宋体"/>
                <w:b w:val="0"/>
                <w:bCs w:val="0"/>
                <w:color w:val="auto"/>
                <w:spacing w:val="8"/>
                <w:kern w:val="0"/>
                <w:sz w:val="21"/>
                <w:szCs w:val="21"/>
              </w:rPr>
              <w:t>★投标人所投产品为第一类医疗器械的，提供监督管理部门签发的有效的《医疗器械备案凭证》扫描件。所投产品为第二类或第三类医疗器械的，必须提供医疗器械注册证书（或者备案凭证）扫描件，原件备查。开标时，该证应在有效期内，若不在有效期内，则需提供该证和所投产品在该证有效期内生产的药监局出具的证明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482"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7"/>
                <w:kern w:val="0"/>
                <w:sz w:val="21"/>
                <w:szCs w:val="21"/>
              </w:rPr>
            </w:pPr>
          </w:p>
        </w:tc>
        <w:tc>
          <w:tcPr>
            <w:tcW w:w="3502" w:type="pct"/>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eastAsia" w:ascii="宋体" w:hAnsi="宋体" w:eastAsia="宋体" w:cs="宋体"/>
                <w:b w:val="0"/>
                <w:bCs w:val="0"/>
                <w:color w:val="auto"/>
                <w:spacing w:val="9"/>
                <w:kern w:val="0"/>
                <w:sz w:val="21"/>
                <w:szCs w:val="21"/>
              </w:rPr>
            </w:pPr>
            <w:r>
              <w:rPr>
                <w:rFonts w:hint="eastAsia" w:ascii="宋体" w:hAnsi="宋体" w:eastAsia="宋体" w:cs="宋体"/>
                <w:b w:val="0"/>
                <w:bCs w:val="0"/>
                <w:color w:val="auto"/>
                <w:spacing w:val="9"/>
                <w:kern w:val="0"/>
                <w:sz w:val="21"/>
                <w:szCs w:val="21"/>
              </w:rPr>
              <w:t>★投标人提供本项目的投标授权代表（提供投标截止日前缴纳的近1个月（由于社保部门原因最近一个月的社保证明无法提供的可往前顺延一个月）的社保证明；如投标授权代表与本项目其他投标授权代表在同一公司缴纳社保，均作投标无效处理；如为新成立企业且成立时间不足一个月或投标授权代表为本公司法人的可提供情况说明或证明材料亦视为符合；如投标授权代表为新入职员工或退休返聘人员，尚未办理社保参保手续的，则需提供劳动合同）。</w:t>
            </w:r>
          </w:p>
        </w:tc>
      </w:tr>
    </w:tbl>
    <w:p>
      <w:pPr>
        <w:rPr>
          <w:b/>
        </w:rPr>
      </w:pPr>
    </w:p>
    <w:p>
      <w:pPr>
        <w:pStyle w:val="8"/>
        <w:spacing w:before="60" w:beforeLines="25" w:after="60" w:afterLines="25"/>
        <w:ind w:firstLine="0" w:firstLineChars="0"/>
        <w:rPr>
          <w:rFonts w:ascii="宋体" w:hAnsi="宋体"/>
          <w:szCs w:val="21"/>
        </w:rPr>
      </w:pPr>
    </w:p>
    <w:p>
      <w:pPr>
        <w:pStyle w:val="6"/>
        <w:spacing w:before="120" w:beforeLines="50" w:after="120" w:afterLines="50"/>
        <w:rPr>
          <w:sz w:val="28"/>
          <w:szCs w:val="28"/>
        </w:rPr>
      </w:pPr>
      <w:r>
        <w:rPr>
          <w:rFonts w:hint="eastAsia"/>
          <w:sz w:val="28"/>
          <w:szCs w:val="28"/>
        </w:rPr>
        <w:t>六、其他重要条款</w:t>
      </w:r>
    </w:p>
    <w:p>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8"/>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rFonts w:hint="eastAsia"/>
          <w:bCs/>
          <w:szCs w:val="21"/>
          <w:lang w:val="en-US" w:eastAsia="zh-CN"/>
        </w:rPr>
        <w:t>4</w:t>
      </w:r>
      <w:r>
        <w:rPr>
          <w:rFonts w:hint="eastAsia"/>
          <w:bCs/>
          <w:szCs w:val="21"/>
        </w:rPr>
        <w:t>、除采购合同继续履行将损害国家利益和社会公共利益外，双方当事人不得擅自变更、中止或者终止合同。</w:t>
      </w:r>
    </w:p>
    <w:p>
      <w:pPr>
        <w:ind w:firstLine="420" w:firstLineChars="200"/>
        <w:rPr>
          <w:rFonts w:hint="eastAsia" w:eastAsia="宋体"/>
          <w:bCs/>
          <w:szCs w:val="21"/>
          <w:lang w:val="en-US" w:eastAsia="zh-CN"/>
        </w:rPr>
      </w:pPr>
      <w:r>
        <w:rPr>
          <w:rFonts w:hint="eastAsia"/>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bCs/>
          <w:szCs w:val="21"/>
          <w:lang w:val="en-US" w:eastAsia="zh-CN"/>
        </w:rPr>
        <w:t>。</w:t>
      </w:r>
    </w:p>
    <w:p>
      <w:pPr>
        <w:rPr>
          <w:rFonts w:ascii="宋体" w:hAnsi="宋体"/>
        </w:rPr>
      </w:pPr>
    </w:p>
    <w:p>
      <w:pPr>
        <w:pStyle w:val="38"/>
      </w:pPr>
    </w:p>
    <w:p>
      <w:pPr>
        <w:pStyle w:val="9"/>
        <w:rPr>
          <w:rFonts w:ascii="宋体" w:hAnsi="宋体"/>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6"/>
        <w:rPr>
          <w:kern w:val="2"/>
        </w:rPr>
      </w:pPr>
      <w:r>
        <w:rPr>
          <w:rFonts w:hint="eastAsia"/>
          <w:kern w:val="2"/>
        </w:rPr>
        <w:t>第四章</w:t>
      </w:r>
      <w:r>
        <w:rPr>
          <w:kern w:val="2"/>
        </w:rPr>
        <w:t xml:space="preserve"> </w:t>
      </w:r>
      <w:r>
        <w:rPr>
          <w:rFonts w:hint="eastAsia"/>
          <w:kern w:val="2"/>
        </w:rPr>
        <w:t xml:space="preserve"> 投标文件组成要求及格式</w:t>
      </w:r>
    </w:p>
    <w:p>
      <w:r>
        <w:rPr>
          <w:rFonts w:hint="eastAsia"/>
        </w:rPr>
        <w:t>投标文件组成</w:t>
      </w:r>
      <w:bookmarkStart w:id="43" w:name="_Hlk72257253"/>
      <w:r>
        <w:rPr>
          <w:rFonts w:hint="eastAsia"/>
        </w:rPr>
        <w:t>主要包括以下内容：</w:t>
      </w:r>
    </w:p>
    <w:p>
      <w:pPr>
        <w:ind w:left="718" w:leftChars="342" w:firstLine="1417" w:firstLineChars="675"/>
        <w:rPr>
          <w:szCs w:val="21"/>
        </w:rPr>
      </w:pPr>
      <w:r>
        <w:rPr>
          <w:rFonts w:hint="eastAsia"/>
          <w:szCs w:val="21"/>
        </w:rPr>
        <w:t>（1）</w:t>
      </w:r>
      <w:bookmarkStart w:id="44" w:name="_Hlk72070784"/>
      <w:r>
        <w:rPr>
          <w:rFonts w:hint="eastAsia"/>
          <w:szCs w:val="21"/>
        </w:rPr>
        <w:t>投标函</w:t>
      </w:r>
      <w:bookmarkEnd w:id="44"/>
    </w:p>
    <w:p>
      <w:pPr>
        <w:ind w:left="718" w:leftChars="342" w:firstLine="1417" w:firstLineChars="675"/>
        <w:rPr>
          <w:szCs w:val="21"/>
        </w:rPr>
      </w:pPr>
      <w:r>
        <w:rPr>
          <w:rFonts w:hint="eastAsia"/>
          <w:szCs w:val="21"/>
        </w:rPr>
        <w:t>（2）</w:t>
      </w:r>
      <w:bookmarkStart w:id="45" w:name="_Hlk72062521"/>
      <w:r>
        <w:rPr>
          <w:rFonts w:hint="eastAsia"/>
          <w:szCs w:val="21"/>
        </w:rPr>
        <w:t>采购投标及履约承诺函</w:t>
      </w:r>
      <w:bookmarkEnd w:id="45"/>
    </w:p>
    <w:p>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pPr>
        <w:ind w:left="718" w:leftChars="342" w:firstLine="1417" w:firstLineChars="675"/>
        <w:rPr>
          <w:szCs w:val="21"/>
        </w:rPr>
      </w:pPr>
      <w:bookmarkStart w:id="46" w:name="_Hlk72257201"/>
      <w:r>
        <w:rPr>
          <w:rFonts w:hint="eastAsia"/>
          <w:szCs w:val="21"/>
        </w:rPr>
        <w:t>（</w:t>
      </w:r>
      <w:r>
        <w:rPr>
          <w:szCs w:val="21"/>
        </w:rPr>
        <w:t>4</w:t>
      </w:r>
      <w:r>
        <w:rPr>
          <w:rFonts w:hint="eastAsia"/>
          <w:szCs w:val="21"/>
        </w:rPr>
        <w:t>）项目详细报价</w:t>
      </w:r>
    </w:p>
    <w:bookmarkEnd w:id="46"/>
    <w:p>
      <w:pPr>
        <w:ind w:firstLine="2100" w:firstLineChars="1000"/>
        <w:rPr>
          <w:rFonts w:hint="eastAsia" w:eastAsia="宋体"/>
          <w:szCs w:val="21"/>
          <w:lang w:eastAsia="zh-CN"/>
        </w:rPr>
      </w:pPr>
      <w:r>
        <w:rPr>
          <w:rFonts w:hint="eastAsia"/>
          <w:szCs w:val="21"/>
          <w:lang w:eastAsia="zh-CN"/>
        </w:rPr>
        <w:t>（</w:t>
      </w:r>
      <w:r>
        <w:rPr>
          <w:rFonts w:hint="eastAsia"/>
          <w:szCs w:val="21"/>
          <w:lang w:val="en-US" w:eastAsia="zh-CN"/>
        </w:rPr>
        <w:t>5</w:t>
      </w:r>
      <w:r>
        <w:rPr>
          <w:rFonts w:hint="eastAsia"/>
          <w:szCs w:val="21"/>
          <w:lang w:eastAsia="zh-CN"/>
        </w:rPr>
        <w:t>）供应商基本情况表</w:t>
      </w:r>
    </w:p>
    <w:p>
      <w:pPr>
        <w:ind w:firstLine="2100" w:firstLineChars="1000"/>
        <w:rPr>
          <w:szCs w:val="21"/>
        </w:rPr>
      </w:pPr>
      <w:r>
        <w:rPr>
          <w:rFonts w:hint="eastAsia"/>
          <w:szCs w:val="21"/>
        </w:rPr>
        <w:t>（</w:t>
      </w:r>
      <w:r>
        <w:rPr>
          <w:rFonts w:hint="eastAsia"/>
          <w:szCs w:val="21"/>
          <w:lang w:val="en-US" w:eastAsia="zh-CN"/>
        </w:rPr>
        <w:t>6</w:t>
      </w:r>
      <w:r>
        <w:rPr>
          <w:rFonts w:hint="eastAsia"/>
          <w:szCs w:val="21"/>
        </w:rPr>
        <w:t>）法定代表人（负责人）证明书</w:t>
      </w:r>
    </w:p>
    <w:p>
      <w:pPr>
        <w:ind w:left="718" w:leftChars="342" w:firstLine="1417" w:firstLineChars="675"/>
        <w:rPr>
          <w:szCs w:val="21"/>
        </w:rPr>
      </w:pPr>
      <w:r>
        <w:rPr>
          <w:rFonts w:hint="eastAsia"/>
          <w:szCs w:val="21"/>
        </w:rPr>
        <w:t>（</w:t>
      </w:r>
      <w:r>
        <w:rPr>
          <w:rFonts w:hint="eastAsia"/>
          <w:szCs w:val="21"/>
          <w:lang w:val="en-US" w:eastAsia="zh-CN"/>
        </w:rPr>
        <w:t>7</w:t>
      </w:r>
      <w:r>
        <w:rPr>
          <w:rFonts w:hint="eastAsia"/>
          <w:szCs w:val="21"/>
        </w:rPr>
        <w:t>）投标文件签署授权委托书</w:t>
      </w:r>
    </w:p>
    <w:p>
      <w:pPr>
        <w:ind w:left="718" w:leftChars="342" w:firstLine="1417" w:firstLineChars="675"/>
        <w:rPr>
          <w:szCs w:val="21"/>
        </w:rPr>
      </w:pPr>
      <w:r>
        <w:rPr>
          <w:rFonts w:hint="eastAsia"/>
          <w:szCs w:val="21"/>
        </w:rPr>
        <w:t>（</w:t>
      </w:r>
      <w:r>
        <w:rPr>
          <w:rFonts w:hint="eastAsia"/>
          <w:szCs w:val="21"/>
          <w:lang w:val="en-US" w:eastAsia="zh-CN"/>
        </w:rPr>
        <w:t>8</w:t>
      </w:r>
      <w:r>
        <w:rPr>
          <w:rFonts w:hint="eastAsia"/>
          <w:szCs w:val="21"/>
        </w:rPr>
        <w:t>）实质性条款响应情况表</w:t>
      </w:r>
    </w:p>
    <w:p>
      <w:pPr>
        <w:ind w:left="718" w:leftChars="342" w:firstLine="1417" w:firstLineChars="675"/>
        <w:rPr>
          <w:szCs w:val="21"/>
        </w:rPr>
      </w:pPr>
      <w:r>
        <w:rPr>
          <w:rFonts w:hint="eastAsia"/>
          <w:szCs w:val="21"/>
        </w:rPr>
        <w:t>（</w:t>
      </w:r>
      <w:r>
        <w:rPr>
          <w:rFonts w:hint="eastAsia"/>
          <w:szCs w:val="21"/>
          <w:lang w:val="en-US" w:eastAsia="zh-CN"/>
        </w:rPr>
        <w:t>9</w:t>
      </w:r>
      <w:r>
        <w:rPr>
          <w:rFonts w:hint="eastAsia"/>
          <w:szCs w:val="21"/>
        </w:rPr>
        <w:t>）技术要求偏离表</w:t>
      </w:r>
    </w:p>
    <w:p>
      <w:pPr>
        <w:ind w:left="718" w:leftChars="342" w:firstLine="1417" w:firstLineChars="675"/>
        <w:rPr>
          <w:szCs w:val="21"/>
        </w:rPr>
      </w:pPr>
      <w:r>
        <w:rPr>
          <w:rFonts w:hint="eastAsia"/>
          <w:szCs w:val="21"/>
        </w:rPr>
        <w:t>（</w:t>
      </w:r>
      <w:r>
        <w:rPr>
          <w:rFonts w:hint="eastAsia"/>
          <w:szCs w:val="21"/>
          <w:lang w:val="en-US" w:eastAsia="zh-CN"/>
        </w:rPr>
        <w:t>10</w:t>
      </w:r>
      <w:r>
        <w:rPr>
          <w:rFonts w:hint="eastAsia"/>
          <w:szCs w:val="21"/>
        </w:rPr>
        <w:t>）</w:t>
      </w:r>
      <w:bookmarkStart w:id="47" w:name="OLE_LINK3"/>
      <w:r>
        <w:rPr>
          <w:rFonts w:hint="eastAsia"/>
          <w:szCs w:val="21"/>
        </w:rPr>
        <w:t>项目实施方案</w:t>
      </w:r>
      <w:bookmarkEnd w:id="47"/>
    </w:p>
    <w:p>
      <w:pPr>
        <w:ind w:left="718" w:leftChars="342" w:firstLine="1417" w:firstLineChars="675"/>
        <w:rPr>
          <w:szCs w:val="21"/>
        </w:rPr>
      </w:pPr>
      <w:r>
        <w:rPr>
          <w:rFonts w:hint="eastAsia"/>
          <w:szCs w:val="21"/>
        </w:rPr>
        <w:t>（</w:t>
      </w:r>
      <w:r>
        <w:rPr>
          <w:rFonts w:hint="eastAsia"/>
          <w:szCs w:val="21"/>
          <w:lang w:val="en-US" w:eastAsia="zh-CN"/>
        </w:rPr>
        <w:t>11</w:t>
      </w:r>
      <w:r>
        <w:rPr>
          <w:rFonts w:hint="eastAsia"/>
          <w:szCs w:val="21"/>
        </w:rPr>
        <w:t>）</w:t>
      </w:r>
      <w:bookmarkStart w:id="48" w:name="OLE_LINK4"/>
      <w:r>
        <w:rPr>
          <w:rFonts w:hint="eastAsia"/>
          <w:szCs w:val="21"/>
        </w:rPr>
        <w:t>免费保修期时长</w:t>
      </w:r>
      <w:bookmarkEnd w:id="48"/>
    </w:p>
    <w:p>
      <w:pPr>
        <w:ind w:left="718" w:leftChars="342" w:firstLine="1417" w:firstLineChars="675"/>
        <w:rPr>
          <w:szCs w:val="21"/>
        </w:rPr>
      </w:pPr>
      <w:r>
        <w:rPr>
          <w:rFonts w:hint="eastAsia"/>
          <w:szCs w:val="21"/>
        </w:rPr>
        <w:t>（</w:t>
      </w:r>
      <w:r>
        <w:rPr>
          <w:rFonts w:hint="eastAsia"/>
          <w:szCs w:val="21"/>
          <w:lang w:val="en-US" w:eastAsia="zh-CN"/>
        </w:rPr>
        <w:t>12</w:t>
      </w:r>
      <w:r>
        <w:rPr>
          <w:rFonts w:hint="eastAsia"/>
          <w:szCs w:val="21"/>
        </w:rPr>
        <w:t>）</w:t>
      </w:r>
      <w:bookmarkStart w:id="49" w:name="OLE_LINK5"/>
      <w:r>
        <w:rPr>
          <w:rFonts w:hint="eastAsia"/>
          <w:szCs w:val="21"/>
        </w:rPr>
        <w:t>同类业绩</w:t>
      </w:r>
      <w:bookmarkEnd w:id="49"/>
    </w:p>
    <w:p>
      <w:pPr>
        <w:ind w:left="718" w:leftChars="342" w:firstLine="1417" w:firstLineChars="675"/>
        <w:rPr>
          <w:rFonts w:hint="eastAsia"/>
          <w:szCs w:val="21"/>
        </w:rPr>
      </w:pPr>
      <w:r>
        <w:rPr>
          <w:rFonts w:hint="eastAsia"/>
          <w:szCs w:val="21"/>
        </w:rPr>
        <w:t>（</w:t>
      </w:r>
      <w:r>
        <w:rPr>
          <w:rFonts w:hint="eastAsia"/>
          <w:szCs w:val="21"/>
          <w:lang w:val="en-US" w:eastAsia="zh-CN"/>
        </w:rPr>
        <w:t>13</w:t>
      </w:r>
      <w:r>
        <w:rPr>
          <w:rFonts w:hint="eastAsia"/>
          <w:szCs w:val="21"/>
        </w:rPr>
        <w:t>）</w:t>
      </w:r>
      <w:bookmarkStart w:id="50" w:name="OLE_LINK7"/>
      <w:r>
        <w:rPr>
          <w:rFonts w:hint="eastAsia"/>
          <w:szCs w:val="21"/>
        </w:rPr>
        <w:t>投标人认为需要加以说明的其他内容</w:t>
      </w:r>
      <w:bookmarkEnd w:id="50"/>
    </w:p>
    <w:p>
      <w:pPr>
        <w:pStyle w:val="9"/>
      </w:pPr>
    </w:p>
    <w:bookmarkEnd w:id="43"/>
    <w:p>
      <w:pPr>
        <w:ind w:left="718" w:leftChars="342" w:firstLine="1417" w:firstLineChars="675"/>
        <w:rPr>
          <w:szCs w:val="21"/>
        </w:rPr>
      </w:pPr>
    </w:p>
    <w:p>
      <w:pPr>
        <w:ind w:firstLine="426" w:firstLineChars="202"/>
        <w:rPr>
          <w:rFonts w:ascii="宋体" w:hAnsi="宋体"/>
          <w:b/>
          <w:szCs w:val="21"/>
        </w:rPr>
      </w:pPr>
      <w:bookmarkStart w:id="51" w:name="_Hlk72257771"/>
      <w:r>
        <w:rPr>
          <w:rFonts w:hint="eastAsia" w:ascii="宋体" w:hAnsi="宋体"/>
          <w:b/>
          <w:szCs w:val="21"/>
        </w:rPr>
        <w:t>备注：</w:t>
      </w:r>
    </w:p>
    <w:p>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pPr>
        <w:ind w:firstLine="422" w:firstLineChars="200"/>
        <w:rPr>
          <w:rFonts w:ascii="宋体" w:hAnsi="宋体"/>
          <w:color w:val="FF0000"/>
          <w:sz w:val="24"/>
        </w:rPr>
      </w:pPr>
      <w:bookmarkStart w:id="52" w:name="_Hlk72263559"/>
      <w:r>
        <w:rPr>
          <w:rFonts w:hint="eastAsia" w:ascii="宋体" w:hAnsi="宋体"/>
          <w:b/>
          <w:szCs w:val="21"/>
        </w:rPr>
        <w:t>2.关于填写“开标一览表”的说明：“开标一览表”中除“投标总价”外，其他信息不作评审依据。</w:t>
      </w:r>
      <w:bookmarkEnd w:id="51"/>
      <w:bookmarkEnd w:id="52"/>
    </w:p>
    <w:p>
      <w:pPr>
        <w:rPr>
          <w:rFonts w:ascii="宋体" w:hAnsi="宋体"/>
          <w:color w:val="FF0000"/>
          <w:sz w:val="24"/>
        </w:rPr>
      </w:pPr>
    </w:p>
    <w:p>
      <w:pPr>
        <w:rPr>
          <w:rFonts w:ascii="宋体" w:hAnsi="宋体"/>
          <w:color w:val="FF0000"/>
          <w:sz w:val="24"/>
        </w:rPr>
      </w:pPr>
    </w:p>
    <w:p>
      <w:pPr>
        <w:rPr>
          <w:rFonts w:ascii="宋体" w:hAnsi="宋体"/>
          <w:color w:val="FF0000"/>
          <w:sz w:val="24"/>
        </w:rPr>
      </w:pPr>
    </w:p>
    <w:p>
      <w:pPr>
        <w:rPr>
          <w:rFonts w:ascii="宋体" w:hAnsi="宋体"/>
          <w:color w:val="FF000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4"/>
        <w:jc w:val="center"/>
        <w:rPr>
          <w:rFonts w:ascii="黑体" w:eastAsia="黑体"/>
          <w:b w:val="0"/>
          <w:sz w:val="24"/>
        </w:rPr>
      </w:pPr>
      <w:r>
        <w:rPr>
          <w:rFonts w:hint="eastAsia" w:ascii="黑体" w:eastAsia="黑体"/>
          <w:b w:val="0"/>
          <w:sz w:val="24"/>
        </w:rPr>
        <w:t>一、投标函</w:t>
      </w:r>
    </w:p>
    <w:p>
      <w:pPr>
        <w:spacing w:line="360" w:lineRule="auto"/>
        <w:rPr>
          <w:rFonts w:ascii="宋体" w:hAnsi="宋体"/>
          <w:szCs w:val="21"/>
        </w:rPr>
      </w:pPr>
      <w:bookmarkStart w:id="53"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bookmarkStart w:id="54" w:name="_Hlk73818812"/>
      <w:r>
        <w:rPr>
          <w:rFonts w:hint="eastAsia"/>
          <w:szCs w:val="21"/>
        </w:rPr>
        <w:t>1、根据已收到贵单位的项目编号为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rPr>
        <w:t>的</w:t>
      </w:r>
      <w:r>
        <w:rPr>
          <w:rFonts w:hint="eastAsia"/>
          <w:szCs w:val="21"/>
          <w:u w:val="thick"/>
        </w:rPr>
        <w:t xml:space="preserve">     </w:t>
      </w:r>
      <w:r>
        <w:rPr>
          <w:rFonts w:hint="eastAsia"/>
          <w:szCs w:val="21"/>
          <w:u w:val="thick"/>
          <w:lang w:val="en-US" w:eastAsia="zh-CN"/>
        </w:rPr>
        <w:t xml:space="preserve">  </w:t>
      </w:r>
      <w:r>
        <w:rPr>
          <w:rFonts w:hint="eastAsia"/>
          <w:szCs w:val="21"/>
          <w:u w:val="thick"/>
          <w:lang w:eastAsia="zh-CN"/>
        </w:rPr>
        <w:t>（</w:t>
      </w:r>
      <w:r>
        <w:rPr>
          <w:rFonts w:hint="eastAsia"/>
          <w:szCs w:val="21"/>
          <w:u w:val="thick"/>
        </w:rPr>
        <w:t>项目</w:t>
      </w:r>
      <w:r>
        <w:rPr>
          <w:rFonts w:hint="eastAsia"/>
          <w:szCs w:val="21"/>
          <w:u w:val="thick"/>
          <w:lang w:val="en-US" w:eastAsia="zh-CN"/>
        </w:rPr>
        <w:t>名称</w:t>
      </w:r>
      <w:r>
        <w:rPr>
          <w:rFonts w:hint="eastAsia"/>
          <w:szCs w:val="21"/>
          <w:u w:val="thick"/>
          <w:lang w:eastAsia="zh-CN"/>
        </w:rPr>
        <w:t>）</w:t>
      </w:r>
      <w:r>
        <w:rPr>
          <w:rFonts w:hint="eastAsia"/>
          <w:szCs w:val="21"/>
          <w:u w:val="thick"/>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55" w:name="_Hlk72263588"/>
      <w:r>
        <w:rPr>
          <w:rFonts w:hint="eastAsia"/>
          <w:szCs w:val="21"/>
        </w:rPr>
        <w:t>愿意按照招标文件要求承包上述项目并修补其任何缺陷。</w:t>
      </w:r>
      <w:bookmarkEnd w:id="55"/>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ascii="宋体" w:hAnsi="宋体"/>
          <w:szCs w:val="21"/>
        </w:rPr>
        <w:t>2</w:t>
      </w:r>
      <w:r>
        <w:rPr>
          <w:rFonts w:hint="eastAsia" w:ascii="宋体" w:hAnsi="宋体"/>
          <w:szCs w:val="21"/>
        </w:rPr>
        <w:t>、</w:t>
      </w:r>
      <w:bookmarkStart w:id="56" w:name="_Hlk73819847"/>
      <w:r>
        <w:rPr>
          <w:rFonts w:hint="eastAsia" w:ascii="宋体" w:hAnsi="宋体"/>
          <w:szCs w:val="21"/>
        </w:rPr>
        <w:t>投标价格见</w:t>
      </w:r>
      <w:r>
        <w:rPr>
          <w:rFonts w:hint="eastAsia"/>
          <w:szCs w:val="21"/>
        </w:rPr>
        <w:t>投标书编制软件中填写的投标</w:t>
      </w:r>
      <w:r>
        <w:rPr>
          <w:rFonts w:hint="eastAsia"/>
          <w:szCs w:val="21"/>
          <w:lang w:val="en-US" w:eastAsia="zh-CN"/>
        </w:rPr>
        <w:t>报</w:t>
      </w:r>
      <w:r>
        <w:rPr>
          <w:rFonts w:hint="eastAsia"/>
          <w:szCs w:val="21"/>
        </w:rPr>
        <w:t>价。</w:t>
      </w:r>
      <w:bookmarkEnd w:id="56"/>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3、如果我单位中标，我单位将按照招标文件的要求足额提交履约担保。</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5、除非另外达成协议并生效，贵单位的中标通知书和本投标文件将构成合同的重要内容。</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szCs w:val="21"/>
          <w:lang w:eastAsia="zh-CN"/>
        </w:rPr>
      </w:pPr>
      <w:r>
        <w:rPr>
          <w:rFonts w:hint="eastAsia" w:ascii="宋体" w:hAnsi="宋体"/>
          <w:szCs w:val="21"/>
        </w:rPr>
        <w:t>6、我单位理解贵单位将不受必须接受所收到的最低报价或其它任何投标文件的约束</w:t>
      </w:r>
      <w:bookmarkEnd w:id="54"/>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napToGrid/>
        <w:ind w:left="0" w:leftChars="0" w:firstLine="422" w:firstLineChars="200"/>
        <w:textAlignment w:val="auto"/>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pPr>
        <w:ind w:left="420" w:leftChars="200" w:firstLine="210" w:firstLineChars="100"/>
        <w:rPr>
          <w:rFonts w:hint="eastAsia"/>
          <w:szCs w:val="21"/>
        </w:rPr>
      </w:pPr>
    </w:p>
    <w:p>
      <w:pPr>
        <w:ind w:left="420" w:leftChars="200" w:firstLine="210" w:firstLineChars="100"/>
        <w:rPr>
          <w:rFonts w:hint="eastAsia"/>
          <w:szCs w:val="21"/>
          <w:u w:val="none"/>
          <w:lang w:eastAsia="zh-CN"/>
        </w:rPr>
      </w:pPr>
      <w:r>
        <w:rPr>
          <w:rFonts w:hint="eastAsia"/>
          <w:szCs w:val="21"/>
        </w:rPr>
        <w:t>投标人：</w:t>
      </w:r>
      <w:r>
        <w:rPr>
          <w:rFonts w:hint="eastAsia"/>
          <w:szCs w:val="21"/>
          <w:u w:val="thick"/>
        </w:rPr>
        <w:t xml:space="preserve">                   </w:t>
      </w:r>
      <w:r>
        <w:rPr>
          <w:rFonts w:hint="eastAsia"/>
          <w:szCs w:val="21"/>
        </w:rPr>
        <w:t xml:space="preserve">  </w:t>
      </w:r>
      <w:r>
        <w:rPr>
          <w:rFonts w:hint="eastAsia"/>
          <w:szCs w:val="21"/>
          <w:lang w:eastAsia="zh-CN"/>
        </w:rPr>
        <w:t>；</w:t>
      </w:r>
      <w:r>
        <w:rPr>
          <w:rFonts w:hint="eastAsia"/>
          <w:szCs w:val="21"/>
        </w:rPr>
        <w:t xml:space="preserve">  单位地址：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rPr>
        <w:t>电话</w:t>
      </w:r>
      <w:r>
        <w:rPr>
          <w:rFonts w:hint="eastAsia"/>
          <w:szCs w:val="21"/>
          <w:u w:val="none"/>
        </w:rPr>
        <w:t>：</w:t>
      </w:r>
      <w:r>
        <w:rPr>
          <w:rFonts w:hint="eastAsia"/>
          <w:szCs w:val="21"/>
          <w:u w:val="thick"/>
        </w:rPr>
        <w:t xml:space="preserve">                            </w:t>
      </w:r>
      <w:r>
        <w:rPr>
          <w:rFonts w:hint="eastAsia"/>
          <w:szCs w:val="21"/>
          <w:u w:val="none"/>
          <w:lang w:eastAsia="zh-CN"/>
        </w:rPr>
        <w:t>；</w:t>
      </w:r>
      <w:r>
        <w:rPr>
          <w:rFonts w:hint="eastAsia"/>
          <w:szCs w:val="21"/>
          <w:u w:val="none"/>
        </w:rPr>
        <w:t xml:space="preserve">     </w:t>
      </w:r>
    </w:p>
    <w:p>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pPr>
        <w:rPr>
          <w:rFonts w:ascii="黑体" w:hAnsi="宋体" w:eastAsia="黑体"/>
        </w:rPr>
      </w:pPr>
    </w:p>
    <w:p>
      <w:pPr>
        <w:rPr>
          <w:rFonts w:ascii="黑体" w:hAnsi="宋体" w:eastAsia="黑体"/>
        </w:rPr>
      </w:pPr>
    </w:p>
    <w:bookmarkEnd w:id="53"/>
    <w:p>
      <w:pPr>
        <w:pStyle w:val="4"/>
        <w:jc w:val="center"/>
        <w:rPr>
          <w:rFonts w:ascii="黑体" w:eastAsia="黑体"/>
          <w:b w:val="0"/>
          <w:sz w:val="24"/>
        </w:rPr>
      </w:pPr>
      <w:r>
        <w:rPr>
          <w:rFonts w:hint="eastAsia" w:ascii="黑体" w:eastAsia="黑体"/>
          <w:b w:val="0"/>
          <w:sz w:val="24"/>
        </w:rPr>
        <w:t>二、采购投标及履约承诺函</w:t>
      </w:r>
    </w:p>
    <w:p>
      <w:pPr>
        <w:rPr>
          <w:rFonts w:ascii="宋体" w:hAnsi="宋体"/>
          <w:color w:val="FF0000"/>
          <w:szCs w:val="21"/>
        </w:rPr>
      </w:pPr>
      <w:bookmarkStart w:id="57" w:name="_Hlk72257530"/>
      <w:r>
        <w:rPr>
          <w:rFonts w:hint="eastAsia" w:ascii="宋体" w:hAnsi="宋体"/>
          <w:color w:val="FF0000"/>
          <w:szCs w:val="21"/>
        </w:rPr>
        <w:t>致：</w:t>
      </w:r>
      <w:r>
        <w:rPr>
          <w:rFonts w:hint="eastAsia" w:ascii="宋体" w:hAnsi="宋体"/>
          <w:color w:val="FF0000"/>
          <w:szCs w:val="21"/>
          <w:u w:val="single"/>
        </w:rPr>
        <w:t>深圳公共资源交易中心</w:t>
      </w:r>
    </w:p>
    <w:p>
      <w:pPr>
        <w:ind w:right="-815" w:firstLine="420" w:firstLineChars="200"/>
        <w:rPr>
          <w:rFonts w:ascii="宋体" w:hAnsi="宋体"/>
          <w:szCs w:val="21"/>
        </w:rPr>
      </w:pPr>
      <w:r>
        <w:rPr>
          <w:rFonts w:hint="eastAsia" w:ascii="宋体" w:hAnsi="宋体"/>
          <w:szCs w:val="21"/>
        </w:rPr>
        <w:t>我单位承诺：</w:t>
      </w:r>
    </w:p>
    <w:p>
      <w:pPr>
        <w:ind w:firstLine="420" w:firstLineChars="200"/>
        <w:rPr>
          <w:rFonts w:hint="eastAsia" w:ascii="宋体" w:hAnsi="宋体"/>
          <w:b/>
          <w:szCs w:val="21"/>
        </w:rPr>
      </w:pPr>
      <w:r>
        <w:rPr>
          <w:rFonts w:hint="eastAsia" w:ascii="宋体" w:hAnsi="宋体"/>
          <w:b w:val="0"/>
          <w:bCs/>
          <w:szCs w:val="21"/>
        </w:rPr>
        <w:t>1.我单位参与本项目所投标（响应）的货物、工程或服务，不存在侵犯知识产权的情况。</w:t>
      </w:r>
    </w:p>
    <w:p>
      <w:pPr>
        <w:ind w:firstLine="420" w:firstLineChars="200"/>
        <w:rPr>
          <w:rFonts w:ascii="宋体" w:hAnsi="宋体"/>
          <w:szCs w:val="21"/>
        </w:rPr>
      </w:pPr>
      <w:r>
        <w:rPr>
          <w:rFonts w:hint="eastAsia" w:ascii="宋体" w:hAnsi="宋体"/>
          <w:szCs w:val="21"/>
        </w:rPr>
        <w:t>2.我单位参与本项目</w:t>
      </w:r>
      <w:r>
        <w:rPr>
          <w:rFonts w:hint="eastAsia"/>
        </w:rPr>
        <w:t>采购活动时不存在被有关部门禁止参与采购活动且在有效期内的情况。</w:t>
      </w:r>
    </w:p>
    <w:p>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pPr>
        <w:ind w:firstLine="420" w:firstLineChars="200"/>
        <w:rPr>
          <w:rFonts w:hint="eastAsia"/>
        </w:rPr>
      </w:pPr>
      <w:r>
        <w:rPr>
          <w:rFonts w:hint="eastAsia" w:ascii="宋体" w:hAnsi="宋体"/>
          <w:szCs w:val="21"/>
        </w:rPr>
        <w:t>4.我单位</w:t>
      </w:r>
      <w:r>
        <w:rPr>
          <w:rFonts w:hint="eastAsia"/>
        </w:rPr>
        <w:t>未被列入失信被执行人、重大税收违法案件当事人名单、政府采购严重违法失信行为记录名单。</w:t>
      </w:r>
    </w:p>
    <w:p>
      <w:pPr>
        <w:ind w:firstLine="420" w:firstLineChars="200"/>
        <w:rPr>
          <w:rFonts w:hint="default" w:eastAsia="宋体"/>
          <w:color w:val="FF0000"/>
          <w:lang w:val="en-US" w:eastAsia="zh-CN"/>
        </w:rPr>
      </w:pPr>
      <w:r>
        <w:rPr>
          <w:rFonts w:hint="eastAsia"/>
          <w:color w:val="FF0000"/>
          <w:lang w:val="en-US" w:eastAsia="zh-CN"/>
        </w:rPr>
        <w:t>5.我单位不存在《深圳市财政局政府采购供应商信用信息管理办法》（深财规〔2023〕3号）列明的严重违法失信行为。</w:t>
      </w:r>
    </w:p>
    <w:p>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w:t>
      </w:r>
      <w:bookmarkStart w:id="58" w:name="_Hlk72587269"/>
      <w:bookmarkStart w:id="59"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8"/>
      <w:r>
        <w:rPr>
          <w:rFonts w:hint="eastAsia" w:ascii="宋体" w:hAnsi="宋体"/>
          <w:szCs w:val="21"/>
        </w:rPr>
        <w:t>。</w:t>
      </w:r>
    </w:p>
    <w:bookmarkEnd w:id="59"/>
    <w:p>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eastAsia="宋体"/>
          <w:lang w:val="en-US" w:eastAsia="zh-CN"/>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lang w:eastAsia="zh-CN"/>
        </w:rPr>
        <w:t>（</w:t>
      </w:r>
      <w:r>
        <w:rPr>
          <w:rFonts w:hint="eastAsia"/>
        </w:rPr>
        <w:t>财库〔2023〕7号）</w:t>
      </w:r>
      <w:r>
        <w:rPr>
          <w:rFonts w:hint="eastAsia"/>
          <w:lang w:val="en-US" w:eastAsia="zh-CN"/>
        </w:rPr>
        <w:t>要求。若所投产品涉及国家强制性标准的，所投产品应符合国家强制性标准相关要求。</w:t>
      </w:r>
    </w:p>
    <w:p>
      <w:pPr>
        <w:ind w:firstLine="420" w:firstLineChars="200"/>
        <w:rPr>
          <w:rFonts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pPr>
        <w:ind w:firstLine="420" w:firstLineChars="200"/>
        <w:rPr>
          <w:rFonts w:hint="eastAsia" w:ascii="宋体" w:hAnsi="宋体" w:eastAsia="宋体" w:cs="宋体"/>
          <w:b/>
          <w:color w:val="FF0000"/>
          <w:kern w:val="0"/>
          <w:szCs w:val="21"/>
          <w:lang w:eastAsia="zh-CN"/>
        </w:rPr>
      </w:pPr>
      <w:r>
        <w:rPr>
          <w:rFonts w:hint="eastAsia" w:ascii="宋体" w:hAnsi="宋体"/>
          <w:b w:val="0"/>
          <w:bCs/>
        </w:rPr>
        <w:t>1</w:t>
      </w:r>
      <w:r>
        <w:rPr>
          <w:rFonts w:hint="eastAsia" w:ascii="宋体" w:hAnsi="宋体"/>
          <w:b w:val="0"/>
          <w:bCs/>
          <w:lang w:val="en-US" w:eastAsia="zh-CN"/>
        </w:rPr>
        <w:t>3</w:t>
      </w:r>
      <w:r>
        <w:rPr>
          <w:rFonts w:ascii="宋体" w:hAnsi="宋体"/>
          <w:b w:val="0"/>
          <w:bCs/>
        </w:rPr>
        <w:t>.我单位保证，符合《中华人民共和国政府采购法实施条例》第十八条规定，与其他投标供应商不存在单位负责人为同一人或者存在直接控股</w:t>
      </w:r>
      <w:r>
        <w:rPr>
          <w:rFonts w:ascii="宋体" w:hAnsi="宋体"/>
          <w:b w:val="0"/>
          <w:bCs/>
          <w:color w:val="auto"/>
        </w:rPr>
        <w:t>、管理关系；</w:t>
      </w:r>
      <w:r>
        <w:rPr>
          <w:rFonts w:hint="eastAsia" w:ascii="宋体" w:hAnsi="宋体"/>
          <w:b w:val="0"/>
          <w:bCs/>
          <w:color w:val="auto"/>
          <w:lang w:val="en-US" w:eastAsia="zh-CN"/>
        </w:rPr>
        <w:t>不存在为</w:t>
      </w:r>
      <w:r>
        <w:rPr>
          <w:rFonts w:ascii="宋体" w:hAnsi="宋体"/>
          <w:b w:val="0"/>
          <w:bCs/>
          <w:color w:val="auto"/>
        </w:rPr>
        <w:t>本次采购项目提供整体设计、规范编制或者项目管理、监理、检测等服务的情形。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r>
        <w:rPr>
          <w:rFonts w:hint="eastAsia" w:ascii="宋体" w:hAnsi="宋体"/>
          <w:b w:val="0"/>
          <w:bCs/>
          <w:color w:val="auto"/>
          <w:lang w:eastAsia="zh-CN"/>
        </w:rPr>
        <w:t>。</w:t>
      </w:r>
    </w:p>
    <w:p>
      <w:pPr>
        <w:ind w:firstLine="422" w:firstLineChars="200"/>
        <w:rPr>
          <w:rFonts w:hint="default" w:ascii="宋体" w:hAnsi="宋体"/>
          <w:b/>
          <w:szCs w:val="21"/>
          <w:lang w:val="en-US"/>
        </w:rPr>
      </w:pPr>
      <w:r>
        <w:rPr>
          <w:rFonts w:hint="eastAsia" w:ascii="宋体" w:hAnsi="宋体"/>
          <w:b/>
          <w:lang w:val="en-US" w:eastAsia="zh-CN"/>
        </w:rPr>
        <w:t>14.我单位清楚，如存在违反投标承诺行为情节严重的，将根据《深圳市财政局关于印发&lt;深圳市财政局政府采购供应商信用信息管理办法&gt;的通知》，依法被列入失信信息。</w:t>
      </w:r>
    </w:p>
    <w:p>
      <w:pPr>
        <w:ind w:firstLine="420" w:firstLineChars="200"/>
        <w:rPr>
          <w:rFonts w:ascii="宋体" w:hAnsi="宋体"/>
        </w:rPr>
      </w:pPr>
    </w:p>
    <w:p>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pPr>
        <w:spacing w:before="60" w:beforeLines="25" w:after="60" w:afterLines="25"/>
        <w:ind w:firstLine="5460" w:firstLineChars="2600"/>
        <w:rPr>
          <w:rFonts w:ascii="宋体" w:hAnsi="宋体"/>
          <w:szCs w:val="21"/>
        </w:rPr>
      </w:pPr>
      <w:r>
        <w:rPr>
          <w:rFonts w:hint="eastAsia" w:ascii="宋体" w:hAnsi="宋体"/>
          <w:szCs w:val="21"/>
        </w:rPr>
        <w:t xml:space="preserve">                                    </w:t>
      </w:r>
    </w:p>
    <w:bookmarkEnd w:id="57"/>
    <w:p>
      <w:pPr>
        <w:spacing w:before="60" w:beforeLines="25" w:after="60" w:afterLines="25"/>
        <w:ind w:firstLine="5460" w:firstLineChars="2600"/>
        <w:rPr>
          <w:rFonts w:hint="eastAsia" w:eastAsia="宋体"/>
          <w:color w:val="FF0000"/>
          <w:u w:val="none"/>
          <w:lang w:eastAsia="zh-CN"/>
        </w:rPr>
      </w:pPr>
      <w:r>
        <w:rPr>
          <w:rFonts w:hint="eastAsia"/>
          <w:color w:val="FF0000"/>
          <w:szCs w:val="21"/>
        </w:rPr>
        <w:t>投标人</w:t>
      </w:r>
      <w:r>
        <w:rPr>
          <w:rFonts w:hint="eastAsia"/>
          <w:color w:val="FF0000"/>
          <w:szCs w:val="21"/>
          <w:u w:val="none"/>
        </w:rPr>
        <w:t>：</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color w:val="FF0000"/>
          <w:szCs w:val="21"/>
          <w:u w:val="none"/>
          <w:lang w:val="en-US" w:eastAsia="zh-CN"/>
        </w:rPr>
        <w:t>.</w:t>
      </w:r>
    </w:p>
    <w:p>
      <w:pPr>
        <w:ind w:firstLine="645"/>
        <w:rPr>
          <w:rFonts w:ascii="宋体" w:hAnsi="宋体"/>
          <w:color w:val="FF0000"/>
          <w:szCs w:val="21"/>
        </w:rPr>
      </w:pPr>
      <w:r>
        <w:rPr>
          <w:rFonts w:hint="eastAsia" w:ascii="宋体" w:hAnsi="宋体"/>
          <w:color w:val="FF0000"/>
          <w:szCs w:val="21"/>
        </w:rPr>
        <w:t xml:space="preserve">                                              日期：</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日</w:t>
      </w:r>
    </w:p>
    <w:p>
      <w:pPr>
        <w:ind w:firstLine="645"/>
        <w:rPr>
          <w:rFonts w:ascii="宋体" w:hAnsi="宋体"/>
          <w:szCs w:val="21"/>
        </w:rPr>
      </w:pPr>
    </w:p>
    <w:p>
      <w:pPr>
        <w:rPr>
          <w:rFonts w:ascii="宋体"/>
          <w:b/>
          <w:szCs w:val="21"/>
        </w:rPr>
      </w:pPr>
    </w:p>
    <w:p>
      <w:pPr>
        <w:ind w:firstLine="482" w:firstLineChars="200"/>
        <w:jc w:val="center"/>
        <w:rPr>
          <w:rFonts w:hAnsi="宋体"/>
          <w:b/>
          <w:bCs/>
          <w:sz w:val="24"/>
        </w:rPr>
      </w:pPr>
    </w:p>
    <w:p>
      <w:pPr>
        <w:pStyle w:val="4"/>
        <w:jc w:val="center"/>
        <w:rPr>
          <w:rFonts w:ascii="黑体" w:eastAsia="黑体"/>
          <w:b w:val="0"/>
          <w:sz w:val="24"/>
          <w:szCs w:val="24"/>
        </w:rPr>
      </w:pPr>
      <w:r>
        <w:rPr>
          <w:rFonts w:hint="eastAsia" w:ascii="黑体" w:eastAsia="黑体"/>
          <w:b w:val="0"/>
          <w:sz w:val="24"/>
          <w:szCs w:val="24"/>
        </w:rPr>
        <w:t>三、投标人情况及资格证明文件</w:t>
      </w:r>
    </w:p>
    <w:p>
      <w:pPr>
        <w:rPr>
          <w:b/>
          <w:bCs/>
          <w:sz w:val="24"/>
        </w:rPr>
      </w:pPr>
    </w:p>
    <w:p>
      <w:pPr>
        <w:ind w:firstLine="2640" w:firstLineChars="1100"/>
        <w:outlineLvl w:val="3"/>
        <w:rPr>
          <w:rFonts w:ascii="黑体" w:hAnsi="宋体" w:eastAsia="黑体"/>
          <w:bCs/>
          <w:kern w:val="0"/>
          <w:sz w:val="24"/>
          <w:szCs w:val="32"/>
        </w:rPr>
      </w:pPr>
      <w:bookmarkStart w:id="60" w:name="_Hlk72257590"/>
      <w:r>
        <w:rPr>
          <w:rFonts w:hint="eastAsia" w:ascii="黑体" w:hAnsi="宋体" w:eastAsia="黑体"/>
          <w:bCs/>
          <w:kern w:val="0"/>
          <w:sz w:val="24"/>
          <w:szCs w:val="32"/>
        </w:rPr>
        <w:t>（一）投标人资格证明文件</w:t>
      </w:r>
    </w:p>
    <w:p>
      <w:pPr>
        <w:spacing w:before="120" w:beforeLines="50"/>
        <w:ind w:firstLine="422" w:firstLineChars="200"/>
        <w:rPr>
          <w:b/>
          <w:bCs/>
          <w:color w:val="FF0000"/>
        </w:rPr>
      </w:pPr>
      <w:r>
        <w:rPr>
          <w:rFonts w:hint="eastAsia"/>
          <w:b/>
          <w:bCs/>
          <w:color w:val="FF0000"/>
        </w:rPr>
        <w:t>（特别提示：投标人须按本招标文件第一册第一章招标公告“申请人的资格要求”（即投标人资格要求）提供相关的资格证明资料，未提供或提供不完整、不符合要求的，将作投标无效处理</w:t>
      </w:r>
      <w:r>
        <w:rPr>
          <w:rFonts w:hint="eastAsia"/>
          <w:b/>
          <w:bCs/>
          <w:color w:val="FF0000"/>
          <w:lang w:eastAsia="zh-CN"/>
        </w:rPr>
        <w:t>，</w:t>
      </w:r>
      <w:r>
        <w:rPr>
          <w:rFonts w:hint="eastAsia"/>
          <w:b/>
          <w:bCs/>
          <w:color w:val="FF0000"/>
          <w:lang w:val="en-US" w:eastAsia="zh-CN"/>
        </w:rPr>
        <w:t>其中要求提供《采购投标及履约承诺函》《供应商基本情况表》且已在规定章节中提供的，此处不重复提供</w:t>
      </w:r>
      <w:r>
        <w:rPr>
          <w:rFonts w:hint="eastAsia"/>
          <w:b/>
          <w:bCs/>
          <w:color w:val="FF0000"/>
        </w:rPr>
        <w:t>。）</w:t>
      </w:r>
    </w:p>
    <w:p>
      <w:pPr>
        <w:rPr>
          <w:b/>
          <w:bCs/>
          <w:sz w:val="24"/>
        </w:rPr>
      </w:pPr>
    </w:p>
    <w:p>
      <w:pPr>
        <w:ind w:firstLine="480" w:firstLineChars="200"/>
        <w:outlineLvl w:val="3"/>
        <w:rPr>
          <w:rFonts w:ascii="黑体" w:hAnsi="宋体" w:eastAsia="黑体"/>
          <w:bCs/>
          <w:kern w:val="0"/>
          <w:sz w:val="24"/>
          <w:szCs w:val="32"/>
        </w:rPr>
      </w:pPr>
      <w:bookmarkStart w:id="61" w:name="_Hlk72257908"/>
      <w:r>
        <w:rPr>
          <w:rFonts w:hint="eastAsia" w:ascii="黑体" w:hAnsi="宋体" w:eastAsia="黑体"/>
          <w:bCs/>
          <w:kern w:val="0"/>
          <w:sz w:val="24"/>
          <w:szCs w:val="32"/>
        </w:rPr>
        <w:t>（二）中小企业声明函、残疾人福利性单位声明函及监狱企业声明函</w:t>
      </w:r>
    </w:p>
    <w:bookmarkEnd w:id="60"/>
    <w:p>
      <w:pPr>
        <w:jc w:val="left"/>
        <w:outlineLvl w:val="9"/>
        <w:rPr>
          <w:rFonts w:ascii="黑体" w:hAnsi="宋体" w:eastAsia="黑体"/>
          <w:bCs/>
          <w:kern w:val="0"/>
          <w:sz w:val="24"/>
          <w:szCs w:val="32"/>
        </w:rPr>
      </w:pP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填写指引：</w:t>
      </w:r>
    </w:p>
    <w:p>
      <w:pPr>
        <w:ind w:firstLine="420" w:firstLineChars="200"/>
        <w:outlineLvl w:val="9"/>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pPr>
        <w:ind w:firstLine="420" w:firstLineChars="200"/>
        <w:outlineLvl w:val="9"/>
        <w:rPr>
          <w:rFonts w:ascii="黑体" w:hAnsi="黑体" w:eastAsia="黑体"/>
          <w:color w:val="FF0000"/>
          <w:szCs w:val="21"/>
        </w:rPr>
      </w:pPr>
      <w:r>
        <w:rPr>
          <w:rFonts w:hint="eastAsia" w:ascii="黑体" w:hAnsi="黑体" w:eastAsia="黑体"/>
          <w:color w:val="FF0000"/>
          <w:szCs w:val="21"/>
        </w:rPr>
        <w:t>2、该部分内容填写需要参考的相关文件：</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r>
        <w:rPr>
          <w:rFonts w:hint="eastAsia" w:ascii="黑体" w:hAnsi="黑体" w:eastAsia="黑体"/>
          <w:color w:val="FF0000"/>
          <w:szCs w:val="21"/>
          <w:lang w:eastAsia="zh-CN"/>
        </w:rPr>
        <w:t>；</w:t>
      </w:r>
    </w:p>
    <w:p>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(3)《统计上大中小微型企业划分办法(2017)》（国统字〔2017〕213号）</w:t>
      </w:r>
      <w:r>
        <w:rPr>
          <w:rFonts w:hint="eastAsia" w:ascii="黑体" w:hAnsi="黑体" w:eastAsia="黑体"/>
          <w:color w:val="FF0000"/>
          <w:szCs w:val="21"/>
          <w:lang w:eastAsia="zh-CN"/>
        </w:rPr>
        <w:t>；</w:t>
      </w:r>
    </w:p>
    <w:p>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(4)《关于促进残疾人就业政府采购政策的通知》（财库〔2017〕141号）</w:t>
      </w:r>
      <w:r>
        <w:rPr>
          <w:rFonts w:hint="eastAsia" w:ascii="黑体" w:hAnsi="黑体" w:eastAsia="黑体"/>
          <w:color w:val="FF0000"/>
          <w:szCs w:val="21"/>
          <w:lang w:eastAsia="zh-CN"/>
        </w:rPr>
        <w:t>；</w:t>
      </w:r>
    </w:p>
    <w:p>
      <w:pPr>
        <w:ind w:firstLine="420" w:firstLineChars="200"/>
        <w:outlineLvl w:val="9"/>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w:t>
      </w:r>
      <w:r>
        <w:rPr>
          <w:rFonts w:hint="eastAsia" w:ascii="黑体" w:hAnsi="宋体" w:eastAsia="黑体"/>
          <w:bCs/>
          <w:color w:val="FF0000"/>
          <w:kern w:val="0"/>
          <w:szCs w:val="21"/>
          <w:lang w:val="en-US" w:eastAsia="zh-CN"/>
        </w:rPr>
        <w:t>清单</w:t>
      </w:r>
      <w:r>
        <w:rPr>
          <w:rFonts w:hint="eastAsia" w:ascii="黑体" w:hAnsi="宋体" w:eastAsia="黑体"/>
          <w:bCs/>
          <w:color w:val="FF0000"/>
          <w:kern w:val="0"/>
          <w:szCs w:val="21"/>
        </w:rPr>
        <w:t>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文件中明确的所属行业”下划线处填写采购标的对应的中小企业划分标准所属行业（所属行业以招标文件第一册第三章用户需求书“货物清单明细”的“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val="en-US" w:eastAsia="zh-CN"/>
        </w:rPr>
        <w:t>货物</w:t>
      </w:r>
      <w:r>
        <w:rPr>
          <w:rFonts w:hint="eastAsia" w:ascii="黑体" w:hAnsi="宋体" w:eastAsia="黑体"/>
          <w:b/>
          <w:bCs w:val="0"/>
          <w:color w:val="FF0000"/>
          <w:kern w:val="0"/>
          <w:szCs w:val="21"/>
        </w:rPr>
        <w:t>制造商名称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判断《中小企业声明函》载明的货物制造商是否属于采购文件所属行业的中型企业/小型企业/微型企业。</w:t>
      </w:r>
    </w:p>
    <w:p>
      <w:pPr>
        <w:pStyle w:val="2"/>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numPr>
          <w:ilvl w:val="0"/>
          <w:numId w:val="0"/>
        </w:num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事业单位、社会组织等非企业主体不享受中小企业扶持政策，但事业单位、社会组织等非企业主体提供全部由中小企业制造的货物参加货物采购项目的除外。</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pStyle w:val="2"/>
        <w:ind w:firstLine="420" w:firstLineChars="200"/>
        <w:outlineLvl w:val="9"/>
        <w:rPr>
          <w:rFonts w:hint="eastAsia" w:eastAsia="黑体"/>
          <w:lang w:val="en-US" w:eastAsia="zh-CN"/>
        </w:rPr>
      </w:pPr>
      <w:r>
        <w:rPr>
          <w:rFonts w:hint="eastAsia" w:ascii="黑体" w:hAnsi="宋体" w:eastAsia="黑体"/>
          <w:bCs/>
          <w:color w:val="FF0000"/>
          <w:kern w:val="0"/>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outlineLvl w:val="9"/>
      </w:pPr>
    </w:p>
    <w:p>
      <w:pPr>
        <w:numPr>
          <w:ilvl w:val="0"/>
          <w:numId w:val="8"/>
        </w:numPr>
        <w:jc w:val="center"/>
        <w:outlineLvl w:val="9"/>
        <w:rPr>
          <w:b/>
          <w:sz w:val="24"/>
        </w:rPr>
      </w:pPr>
      <w:r>
        <w:rPr>
          <w:b/>
          <w:sz w:val="24"/>
        </w:rPr>
        <w:t>中小企业声明函（货物）</w:t>
      </w:r>
    </w:p>
    <w:p>
      <w:pPr>
        <w:pStyle w:val="9"/>
        <w:widowControl w:val="0"/>
        <w:numPr>
          <w:ilvl w:val="0"/>
          <w:numId w:val="0"/>
        </w:numPr>
        <w:spacing w:line="360" w:lineRule="auto"/>
        <w:jc w:val="both"/>
        <w:outlineLvl w:val="9"/>
      </w:pPr>
    </w:p>
    <w:p>
      <w:pPr>
        <w:pStyle w:val="38"/>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采购活动，提供的货物全部由符合政策要求的中小企业制造。相关企业（含联合体中的中小企业、签订分包意向协议的中小企业）的具体情况如下：</w:t>
      </w:r>
    </w:p>
    <w:p>
      <w:pPr>
        <w:pStyle w:val="38"/>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38"/>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38"/>
        <w:ind w:firstLine="420" w:firstLineChars="200"/>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pPr>
        <w:pStyle w:val="38"/>
        <w:ind w:firstLine="420" w:firstLineChars="200"/>
        <w:outlineLvl w:val="9"/>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62" w:name="_Hlk73562203"/>
      <w:r>
        <w:rPr>
          <w:rFonts w:hint="eastAsia" w:asciiTheme="minorEastAsia" w:hAnsiTheme="minorEastAsia" w:eastAsiaTheme="minorEastAsia" w:cstheme="minorEastAsia"/>
          <w:kern w:val="2"/>
          <w:sz w:val="21"/>
          <w:szCs w:val="21"/>
          <w:lang w:val="en-US" w:eastAsia="zh-CN" w:bidi="ar-SA"/>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cs="Times New Roman"/>
          <w:kern w:val="2"/>
          <w:sz w:val="24"/>
          <w:szCs w:val="24"/>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62"/>
    </w:p>
    <w:p>
      <w:pPr>
        <w:ind w:firstLine="420" w:firstLineChars="200"/>
        <w:outlineLvl w:val="9"/>
        <w:rPr>
          <w:rFonts w:ascii="宋体" w:hAnsi="宋体"/>
          <w:bCs/>
          <w:color w:val="FF0000"/>
          <w:kern w:val="0"/>
          <w:szCs w:val="21"/>
        </w:rPr>
      </w:pPr>
    </w:p>
    <w:p>
      <w:pPr>
        <w:outlineLvl w:val="9"/>
      </w:pPr>
    </w:p>
    <w:p>
      <w:pPr>
        <w:ind w:firstLine="420" w:firstLineChars="200"/>
        <w:outlineLvl w:val="9"/>
      </w:pPr>
    </w:p>
    <w:p>
      <w:pPr>
        <w:jc w:val="center"/>
        <w:outlineLvl w:val="9"/>
        <w:rPr>
          <w:b/>
          <w:sz w:val="24"/>
        </w:rPr>
      </w:pPr>
      <w:r>
        <w:rPr>
          <w:rFonts w:hint="eastAsia"/>
          <w:b/>
          <w:sz w:val="24"/>
        </w:rPr>
        <w:t>2、残疾人福利性单位声明函（货物类）</w:t>
      </w:r>
    </w:p>
    <w:p>
      <w:pPr>
        <w:outlineLvl w:val="9"/>
        <w:rPr>
          <w:b/>
          <w:bCs/>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63" w:name="_Hlk73562331"/>
      <w:bookmarkStart w:id="64" w:name="_Hlk73562245"/>
      <w:r>
        <w:rPr>
          <w:rFonts w:hint="eastAsia" w:asciiTheme="minorEastAsia" w:hAnsiTheme="minorEastAsia" w:eastAsiaTheme="minorEastAsia" w:cstheme="minorEastAsia"/>
          <w:kern w:val="2"/>
          <w:sz w:val="21"/>
          <w:szCs w:val="21"/>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bookmarkEnd w:id="63"/>
    </w:p>
    <w:bookmarkEnd w:id="64"/>
    <w:p>
      <w:pPr>
        <w:ind w:firstLine="420" w:firstLineChars="200"/>
        <w:outlineLvl w:val="9"/>
        <w:rPr>
          <w:rFonts w:ascii="宋体" w:hAnsi="宋体"/>
          <w:szCs w:val="21"/>
        </w:rPr>
      </w:pPr>
    </w:p>
    <w:p>
      <w:pPr>
        <w:ind w:firstLine="420" w:firstLineChars="200"/>
        <w:outlineLvl w:val="9"/>
        <w:rPr>
          <w:rFonts w:ascii="宋体" w:hAnsi="宋体"/>
          <w:szCs w:val="21"/>
        </w:rPr>
      </w:pPr>
    </w:p>
    <w:p>
      <w:pPr>
        <w:jc w:val="center"/>
        <w:outlineLvl w:val="9"/>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hint="eastAsia" w:ascii="宋体" w:hAnsi="宋体"/>
          <w:sz w:val="21"/>
          <w:szCs w:val="21"/>
        </w:rPr>
        <w:t>本投标人郑重声明，根据《财政部司法部关于政府采购支持监狱企业发展有关问题的通知》（财库〔</w:t>
      </w:r>
      <w:r>
        <w:rPr>
          <w:rFonts w:ascii="宋体" w:hAnsi="宋体"/>
          <w:sz w:val="21"/>
          <w:szCs w:val="21"/>
        </w:rPr>
        <w:t>2014</w:t>
      </w:r>
      <w:r>
        <w:rPr>
          <w:rFonts w:hint="eastAsia" w:ascii="宋体" w:hAnsi="宋体"/>
          <w:sz w:val="21"/>
          <w:szCs w:val="21"/>
        </w:rPr>
        <w:t>〕</w:t>
      </w:r>
      <w:r>
        <w:rPr>
          <w:rFonts w:ascii="宋体" w:hAnsi="宋体"/>
          <w:sz w:val="21"/>
          <w:szCs w:val="21"/>
        </w:rPr>
        <w:t>68</w:t>
      </w:r>
      <w:r>
        <w:rPr>
          <w:rFonts w:hint="eastAsia" w:ascii="宋体" w:hAnsi="宋体"/>
          <w:sz w:val="21"/>
          <w:szCs w:val="21"/>
        </w:rPr>
        <w:t>号）的规定，本投标人</w:t>
      </w:r>
      <w:r>
        <w:rPr>
          <w:rFonts w:ascii="宋体" w:hAnsi="宋体" w:cstheme="minorBidi"/>
          <w:sz w:val="21"/>
          <w:szCs w:val="21"/>
        </w:rPr>
        <w:t>参加</w:t>
      </w:r>
      <w:r>
        <w:rPr>
          <w:rFonts w:ascii="宋体" w:hAnsi="宋体"/>
          <w:b/>
          <w:bCs/>
          <w:i/>
          <w:iCs/>
          <w:sz w:val="21"/>
          <w:szCs w:val="21"/>
          <w:u w:val="single"/>
        </w:rPr>
        <w:t>（</w:t>
      </w:r>
      <w:r>
        <w:rPr>
          <w:rFonts w:hint="eastAsia" w:ascii="宋体" w:hAnsi="宋体"/>
          <w:b/>
          <w:bCs/>
          <w:i/>
          <w:iCs/>
          <w:sz w:val="21"/>
          <w:szCs w:val="21"/>
          <w:u w:val="single"/>
        </w:rPr>
        <w:t>采购人</w:t>
      </w:r>
      <w:r>
        <w:rPr>
          <w:rFonts w:ascii="宋体" w:hAnsi="宋体"/>
          <w:b/>
          <w:bCs/>
          <w:i/>
          <w:iCs/>
          <w:sz w:val="21"/>
          <w:szCs w:val="21"/>
          <w:u w:val="single"/>
        </w:rPr>
        <w:t>名称）</w:t>
      </w:r>
      <w:r>
        <w:rPr>
          <w:rFonts w:ascii="宋体" w:hAnsi="宋体"/>
          <w:sz w:val="21"/>
          <w:szCs w:val="21"/>
        </w:rPr>
        <w:t>的</w:t>
      </w:r>
      <w:r>
        <w:rPr>
          <w:rFonts w:ascii="宋体" w:hAnsi="宋体"/>
          <w:b/>
          <w:bCs/>
          <w:i/>
          <w:iCs/>
          <w:sz w:val="21"/>
          <w:szCs w:val="21"/>
          <w:u w:val="single"/>
        </w:rPr>
        <w:t>（项目名称）</w:t>
      </w:r>
      <w:r>
        <w:rPr>
          <w:rFonts w:ascii="宋体" w:hAnsi="宋体"/>
          <w:sz w:val="21"/>
          <w:szCs w:val="21"/>
        </w:rPr>
        <w:t>采购活动，提供的货物全部由符合政策要求的</w:t>
      </w:r>
      <w:r>
        <w:rPr>
          <w:rFonts w:hint="eastAsia" w:ascii="宋体" w:hAnsi="宋体"/>
          <w:sz w:val="21"/>
          <w:szCs w:val="21"/>
        </w:rPr>
        <w:t>监狱企业</w:t>
      </w:r>
      <w:r>
        <w:rPr>
          <w:rFonts w:ascii="宋体" w:hAnsi="宋体"/>
          <w:sz w:val="21"/>
          <w:szCs w:val="21"/>
        </w:rPr>
        <w:t>制造。相关</w:t>
      </w:r>
      <w:r>
        <w:rPr>
          <w:rFonts w:hint="eastAsia" w:ascii="宋体" w:hAnsi="宋体"/>
          <w:sz w:val="21"/>
          <w:szCs w:val="21"/>
        </w:rPr>
        <w:t>监狱企业</w:t>
      </w:r>
      <w:r>
        <w:rPr>
          <w:rFonts w:ascii="宋体" w:hAnsi="宋体"/>
          <w:sz w:val="21"/>
          <w:szCs w:val="21"/>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1.</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2.</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cstheme="minorBidi"/>
          <w:sz w:val="21"/>
          <w:szCs w:val="21"/>
        </w:rPr>
        <w:t>本</w:t>
      </w:r>
      <w:r>
        <w:rPr>
          <w:rFonts w:hint="eastAsia" w:ascii="宋体" w:hAnsi="宋体" w:cstheme="minorBidi"/>
          <w:sz w:val="21"/>
          <w:szCs w:val="21"/>
        </w:rPr>
        <w:t>投标人</w:t>
      </w:r>
      <w:r>
        <w:rPr>
          <w:rFonts w:ascii="宋体" w:hAnsi="宋体"/>
          <w:sz w:val="21"/>
          <w:szCs w:val="21"/>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b/>
          <w:bCs/>
          <w:color w:val="FF0000"/>
          <w:sz w:val="21"/>
          <w:szCs w:val="21"/>
        </w:rPr>
      </w:pPr>
      <w:r>
        <w:rPr>
          <w:rFonts w:hint="eastAsia" w:ascii="宋体" w:hAnsi="宋体"/>
          <w:sz w:val="21"/>
          <w:szCs w:val="21"/>
        </w:rPr>
        <w:t>附：省级以上监狱管理局、戒毒管理局（含新疆生产建设兵团）出具的监狱企业证明文件。</w:t>
      </w:r>
      <w:bookmarkEnd w:id="61"/>
    </w:p>
    <w:p>
      <w:pPr>
        <w:pStyle w:val="4"/>
        <w:jc w:val="center"/>
        <w:rPr>
          <w:rFonts w:ascii="黑体" w:eastAsia="黑体"/>
          <w:b w:val="0"/>
          <w:sz w:val="24"/>
          <w:szCs w:val="24"/>
        </w:rPr>
      </w:pPr>
      <w:bookmarkStart w:id="65" w:name="_Hlk72259976"/>
      <w:r>
        <w:rPr>
          <w:rFonts w:hint="eastAsia" w:ascii="黑体" w:eastAsia="黑体"/>
          <w:b w:val="0"/>
          <w:sz w:val="24"/>
          <w:szCs w:val="24"/>
        </w:rPr>
        <w:t>四、项目详细报价</w:t>
      </w:r>
    </w:p>
    <w:p>
      <w:pPr>
        <w:tabs>
          <w:tab w:val="left" w:pos="720"/>
        </w:tabs>
        <w:ind w:firstLine="3132" w:firstLineChars="1300"/>
        <w:rPr>
          <w:b/>
          <w:sz w:val="24"/>
        </w:rPr>
      </w:pPr>
      <w:r>
        <w:rPr>
          <w:rFonts w:hint="eastAsia"/>
          <w:b/>
          <w:sz w:val="24"/>
        </w:rPr>
        <w:t>（一）分项报价表</w:t>
      </w:r>
    </w:p>
    <w:tbl>
      <w:tblPr>
        <w:tblStyle w:val="4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8"/>
        <w:gridCol w:w="1118"/>
        <w:gridCol w:w="419"/>
        <w:gridCol w:w="769"/>
        <w:gridCol w:w="769"/>
        <w:gridCol w:w="769"/>
        <w:gridCol w:w="769"/>
        <w:gridCol w:w="769"/>
        <w:gridCol w:w="771"/>
        <w:gridCol w:w="771"/>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型号</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原产地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制造商名称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元</w:t>
            </w:r>
            <w:r>
              <w:rPr>
                <w:rFonts w:hint="default" w:ascii="Times New Roman" w:hAnsi="Times New Roman" w:eastAsia="宋体" w:cs="Times New Roman"/>
                <w:i w:val="0"/>
                <w:iCs w:val="0"/>
                <w:color w:val="000000"/>
                <w:kern w:val="0"/>
                <w:sz w:val="21"/>
                <w:szCs w:val="21"/>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合价</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元</w:t>
            </w:r>
            <w:r>
              <w:rPr>
                <w:rFonts w:hint="default" w:ascii="Times New Roman" w:hAnsi="Times New Roman" w:eastAsia="宋体" w:cs="Times New Roman"/>
                <w:i w:val="0"/>
                <w:iCs w:val="0"/>
                <w:color w:val="000000"/>
                <w:kern w:val="0"/>
                <w:sz w:val="21"/>
                <w:szCs w:val="21"/>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最高限价（万元）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多功能组合式监护仪（脑功能状态定量仪）</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EE0000"/>
                <w:sz w:val="24"/>
                <w:szCs w:val="24"/>
                <w:u w:val="none"/>
              </w:rPr>
            </w:pPr>
            <w:r>
              <w:rPr>
                <w:rFonts w:hint="eastAsia" w:ascii="仿宋" w:hAnsi="仿宋" w:eastAsia="仿宋" w:cs="仿宋"/>
                <w:b/>
                <w:bCs/>
                <w:i w:val="0"/>
                <w:iCs w:val="0"/>
                <w:color w:val="EE0000"/>
                <w:kern w:val="0"/>
                <w:sz w:val="24"/>
                <w:szCs w:val="24"/>
                <w:u w:val="none"/>
                <w:lang w:val="en-US" w:eastAsia="zh-CN" w:bidi="ar"/>
              </w:rPr>
              <w:t>41.32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屈光筛查仪</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EE0000"/>
                <w:sz w:val="24"/>
                <w:szCs w:val="24"/>
                <w:u w:val="none"/>
              </w:rPr>
            </w:pPr>
            <w:r>
              <w:rPr>
                <w:rFonts w:hint="eastAsia" w:ascii="仿宋" w:hAnsi="仿宋" w:eastAsia="仿宋" w:cs="仿宋"/>
                <w:b/>
                <w:bCs/>
                <w:i w:val="0"/>
                <w:iCs w:val="0"/>
                <w:color w:val="EE0000"/>
                <w:kern w:val="0"/>
                <w:sz w:val="24"/>
                <w:szCs w:val="24"/>
                <w:u w:val="none"/>
                <w:lang w:val="en-US" w:eastAsia="zh-CN" w:bidi="ar"/>
              </w:rPr>
              <w:t>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合计（即投标总价；币种：人民币；单位：元） 小写：            大写：</w:t>
            </w:r>
          </w:p>
        </w:tc>
      </w:tr>
    </w:tbl>
    <w:p>
      <w:pPr>
        <w:ind w:firstLine="482" w:firstLineChars="200"/>
        <w:rPr>
          <w:rFonts w:hint="eastAsia" w:ascii="宋体" w:hAnsi="宋体"/>
          <w:b/>
          <w:sz w:val="24"/>
        </w:rPr>
      </w:pPr>
    </w:p>
    <w:p>
      <w:pPr>
        <w:ind w:firstLine="482" w:firstLineChars="200"/>
        <w:rPr>
          <w:rFonts w:ascii="宋体" w:hAnsi="宋体"/>
          <w:b/>
          <w:sz w:val="24"/>
        </w:rPr>
      </w:pPr>
      <w:r>
        <w:rPr>
          <w:rFonts w:hint="eastAsia" w:ascii="宋体" w:hAnsi="宋体"/>
          <w:b/>
          <w:sz w:val="24"/>
        </w:rPr>
        <w:t>注：1.本表可按同样格式扩展。</w:t>
      </w:r>
    </w:p>
    <w:p>
      <w:pPr>
        <w:ind w:firstLine="472" w:firstLineChars="196"/>
        <w:rPr>
          <w:rFonts w:hint="default" w:ascii="宋体" w:hAnsi="宋体" w:eastAsia="宋体"/>
          <w:b/>
          <w:sz w:val="24"/>
          <w:lang w:val="en-US" w:eastAsia="zh-CN"/>
        </w:rPr>
      </w:pPr>
      <w:r>
        <w:rPr>
          <w:rFonts w:hint="eastAsia" w:ascii="宋体" w:hAnsi="宋体"/>
          <w:b/>
          <w:sz w:val="24"/>
        </w:rPr>
        <w:t>2</w:t>
      </w:r>
      <w:r>
        <w:rPr>
          <w:rFonts w:ascii="宋体" w:hAnsi="宋体"/>
          <w:b/>
          <w:sz w:val="24"/>
        </w:rPr>
        <w:t>.</w:t>
      </w:r>
      <w:r>
        <w:rPr>
          <w:rFonts w:hint="eastAsia" w:ascii="宋体" w:hAnsi="宋体"/>
          <w:b/>
          <w:sz w:val="24"/>
          <w:lang w:eastAsia="zh-CN"/>
        </w:rPr>
        <w:t>“</w:t>
      </w:r>
      <w:r>
        <w:rPr>
          <w:rFonts w:hint="eastAsia" w:ascii="宋体" w:hAnsi="宋体"/>
          <w:b/>
          <w:sz w:val="24"/>
          <w:lang w:val="en-US" w:eastAsia="zh-CN"/>
        </w:rPr>
        <w:t>品牌</w:t>
      </w:r>
      <w:r>
        <w:rPr>
          <w:rFonts w:hint="eastAsia" w:ascii="宋体" w:hAnsi="宋体"/>
          <w:b/>
          <w:sz w:val="24"/>
          <w:lang w:eastAsia="zh-CN"/>
        </w:rPr>
        <w:t>”</w:t>
      </w:r>
      <w:r>
        <w:rPr>
          <w:rFonts w:hint="eastAsia" w:ascii="宋体" w:hAnsi="宋体"/>
          <w:b/>
          <w:sz w:val="24"/>
          <w:lang w:val="en-US" w:eastAsia="zh-CN"/>
        </w:rPr>
        <w:t>可以与商标一致，也可以填写便于区分其他公司商品的制造商简称或者制造商认可的品牌名称</w:t>
      </w:r>
      <w:r>
        <w:rPr>
          <w:rFonts w:hint="eastAsia" w:ascii="宋体" w:hAnsi="宋体"/>
          <w:b/>
          <w:sz w:val="24"/>
        </w:rPr>
        <w:t>。此类填写错误或缺漏的不利后果由供应商承担。经评审委员会认定，在使用综合评分法的项目中一项此类填写错误或缺漏将按照一项普通招标技术要求（一般参数/普通参数）负偏离扣分处理。</w:t>
      </w:r>
    </w:p>
    <w:p>
      <w:pPr>
        <w:ind w:firstLine="472" w:firstLineChars="196"/>
        <w:rPr>
          <w:rFonts w:hint="eastAsia"/>
          <w:b/>
          <w:sz w:val="24"/>
        </w:rPr>
      </w:pPr>
      <w:r>
        <w:rPr>
          <w:rFonts w:hint="eastAsia" w:ascii="宋体" w:hAnsi="宋体"/>
          <w:b/>
          <w:sz w:val="24"/>
          <w:lang w:val="en-US" w:eastAsia="zh-CN"/>
        </w:rPr>
        <w:t>3.</w:t>
      </w:r>
      <w:r>
        <w:rPr>
          <w:rFonts w:hint="eastAsia" w:ascii="宋体" w:hAnsi="宋体"/>
          <w:b/>
          <w:sz w:val="24"/>
        </w:rPr>
        <w:t>如所投货物属于定制类的非量产货物或无具体型号的货物，可以在“规格/型号”</w:t>
      </w:r>
      <w:r>
        <w:rPr>
          <w:rFonts w:hint="eastAsia" w:ascii="宋体" w:hAnsi="宋体"/>
          <w:b/>
          <w:sz w:val="24"/>
          <w:lang w:val="en-US" w:eastAsia="zh-CN"/>
        </w:rPr>
        <w:t>栏目</w:t>
      </w:r>
      <w:r>
        <w:rPr>
          <w:rFonts w:hint="eastAsia" w:ascii="宋体" w:hAnsi="宋体"/>
          <w:b/>
          <w:sz w:val="24"/>
        </w:rPr>
        <w:t>仅填写规格信息而不填型号信息（型号信息用“定制”描述即可）；</w:t>
      </w:r>
      <w:bookmarkStart w:id="66" w:name="_Hlk73646428"/>
      <w:r>
        <w:rPr>
          <w:rFonts w:hint="eastAsia" w:ascii="宋体" w:hAnsi="宋体"/>
          <w:b/>
          <w:sz w:val="24"/>
        </w:rPr>
        <w:t>此类填写错误</w:t>
      </w:r>
      <w:r>
        <w:rPr>
          <w:rFonts w:hint="eastAsia" w:ascii="宋体" w:hAnsi="宋体"/>
          <w:b/>
          <w:sz w:val="24"/>
          <w:lang w:val="en-US" w:eastAsia="zh-CN"/>
        </w:rPr>
        <w:t>或缺漏</w:t>
      </w:r>
      <w:r>
        <w:rPr>
          <w:rFonts w:hint="eastAsia" w:ascii="宋体" w:hAnsi="宋体"/>
          <w:b/>
          <w:sz w:val="24"/>
        </w:rPr>
        <w:t>（所投货物为定制类的非量产货物但供应商却错误填报了型号）的不利后果</w:t>
      </w:r>
      <w:r>
        <w:rPr>
          <w:rFonts w:hint="eastAsia"/>
          <w:b/>
          <w:sz w:val="24"/>
        </w:rPr>
        <w:t>由供应商承担</w:t>
      </w:r>
      <w:r>
        <w:rPr>
          <w:rFonts w:hint="eastAsia"/>
          <w:b/>
          <w:sz w:val="24"/>
          <w:lang w:eastAsia="zh-CN"/>
        </w:rPr>
        <w:t>。</w:t>
      </w:r>
      <w:r>
        <w:rPr>
          <w:rFonts w:hint="eastAsia"/>
          <w:b/>
          <w:sz w:val="24"/>
        </w:rPr>
        <w:t>经评审委员会认定，在使用综合评分法的项目中一项此类填写错误</w:t>
      </w:r>
      <w:r>
        <w:rPr>
          <w:rFonts w:hint="eastAsia"/>
          <w:b/>
          <w:sz w:val="24"/>
          <w:lang w:val="en-US" w:eastAsia="zh-CN"/>
        </w:rPr>
        <w:t>或缺漏</w:t>
      </w:r>
      <w:r>
        <w:rPr>
          <w:rFonts w:hint="eastAsia"/>
          <w:b/>
          <w:sz w:val="24"/>
        </w:rPr>
        <w:t>将按照一项</w:t>
      </w:r>
      <w:r>
        <w:rPr>
          <w:rFonts w:hint="eastAsia"/>
          <w:b/>
          <w:sz w:val="24"/>
          <w:lang w:val="en-US" w:eastAsia="zh-CN"/>
        </w:rPr>
        <w:t>普通招标技术要求（一般参数/普通参数）</w:t>
      </w:r>
      <w:r>
        <w:rPr>
          <w:rFonts w:hint="eastAsia"/>
          <w:b/>
          <w:sz w:val="24"/>
        </w:rPr>
        <w:t>负偏离扣分处理。</w:t>
      </w:r>
      <w:bookmarkEnd w:id="66"/>
    </w:p>
    <w:p>
      <w:pPr>
        <w:ind w:firstLine="472" w:firstLineChars="196"/>
        <w:rPr>
          <w:rFonts w:ascii="宋体" w:hAnsi="宋体"/>
          <w:b/>
          <w:sz w:val="24"/>
        </w:rPr>
      </w:pPr>
      <w:r>
        <w:rPr>
          <w:rFonts w:ascii="宋体" w:hAnsi="宋体"/>
          <w:b/>
          <w:sz w:val="24"/>
        </w:rPr>
        <w:t>3</w:t>
      </w:r>
      <w:r>
        <w:rPr>
          <w:rFonts w:hint="eastAsia" w:ascii="宋体" w:hAnsi="宋体"/>
          <w:b/>
          <w:sz w:val="24"/>
        </w:rPr>
        <w:t>.“原产地”是指货物的实际生产加工地，非品牌所在地</w:t>
      </w:r>
    </w:p>
    <w:p>
      <w:pPr>
        <w:ind w:firstLine="472" w:firstLineChars="196"/>
        <w:rPr>
          <w:rFonts w:ascii="宋体" w:hAnsi="宋体"/>
          <w:b/>
          <w:sz w:val="24"/>
        </w:rPr>
      </w:pPr>
      <w:r>
        <w:rPr>
          <w:rFonts w:ascii="宋体" w:hAnsi="宋体"/>
          <w:b/>
          <w:sz w:val="24"/>
        </w:rPr>
        <w:t>4</w:t>
      </w:r>
      <w:r>
        <w:rPr>
          <w:rFonts w:hint="eastAsia" w:ascii="宋体" w:hAnsi="宋体"/>
          <w:b/>
          <w:sz w:val="24"/>
        </w:rPr>
        <w:t>.所投货物均应填写制造商名称</w:t>
      </w:r>
      <w:r>
        <w:rPr>
          <w:rFonts w:hint="eastAsia" w:ascii="宋体" w:hAnsi="宋体"/>
          <w:b/>
          <w:sz w:val="24"/>
          <w:lang w:eastAsia="zh-CN"/>
        </w:rPr>
        <w:t>，</w:t>
      </w:r>
      <w:r>
        <w:rPr>
          <w:rFonts w:hint="eastAsia" w:ascii="宋体" w:hAnsi="宋体"/>
          <w:b/>
          <w:sz w:val="24"/>
        </w:rPr>
        <w:t>“制造商”是指产品品牌厂商，产品代工制造的，应填写接受委托生产制造的制造商。</w:t>
      </w:r>
    </w:p>
    <w:p>
      <w:pPr>
        <w:ind w:firstLine="482" w:firstLineChars="200"/>
        <w:rPr>
          <w:rFonts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pPr>
        <w:ind w:firstLine="482" w:firstLineChars="200"/>
        <w:rPr>
          <w:rFonts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pPr>
        <w:ind w:firstLine="482" w:firstLineChars="200"/>
        <w:rPr>
          <w:rFonts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.所有价格应按“招标文件”中规定的货币单位填写；投标总价应为以上各分项价格之和；投标总价和项目报价表中单个采购预算条目报价均不得超过对应的财政预算限额，否则将导致投标无效。</w:t>
      </w:r>
    </w:p>
    <w:p>
      <w:pPr>
        <w:ind w:firstLine="482" w:firstLineChars="200"/>
        <w:rPr>
          <w:rFonts w:ascii="宋体" w:hAnsi="宋体"/>
          <w:b/>
          <w:color w:val="FF0000"/>
          <w:sz w:val="24"/>
        </w:rPr>
      </w:pPr>
    </w:p>
    <w:p>
      <w:pPr>
        <w:ind w:firstLine="482" w:firstLineChars="200"/>
        <w:rPr>
          <w:rFonts w:ascii="宋体" w:hAnsi="宋体"/>
          <w:b/>
          <w:color w:val="FF0000"/>
          <w:sz w:val="24"/>
        </w:rPr>
      </w:pPr>
    </w:p>
    <w:p>
      <w:pPr>
        <w:tabs>
          <w:tab w:val="left" w:pos="720"/>
        </w:tabs>
        <w:jc w:val="center"/>
        <w:rPr>
          <w:b/>
          <w:sz w:val="24"/>
        </w:rPr>
      </w:pPr>
      <w:r>
        <w:rPr>
          <w:rFonts w:hint="eastAsia"/>
          <w:b/>
          <w:sz w:val="24"/>
        </w:rPr>
        <w:t>（二）核心产品品牌</w:t>
      </w:r>
    </w:p>
    <w:p>
      <w:pPr>
        <w:ind w:firstLine="482" w:firstLineChars="200"/>
        <w:rPr>
          <w:rFonts w:ascii="宋体" w:hAnsi="宋体"/>
          <w:b/>
          <w:color w:val="FF0000"/>
          <w:sz w:val="24"/>
        </w:rPr>
      </w:pPr>
    </w:p>
    <w:p>
      <w:pPr>
        <w:ind w:firstLine="482" w:firstLineChars="200"/>
        <w:rPr>
          <w:rFonts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pPr>
        <w:ind w:firstLine="482" w:firstLineChars="200"/>
        <w:rPr>
          <w:rFonts w:ascii="宋体" w:hAnsi="宋体"/>
          <w:b/>
          <w:color w:val="FF0000"/>
          <w:sz w:val="24"/>
        </w:rPr>
      </w:pPr>
    </w:p>
    <w:p>
      <w:pPr>
        <w:ind w:firstLine="480" w:firstLineChars="200"/>
        <w:rPr>
          <w:rFonts w:hint="default" w:ascii="宋体" w:hAnsi="宋体" w:eastAsia="宋体"/>
          <w:sz w:val="24"/>
          <w:lang w:val="en-US" w:eastAsia="zh-CN"/>
        </w:rPr>
      </w:pPr>
      <w:r>
        <w:rPr>
          <w:rFonts w:hint="eastAsia" w:ascii="宋体" w:hAnsi="宋体"/>
          <w:sz w:val="24"/>
        </w:rPr>
        <w:t>备注：</w:t>
      </w:r>
      <w:r>
        <w:rPr>
          <w:rFonts w:hint="eastAsia" w:ascii="宋体" w:hAnsi="宋体"/>
          <w:sz w:val="24"/>
          <w:lang w:val="en-US" w:eastAsia="zh-CN"/>
        </w:rPr>
        <w:t>单一产品采购项目，核心产品即为该单一产品。</w:t>
      </w:r>
    </w:p>
    <w:p>
      <w:pPr>
        <w:ind w:firstLine="482" w:firstLineChars="200"/>
        <w:rPr>
          <w:rFonts w:ascii="宋体" w:hAnsi="宋体"/>
          <w:b/>
          <w:color w:val="FF0000"/>
          <w:sz w:val="24"/>
        </w:rPr>
      </w:pPr>
    </w:p>
    <w:p>
      <w:pPr>
        <w:ind w:firstLine="482" w:firstLineChars="200"/>
        <w:rPr>
          <w:rFonts w:ascii="宋体" w:hAnsi="宋体"/>
          <w:b/>
          <w:color w:val="FF0000"/>
          <w:sz w:val="24"/>
        </w:rPr>
      </w:pPr>
    </w:p>
    <w:p>
      <w:pPr>
        <w:rPr>
          <w:b/>
          <w:sz w:val="24"/>
        </w:rPr>
      </w:pPr>
    </w:p>
    <w:p>
      <w:pPr>
        <w:tabs>
          <w:tab w:val="left" w:pos="720"/>
        </w:tabs>
        <w:ind w:firstLine="1928" w:firstLineChars="800"/>
        <w:rPr>
          <w:b/>
          <w:sz w:val="24"/>
        </w:rPr>
      </w:pPr>
      <w:r>
        <w:rPr>
          <w:rFonts w:hint="eastAsia"/>
          <w:b/>
          <w:sz w:val="24"/>
        </w:rPr>
        <w:t>（三）可选配件报价清单（不包括在总报价内）</w:t>
      </w:r>
    </w:p>
    <w:p>
      <w:pPr>
        <w:ind w:firstLine="422" w:firstLineChars="200"/>
        <w:rPr>
          <w:rFonts w:hAnsi="宋体"/>
          <w:b/>
          <w:bCs/>
          <w:szCs w:val="21"/>
        </w:rPr>
      </w:pPr>
      <w:r>
        <w:rPr>
          <w:rFonts w:hint="eastAsia" w:hAnsi="宋体"/>
          <w:b/>
          <w:bCs/>
          <w:szCs w:val="21"/>
        </w:rPr>
        <w:t>注：格式可以参照《（一）分项报价表》表格，并提供相应的品牌/规格/型号、原产地、制造商信息（没有品牌、型号的，用“定制”描述即可）、单价等详细信息</w:t>
      </w:r>
    </w:p>
    <w:p>
      <w:pPr>
        <w:ind w:firstLine="482" w:firstLineChars="200"/>
        <w:rPr>
          <w:rFonts w:hAnsi="宋体"/>
          <w:b/>
          <w:bCs/>
          <w:sz w:val="24"/>
        </w:rPr>
      </w:pPr>
    </w:p>
    <w:p>
      <w:pPr>
        <w:ind w:firstLine="482" w:firstLineChars="200"/>
        <w:rPr>
          <w:rFonts w:hAnsi="宋体"/>
          <w:b/>
          <w:bCs/>
          <w:sz w:val="24"/>
        </w:rPr>
      </w:pPr>
    </w:p>
    <w:p>
      <w:pPr>
        <w:tabs>
          <w:tab w:val="left" w:pos="720"/>
        </w:tabs>
        <w:jc w:val="center"/>
        <w:rPr>
          <w:b/>
          <w:sz w:val="24"/>
        </w:rPr>
      </w:pPr>
      <w:r>
        <w:rPr>
          <w:rFonts w:hint="eastAsia"/>
          <w:b/>
          <w:sz w:val="24"/>
        </w:rPr>
        <w:t>（四）</w:t>
      </w:r>
      <w:bookmarkStart w:id="67" w:name="_Hlk72073235"/>
      <w:r>
        <w:rPr>
          <w:rFonts w:hint="eastAsia"/>
          <w:b/>
          <w:sz w:val="24"/>
        </w:rPr>
        <w:t>投标人认为需要涉及的其他内容报价清单</w:t>
      </w:r>
      <w:bookmarkEnd w:id="67"/>
    </w:p>
    <w:p>
      <w:pPr>
        <w:rPr>
          <w:b/>
          <w:bCs/>
        </w:rPr>
      </w:pPr>
    </w:p>
    <w:bookmarkEnd w:id="65"/>
    <w:p>
      <w:r>
        <w:br w:type="page"/>
      </w:r>
    </w:p>
    <w:p>
      <w:pPr>
        <w:widowControl w:val="0"/>
        <w:snapToGrid w:val="0"/>
        <w:spacing w:before="0" w:after="0" w:line="240" w:lineRule="auto"/>
        <w:jc w:val="center"/>
        <w:outlineLvl w:val="2"/>
        <w:rPr>
          <w:rFonts w:hint="eastAsia" w:ascii="黑体" w:hAnsi="宋体" w:eastAsia="黑体" w:cs="Times New Roman"/>
          <w:b w:val="0"/>
          <w:bCs/>
          <w:kern w:val="2"/>
          <w:sz w:val="24"/>
          <w:szCs w:val="32"/>
          <w:lang w:val="en-US" w:eastAsia="zh-CN" w:bidi="ar-SA"/>
        </w:rPr>
      </w:pPr>
      <w:bookmarkStart w:id="68" w:name="_Hlk72260530"/>
      <w:r>
        <w:rPr>
          <w:rFonts w:hint="eastAsia" w:ascii="黑体" w:hAnsi="宋体" w:eastAsia="黑体" w:cs="Times New Roman"/>
          <w:b w:val="0"/>
          <w:bCs/>
          <w:kern w:val="2"/>
          <w:sz w:val="24"/>
          <w:szCs w:val="32"/>
          <w:lang w:val="en-US" w:eastAsia="zh-CN" w:bidi="ar-SA"/>
        </w:rPr>
        <w:t>五、供应商基本情况表</w:t>
      </w:r>
    </w:p>
    <w:tbl>
      <w:tblPr>
        <w:tblStyle w:val="4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1427"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项目名称及编号</w:t>
            </w:r>
          </w:p>
        </w:tc>
        <w:tc>
          <w:tcPr>
            <w:tcW w:w="1669" w:type="pct"/>
            <w:gridSpan w:val="2"/>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gridSpan w:val="2"/>
            <w:noWrap w:val="0"/>
            <w:vAlign w:val="center"/>
          </w:tcPr>
          <w:p>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pPr>
        <w:pStyle w:val="2"/>
        <w:rPr>
          <w:rFonts w:hint="eastAsia" w:ascii="宋体" w:hAnsi="宋体"/>
          <w:b/>
          <w:color w:val="FF0000"/>
          <w:sz w:val="28"/>
          <w:szCs w:val="28"/>
        </w:rPr>
      </w:pPr>
    </w:p>
    <w:p>
      <w:pPr>
        <w:pStyle w:val="4"/>
        <w:jc w:val="center"/>
        <w:rPr>
          <w:rFonts w:ascii="黑体" w:eastAsia="黑体"/>
          <w:b w:val="0"/>
          <w:sz w:val="24"/>
        </w:rPr>
      </w:pPr>
      <w:r>
        <w:rPr>
          <w:rFonts w:hint="eastAsia" w:ascii="黑体" w:eastAsia="黑体"/>
          <w:b w:val="0"/>
          <w:sz w:val="24"/>
          <w:lang w:val="en-US" w:eastAsia="zh-CN"/>
        </w:rPr>
        <w:t>六</w:t>
      </w:r>
      <w:r>
        <w:rPr>
          <w:rFonts w:hint="eastAsia" w:ascii="黑体" w:eastAsia="黑体"/>
          <w:b w:val="0"/>
          <w:sz w:val="24"/>
        </w:rPr>
        <w:t>、</w:t>
      </w:r>
      <w:bookmarkStart w:id="69" w:name="_Hlk72092499"/>
      <w:r>
        <w:rPr>
          <w:rFonts w:hint="eastAsia" w:ascii="黑体" w:eastAsia="黑体"/>
          <w:b w:val="0"/>
          <w:sz w:val="24"/>
        </w:rPr>
        <w:t>法定代表人（负责人）证明书</w:t>
      </w:r>
      <w:bookmarkEnd w:id="69"/>
    </w:p>
    <w:p>
      <w:pPr>
        <w:rPr>
          <w:sz w:val="24"/>
        </w:rPr>
      </w:pPr>
    </w:p>
    <w:p>
      <w:pPr>
        <w:spacing w:line="360" w:lineRule="auto"/>
        <w:ind w:firstLine="420" w:firstLineChars="200"/>
        <w:rPr>
          <w:rFonts w:hint="default" w:eastAsia="宋体"/>
          <w:szCs w:val="21"/>
          <w:lang w:val="en-US" w:eastAsia="zh-CN"/>
        </w:rPr>
      </w:pP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single"/>
          <w:lang w:val="en-US" w:eastAsia="zh-CN"/>
        </w:rPr>
        <w:t xml:space="preserve">   </w:t>
      </w:r>
      <w:r>
        <w:rPr>
          <w:rFonts w:hint="eastAsia"/>
          <w:szCs w:val="21"/>
          <w:u w:val="none"/>
          <w:lang w:eastAsia="zh-CN"/>
        </w:rPr>
        <w:t>（</w:t>
      </w:r>
      <w:r>
        <w:rPr>
          <w:rFonts w:hint="eastAsia"/>
          <w:szCs w:val="21"/>
          <w:u w:val="none"/>
          <w:lang w:val="en-US" w:eastAsia="zh-CN"/>
        </w:rPr>
        <w:t>姓名</w:t>
      </w:r>
      <w:r>
        <w:rPr>
          <w:rFonts w:hint="eastAsia"/>
          <w:szCs w:val="21"/>
          <w:u w:val="none"/>
          <w:lang w:eastAsia="zh-CN"/>
        </w:rPr>
        <w:t>）</w:t>
      </w:r>
      <w:r>
        <w:rPr>
          <w:rFonts w:hint="eastAsia"/>
          <w:szCs w:val="21"/>
        </w:rPr>
        <w:t>，现任我单位</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szCs w:val="21"/>
          <w:lang w:val="en-US" w:eastAsia="zh-CN"/>
        </w:rPr>
        <w:t>身份证件</w:t>
      </w:r>
      <w:r>
        <w:rPr>
          <w:rFonts w:hint="eastAsia"/>
          <w:szCs w:val="21"/>
        </w:rPr>
        <w:t>号</w:t>
      </w:r>
      <w:r>
        <w:rPr>
          <w:rFonts w:hint="eastAsia"/>
          <w:szCs w:val="21"/>
          <w:lang w:val="en-US" w:eastAsia="zh-CN"/>
        </w:rPr>
        <w:t>为</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联系电话：</w:t>
      </w:r>
      <w:r>
        <w:rPr>
          <w:rFonts w:hint="eastAsia"/>
          <w:szCs w:val="21"/>
          <w:u w:val="single"/>
          <w:lang w:val="en-US" w:eastAsia="zh-CN"/>
        </w:rPr>
        <w:t xml:space="preserve">                </w:t>
      </w:r>
      <w:r>
        <w:rPr>
          <w:rFonts w:hint="eastAsia"/>
          <w:szCs w:val="21"/>
          <w:lang w:val="en-US" w:eastAsia="zh-CN"/>
        </w:rPr>
        <w:t>。</w:t>
      </w:r>
    </w:p>
    <w:p>
      <w:pPr>
        <w:spacing w:line="360" w:lineRule="auto"/>
        <w:ind w:firstLine="420" w:firstLineChars="200"/>
        <w:rPr>
          <w:szCs w:val="21"/>
        </w:rPr>
      </w:pPr>
      <w:r>
        <w:rPr>
          <w:rFonts w:hint="eastAsia"/>
          <w:szCs w:val="21"/>
        </w:rPr>
        <w:t>特此证明。</w:t>
      </w:r>
    </w:p>
    <w:p>
      <w:pPr>
        <w:spacing w:line="360" w:lineRule="auto"/>
        <w:ind w:firstLine="420" w:firstLineChars="200"/>
        <w:rPr>
          <w:rFonts w:hint="eastAsia"/>
          <w:szCs w:val="21"/>
        </w:rPr>
      </w:pPr>
      <w:r>
        <w:rPr>
          <w:rFonts w:hint="eastAsia"/>
          <w:szCs w:val="21"/>
        </w:rPr>
        <w:t>说明：1、法定代表人为投标人（企业事业单位、国家机关、社会团体）的主要行政负责人。</w:t>
      </w:r>
    </w:p>
    <w:p>
      <w:pPr>
        <w:numPr>
          <w:ilvl w:val="0"/>
          <w:numId w:val="9"/>
        </w:numPr>
        <w:spacing w:line="360" w:lineRule="auto"/>
        <w:ind w:firstLine="420" w:firstLineChars="200"/>
        <w:rPr>
          <w:rFonts w:hint="eastAsia"/>
          <w:color w:val="auto"/>
          <w:szCs w:val="21"/>
          <w:lang w:val="en-US" w:eastAsia="zh-CN"/>
        </w:rPr>
      </w:pPr>
      <w:r>
        <w:rPr>
          <w:rFonts w:hint="eastAsia"/>
          <w:color w:val="auto"/>
          <w:szCs w:val="21"/>
          <w:lang w:eastAsia="zh-Hans"/>
        </w:rPr>
        <w:t>本证明书要供法定代表人（负责人）</w:t>
      </w:r>
      <w:r>
        <w:rPr>
          <w:rFonts w:hint="eastAsia"/>
          <w:color w:val="auto"/>
          <w:szCs w:val="21"/>
          <w:lang w:val="en-US" w:eastAsia="zh-CN"/>
        </w:rPr>
        <w:t>相关身份证明文件：身份证扫描件（正反两面）；港澳台居民可提供来往通行证扫描件；非中国国籍管辖范围人员，可提供公安部门认可的身份证明材料扫描件。</w:t>
      </w:r>
    </w:p>
    <w:p>
      <w:pPr>
        <w:numPr>
          <w:ilvl w:val="0"/>
          <w:numId w:val="9"/>
        </w:numPr>
        <w:spacing w:line="360" w:lineRule="auto"/>
        <w:ind w:firstLine="420" w:firstLineChars="200"/>
        <w:rPr>
          <w:szCs w:val="21"/>
        </w:rPr>
      </w:pPr>
      <w:r>
        <w:rPr>
          <w:rFonts w:hint="eastAsia"/>
          <w:color w:val="auto"/>
          <w:szCs w:val="21"/>
          <w:lang w:eastAsia="zh-Hans"/>
        </w:rPr>
        <w:t>本项目投标授权代表为法定代表人（负责人）的，无需提供</w:t>
      </w:r>
      <w:r>
        <w:rPr>
          <w:rFonts w:hint="eastAsia"/>
          <w:color w:val="auto"/>
          <w:szCs w:val="21"/>
        </w:rPr>
        <w:t>《投标文件签署授权委托书》</w:t>
      </w:r>
      <w:r>
        <w:rPr>
          <w:rFonts w:hint="eastAsia"/>
          <w:color w:val="auto"/>
          <w:szCs w:val="21"/>
          <w:lang w:eastAsia="zh-Hans"/>
        </w:rPr>
        <w:t>。</w:t>
      </w:r>
    </w:p>
    <w:p>
      <w:pPr>
        <w:numPr>
          <w:ilvl w:val="0"/>
          <w:numId w:val="9"/>
        </w:numPr>
        <w:spacing w:line="360" w:lineRule="auto"/>
        <w:ind w:firstLine="420" w:firstLineChars="200"/>
        <w:rPr>
          <w:szCs w:val="21"/>
        </w:rPr>
      </w:pPr>
      <w:r>
        <w:rPr>
          <w:rFonts w:hint="eastAsia"/>
          <w:szCs w:val="21"/>
        </w:rPr>
        <w:t>内容必须填写真实、清楚，涂改无效，不得转让、买卖。</w:t>
      </w:r>
    </w:p>
    <w:tbl>
      <w:tblPr>
        <w:tblStyle w:val="46"/>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lang w:val="en-US" w:eastAsia="zh-CN"/>
              </w:rPr>
              <w:t>证件扫描件正面</w:t>
            </w:r>
          </w:p>
          <w:p>
            <w:pPr>
              <w:pStyle w:val="9"/>
              <w:jc w:val="center"/>
              <w:rPr>
                <w:rFonts w:hint="eastAsia"/>
                <w:lang w:val="en-US" w:eastAsia="zh-CN"/>
              </w:rPr>
            </w:pPr>
          </w:p>
          <w:p>
            <w:pPr>
              <w:pStyle w:val="38"/>
              <w:jc w:val="center"/>
              <w:rPr>
                <w:rFonts w:hint="default"/>
                <w:lang w:val="en-US" w:eastAsia="zh-CN"/>
              </w:rPr>
            </w:pPr>
          </w:p>
          <w:p>
            <w:pPr>
              <w:pStyle w:val="38"/>
              <w:jc w:val="center"/>
              <w:rPr>
                <w:rFonts w:hint="default"/>
                <w:lang w:val="en-US" w:eastAsia="zh-CN"/>
              </w:rPr>
            </w:pPr>
          </w:p>
          <w:p>
            <w:pPr>
              <w:pStyle w:val="38"/>
              <w:jc w:val="center"/>
              <w:rPr>
                <w:rFonts w:hint="default"/>
                <w:lang w:val="en-US" w:eastAsia="zh-CN"/>
              </w:rPr>
            </w:pPr>
          </w:p>
          <w:p>
            <w:pPr>
              <w:pStyle w:val="38"/>
              <w:jc w:val="center"/>
              <w:rPr>
                <w:rFonts w:hint="default"/>
                <w:lang w:val="en-US" w:eastAsia="zh-CN"/>
              </w:rPr>
            </w:pPr>
          </w:p>
          <w:p>
            <w:pPr>
              <w:pStyle w:val="38"/>
              <w:jc w:val="center"/>
              <w:rPr>
                <w:rFonts w:hint="default"/>
                <w:lang w:val="en-US" w:eastAsia="zh-CN"/>
              </w:rPr>
            </w:pPr>
          </w:p>
          <w:p>
            <w:pPr>
              <w:pStyle w:val="38"/>
              <w:jc w:val="center"/>
              <w:rPr>
                <w:rFonts w:hint="default"/>
                <w:lang w:val="en-US" w:eastAsia="zh-CN"/>
              </w:rPr>
            </w:pPr>
          </w:p>
        </w:tc>
        <w:tc>
          <w:tcPr>
            <w:tcW w:w="4265" w:type="dxa"/>
            <w:vAlign w:val="top"/>
          </w:tcPr>
          <w:p>
            <w:pPr>
              <w:jc w:val="center"/>
              <w:rPr>
                <w:rFonts w:hint="eastAsia"/>
                <w:lang w:val="en-US" w:eastAsia="zh-CN"/>
              </w:rPr>
            </w:pPr>
            <w:r>
              <w:rPr>
                <w:rFonts w:hint="eastAsia"/>
                <w:lang w:val="en-US" w:eastAsia="zh-CN"/>
              </w:rPr>
              <w:t>证件扫描件反面</w:t>
            </w:r>
          </w:p>
          <w:p>
            <w:pPr>
              <w:pStyle w:val="9"/>
              <w:jc w:val="center"/>
              <w:rPr>
                <w:rFonts w:hint="eastAsia"/>
                <w:lang w:val="en-US" w:eastAsia="zh-CN"/>
              </w:rPr>
            </w:pPr>
          </w:p>
          <w:p>
            <w:pPr>
              <w:pStyle w:val="38"/>
              <w:jc w:val="center"/>
              <w:rPr>
                <w:rFonts w:hint="eastAsia"/>
                <w:sz w:val="24"/>
                <w:vertAlign w:val="baseline"/>
                <w:lang w:val="en-US" w:eastAsia="zh-CN"/>
              </w:rPr>
            </w:pPr>
          </w:p>
        </w:tc>
      </w:tr>
    </w:tbl>
    <w:p>
      <w:pPr>
        <w:rPr>
          <w:sz w:val="24"/>
        </w:rPr>
      </w:pPr>
    </w:p>
    <w:p>
      <w:pPr>
        <w:pStyle w:val="2"/>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pStyle w:val="2"/>
        <w:rPr>
          <w:sz w:val="24"/>
        </w:rPr>
      </w:pPr>
    </w:p>
    <w:p>
      <w:pPr>
        <w:pStyle w:val="2"/>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2"/>
        <w:rPr>
          <w:sz w:val="24"/>
        </w:rPr>
      </w:pPr>
    </w:p>
    <w:p>
      <w:pPr>
        <w:pStyle w:val="4"/>
        <w:spacing w:before="120" w:after="120"/>
        <w:jc w:val="center"/>
        <w:rPr>
          <w:rFonts w:ascii="黑体" w:eastAsia="黑体"/>
          <w:b w:val="0"/>
          <w:sz w:val="24"/>
        </w:rPr>
      </w:pPr>
      <w:r>
        <w:rPr>
          <w:rFonts w:hint="eastAsia" w:ascii="黑体" w:eastAsia="黑体"/>
          <w:b w:val="0"/>
          <w:sz w:val="24"/>
          <w:lang w:val="en-US" w:eastAsia="zh-CN"/>
        </w:rPr>
        <w:t>七</w:t>
      </w:r>
      <w:r>
        <w:rPr>
          <w:rFonts w:hint="eastAsia" w:ascii="黑体" w:eastAsia="黑体"/>
          <w:b w:val="0"/>
          <w:sz w:val="24"/>
        </w:rPr>
        <w:t>、投标文件签署授权委托书</w:t>
      </w:r>
    </w:p>
    <w:p>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rFonts w:hint="eastAsia"/>
          <w:szCs w:val="21"/>
        </w:rPr>
      </w:pPr>
      <w:r>
        <w:rPr>
          <w:rFonts w:hint="eastAsia"/>
          <w:szCs w:val="21"/>
        </w:rPr>
        <w:t>代理人无转委托权，特此委托。</w:t>
      </w:r>
    </w:p>
    <w:p>
      <w:pPr>
        <w:spacing w:line="360" w:lineRule="auto"/>
        <w:ind w:firstLine="420" w:firstLineChars="200"/>
        <w:rPr>
          <w:rFonts w:hint="eastAsia"/>
          <w:szCs w:val="21"/>
        </w:rPr>
      </w:pPr>
    </w:p>
    <w:p>
      <w:pPr>
        <w:spacing w:line="360" w:lineRule="auto"/>
        <w:ind w:firstLine="420" w:firstLineChars="200"/>
        <w:rPr>
          <w:rFonts w:hint="eastAsia"/>
          <w:szCs w:val="21"/>
          <w:u w:val="none"/>
          <w:lang w:eastAsia="zh-CN"/>
        </w:rPr>
      </w:pPr>
      <w:r>
        <w:rPr>
          <w:rFonts w:hint="eastAsia"/>
          <w:szCs w:val="21"/>
        </w:rPr>
        <w:t>代理人</w:t>
      </w:r>
      <w:r>
        <w:rPr>
          <w:rFonts w:hint="eastAsia"/>
          <w:szCs w:val="21"/>
          <w:lang w:eastAsia="zh-CN"/>
        </w:rPr>
        <w:t>：</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eastAsia"/>
          <w:szCs w:val="21"/>
          <w:u w:val="none"/>
          <w:lang w:eastAsia="zh-CN"/>
        </w:rPr>
      </w:pPr>
      <w:r>
        <w:rPr>
          <w:rFonts w:hint="eastAsia"/>
          <w:szCs w:val="21"/>
        </w:rPr>
        <w:t>身份</w:t>
      </w:r>
      <w:r>
        <w:rPr>
          <w:rFonts w:hint="eastAsia"/>
          <w:szCs w:val="21"/>
          <w:lang w:val="en-US" w:eastAsia="zh-CN"/>
        </w:rPr>
        <w:t>证件号</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职务：</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szCs w:val="21"/>
          <w:lang w:eastAsia="zh-CN"/>
        </w:rPr>
        <w:t>，</w:t>
      </w:r>
      <w:r>
        <w:rPr>
          <w:rFonts w:hint="eastAsia"/>
          <w:szCs w:val="21"/>
        </w:rPr>
        <w:t>手机：</w:t>
      </w:r>
      <w:r>
        <w:rPr>
          <w:rFonts w:hint="eastAsia"/>
          <w:szCs w:val="21"/>
          <w:u w:val="single"/>
        </w:rPr>
        <w:t xml:space="preserve">                   </w:t>
      </w:r>
      <w:r>
        <w:rPr>
          <w:rFonts w:hint="eastAsia"/>
          <w:szCs w:val="21"/>
          <w:u w:val="none"/>
          <w:lang w:eastAsia="zh-CN"/>
        </w:rPr>
        <w:t>，</w:t>
      </w:r>
      <w:r>
        <w:rPr>
          <w:rFonts w:hint="eastAsia"/>
          <w:szCs w:val="21"/>
          <w:u w:val="none"/>
          <w:lang w:val="en-US" w:eastAsia="zh-CN"/>
        </w:rPr>
        <w:t>电子邮箱：</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pPr>
        <w:spacing w:line="360" w:lineRule="auto"/>
        <w:ind w:firstLine="420" w:firstLineChars="200"/>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szCs w:val="21"/>
          <w:lang w:eastAsia="zh-CN"/>
        </w:rPr>
        <w:t>。</w:t>
      </w:r>
    </w:p>
    <w:p>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6"/>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ascii="Times New Roman" w:eastAsia="宋体"/>
                <w:lang w:val="en-US" w:eastAsia="zh-CN"/>
              </w:rPr>
              <w:t>证件扫描件正面</w:t>
            </w:r>
          </w:p>
          <w:p>
            <w:pPr>
              <w:pStyle w:val="9"/>
              <w:jc w:val="center"/>
              <w:rPr>
                <w:rFonts w:hint="eastAsia"/>
                <w:lang w:val="en-US" w:eastAsia="zh-CN"/>
              </w:rPr>
            </w:pPr>
          </w:p>
          <w:p>
            <w:pPr>
              <w:pStyle w:val="38"/>
              <w:jc w:val="center"/>
              <w:rPr>
                <w:rFonts w:hint="default"/>
                <w:lang w:val="en-US" w:eastAsia="zh-CN"/>
              </w:rPr>
            </w:pPr>
          </w:p>
          <w:p>
            <w:pPr>
              <w:pStyle w:val="38"/>
              <w:jc w:val="center"/>
              <w:rPr>
                <w:rFonts w:hint="default"/>
                <w:lang w:val="en-US" w:eastAsia="zh-CN"/>
              </w:rPr>
            </w:pPr>
          </w:p>
          <w:p>
            <w:pPr>
              <w:pStyle w:val="38"/>
              <w:jc w:val="center"/>
              <w:rPr>
                <w:rFonts w:hint="default"/>
                <w:lang w:val="en-US" w:eastAsia="zh-CN"/>
              </w:rPr>
            </w:pPr>
          </w:p>
          <w:p>
            <w:pPr>
              <w:pStyle w:val="38"/>
              <w:jc w:val="center"/>
              <w:rPr>
                <w:rFonts w:hint="default"/>
                <w:lang w:val="en-US" w:eastAsia="zh-CN"/>
              </w:rPr>
            </w:pPr>
          </w:p>
          <w:p>
            <w:pPr>
              <w:pStyle w:val="38"/>
              <w:jc w:val="center"/>
              <w:rPr>
                <w:rFonts w:hint="default"/>
                <w:lang w:val="en-US" w:eastAsia="zh-CN"/>
              </w:rPr>
            </w:pPr>
          </w:p>
          <w:p>
            <w:pPr>
              <w:pStyle w:val="38"/>
              <w:jc w:val="center"/>
              <w:rPr>
                <w:rFonts w:hint="default"/>
                <w:lang w:val="en-US" w:eastAsia="zh-CN"/>
              </w:rPr>
            </w:pPr>
          </w:p>
        </w:tc>
        <w:tc>
          <w:tcPr>
            <w:tcW w:w="4265" w:type="dxa"/>
            <w:vAlign w:val="top"/>
          </w:tcPr>
          <w:p>
            <w:pPr>
              <w:jc w:val="center"/>
              <w:rPr>
                <w:rFonts w:hint="eastAsia"/>
                <w:lang w:val="en-US" w:eastAsia="zh-CN"/>
              </w:rPr>
            </w:pPr>
            <w:r>
              <w:rPr>
                <w:rFonts w:hint="eastAsia" w:ascii="Times New Roman" w:eastAsia="宋体"/>
                <w:lang w:val="en-US" w:eastAsia="zh-CN"/>
              </w:rPr>
              <w:t>证件扫描件反面</w:t>
            </w:r>
          </w:p>
          <w:p>
            <w:pPr>
              <w:pStyle w:val="9"/>
              <w:jc w:val="center"/>
              <w:rPr>
                <w:rFonts w:hint="eastAsia"/>
                <w:lang w:val="en-US" w:eastAsia="zh-CN"/>
              </w:rPr>
            </w:pPr>
          </w:p>
          <w:p>
            <w:pPr>
              <w:pStyle w:val="38"/>
              <w:jc w:val="center"/>
              <w:rPr>
                <w:rFonts w:hint="eastAsia"/>
                <w:sz w:val="24"/>
                <w:vertAlign w:val="baseline"/>
                <w:lang w:val="en-US" w:eastAsia="zh-CN"/>
              </w:rPr>
            </w:pPr>
          </w:p>
        </w:tc>
      </w:tr>
    </w:tbl>
    <w:p>
      <w:pPr>
        <w:widowControl w:val="0"/>
        <w:jc w:val="both"/>
        <w:rPr>
          <w:rFonts w:hint="eastAsia" w:ascii="黑体" w:hAnsi="黑体" w:eastAsia="黑体" w:cs="黑体"/>
          <w:b/>
          <w:bCs/>
          <w:color w:val="auto"/>
          <w:kern w:val="2"/>
          <w:sz w:val="24"/>
          <w:szCs w:val="24"/>
          <w:u w:val="none"/>
          <w:lang w:val="en-US" w:eastAsia="zh-CN" w:bidi="ar-SA"/>
        </w:rPr>
      </w:pPr>
    </w:p>
    <w:p>
      <w:pPr>
        <w:widowControl w:val="0"/>
        <w:jc w:val="both"/>
        <w:rPr>
          <w:rFonts w:ascii="Calibri" w:hAnsi="Calibri" w:eastAsia="宋体" w:cs="Times New Roman"/>
          <w:kern w:val="2"/>
          <w:sz w:val="21"/>
          <w:szCs w:val="22"/>
          <w:lang w:val="en-US" w:eastAsia="zh-CN" w:bidi="ar-SA"/>
        </w:rPr>
      </w:pPr>
      <w:r>
        <w:rPr>
          <w:rFonts w:hint="eastAsia" w:ascii="黑体" w:hAnsi="黑体" w:eastAsia="黑体" w:cs="黑体"/>
          <w:b/>
          <w:bCs/>
          <w:color w:val="auto"/>
          <w:kern w:val="2"/>
          <w:sz w:val="24"/>
          <w:szCs w:val="24"/>
          <w:u w:val="none"/>
          <w:lang w:val="en-US" w:eastAsia="zh-CN" w:bidi="ar-SA"/>
        </w:rPr>
        <w:t>温馨提示</w:t>
      </w:r>
      <w:r>
        <w:rPr>
          <w:rFonts w:hint="eastAsia" w:ascii="黑体" w:hAnsi="黑体" w:eastAsia="黑体" w:cs="黑体"/>
          <w:color w:val="auto"/>
          <w:kern w:val="2"/>
          <w:sz w:val="24"/>
          <w:szCs w:val="24"/>
          <w:u w:val="none"/>
          <w:lang w:val="en-US" w:eastAsia="zh-CN" w:bidi="ar-SA"/>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widowControl w:val="0"/>
        <w:jc w:val="both"/>
        <w:rPr>
          <w:rFonts w:ascii="Calibri" w:hAnsi="Calibri" w:eastAsia="宋体" w:cs="Times New Roman"/>
          <w:kern w:val="2"/>
          <w:sz w:val="21"/>
          <w:szCs w:val="22"/>
          <w:lang w:val="en-US" w:eastAsia="zh-CN" w:bidi="ar-SA"/>
        </w:rPr>
      </w:pPr>
    </w:p>
    <w:p>
      <w:pPr>
        <w:widowControl w:val="0"/>
        <w:jc w:val="both"/>
        <w:rPr>
          <w:rFonts w:ascii="Calibri" w:hAnsi="Calibri" w:eastAsia="宋体" w:cs="Times New Roman"/>
          <w:kern w:val="2"/>
          <w:sz w:val="21"/>
          <w:szCs w:val="22"/>
          <w:lang w:val="en-US" w:eastAsia="zh-CN" w:bidi="ar-SA"/>
        </w:rPr>
      </w:pPr>
    </w:p>
    <w:p>
      <w:pPr>
        <w:widowControl w:val="0"/>
        <w:jc w:val="both"/>
        <w:rPr>
          <w:rFonts w:hint="eastAsia" w:ascii="Calibri" w:hAnsi="Calibri" w:eastAsia="宋体" w:cs="Times New Roman"/>
          <w:kern w:val="2"/>
          <w:sz w:val="21"/>
          <w:szCs w:val="22"/>
          <w:lang w:val="en-US" w:eastAsia="zh-CN" w:bidi="ar-SA"/>
        </w:rPr>
      </w:pPr>
    </w:p>
    <w:p>
      <w:pPr>
        <w:rPr>
          <w:rFonts w:hint="eastAsia" w:ascii="黑体" w:eastAsia="黑体"/>
          <w:b w:val="0"/>
          <w:kern w:val="0"/>
          <w:sz w:val="24"/>
          <w:szCs w:val="24"/>
        </w:rPr>
      </w:pPr>
    </w:p>
    <w:p>
      <w:pPr>
        <w:pStyle w:val="2"/>
        <w:rPr>
          <w:rFonts w:hint="eastAsia" w:ascii="黑体" w:eastAsia="黑体"/>
          <w:b w:val="0"/>
          <w:kern w:val="0"/>
          <w:sz w:val="24"/>
          <w:szCs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4"/>
        <w:jc w:val="center"/>
        <w:rPr>
          <w:rFonts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w:t>
      </w:r>
      <w:bookmarkStart w:id="70" w:name="_Hlk72092634"/>
      <w:r>
        <w:rPr>
          <w:rFonts w:hint="eastAsia" w:ascii="黑体" w:eastAsia="黑体"/>
          <w:b w:val="0"/>
          <w:kern w:val="0"/>
          <w:sz w:val="24"/>
          <w:szCs w:val="24"/>
        </w:rPr>
        <w:t>实质性条款响应情况表</w:t>
      </w:r>
      <w:bookmarkEnd w:id="70"/>
    </w:p>
    <w:tbl>
      <w:tblPr>
        <w:tblStyle w:val="4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360" w:lineRule="auto"/>
              <w:jc w:val="center"/>
              <w:rPr>
                <w:rFonts w:ascii="宋体" w:hAnsi="宋体"/>
                <w:kern w:val="0"/>
                <w:szCs w:val="21"/>
              </w:rPr>
            </w:pPr>
            <w:bookmarkStart w:id="71" w:name="_Hlk72092651"/>
            <w:r>
              <w:rPr>
                <w:rFonts w:hint="eastAsia" w:ascii="宋体" w:hAnsi="宋体"/>
                <w:kern w:val="0"/>
                <w:szCs w:val="21"/>
              </w:rPr>
              <w:t>序号</w:t>
            </w:r>
          </w:p>
        </w:tc>
        <w:tc>
          <w:tcPr>
            <w:tcW w:w="2664"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88" w:type="dxa"/>
            <w:vAlign w:val="center"/>
          </w:tcPr>
          <w:p>
            <w:pPr>
              <w:adjustRightInd w:val="0"/>
              <w:snapToGrid w:val="0"/>
              <w:spacing w:line="360" w:lineRule="auto"/>
              <w:jc w:val="center"/>
              <w:rPr>
                <w:rFonts w:ascii="宋体" w:hAnsi="宋体"/>
                <w:kern w:val="0"/>
                <w:szCs w:val="21"/>
              </w:rPr>
            </w:pPr>
            <w:r>
              <w:rPr>
                <w:rFonts w:hint="eastAsia"/>
              </w:rPr>
              <w:t>投标响应</w:t>
            </w:r>
          </w:p>
        </w:tc>
        <w:tc>
          <w:tcPr>
            <w:tcW w:w="1842" w:type="dxa"/>
            <w:vAlign w:val="center"/>
          </w:tcPr>
          <w:p>
            <w:pPr>
              <w:adjustRightInd w:val="0"/>
              <w:snapToGrid w:val="0"/>
              <w:spacing w:line="360" w:lineRule="auto"/>
              <w:jc w:val="center"/>
              <w:rPr>
                <w:rFonts w:ascii="宋体" w:hAnsi="宋体"/>
                <w:kern w:val="0"/>
                <w:szCs w:val="21"/>
              </w:rPr>
            </w:pPr>
            <w:r>
              <w:rPr>
                <w:rFonts w:hint="eastAsia"/>
              </w:rPr>
              <w:t>偏离情况</w:t>
            </w:r>
          </w:p>
        </w:tc>
        <w:tc>
          <w:tcPr>
            <w:tcW w:w="1418" w:type="dxa"/>
            <w:vAlign w:val="center"/>
          </w:tcPr>
          <w:p>
            <w:pPr>
              <w:adjustRightInd w:val="0"/>
              <w:snapToGrid w:val="0"/>
              <w:spacing w:line="360" w:lineRule="auto"/>
              <w:jc w:val="center"/>
              <w:rPr>
                <w:rFonts w:ascii="宋体" w:hAnsi="宋体"/>
                <w:kern w:val="0"/>
                <w:szCs w:val="21"/>
              </w:rPr>
            </w:pPr>
            <w:r>
              <w:rPr>
                <w:rFonts w:hint="eastAsia"/>
              </w:rPr>
              <w:t>说明</w:t>
            </w:r>
          </w:p>
        </w:tc>
      </w:tr>
      <w:bookmarkEnd w:id="7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line="360" w:lineRule="auto"/>
              <w:jc w:val="center"/>
              <w:rPr>
                <w:rFonts w:hint="eastAsia" w:ascii="宋体" w:hAnsi="宋体" w:eastAsia="宋体"/>
                <w:kern w:val="0"/>
                <w:szCs w:val="21"/>
                <w:lang w:eastAsia="zh-CN"/>
              </w:rPr>
            </w:pPr>
            <w:r>
              <w:rPr>
                <w:rFonts w:hint="eastAsia" w:ascii="宋体" w:hAnsi="宋体"/>
                <w:kern w:val="0"/>
                <w:szCs w:val="21"/>
                <w:lang w:val="en-US" w:eastAsia="zh-CN"/>
              </w:rPr>
              <w:t>1</w:t>
            </w:r>
          </w:p>
        </w:tc>
        <w:tc>
          <w:tcPr>
            <w:tcW w:w="2664" w:type="dxa"/>
            <w:vAlign w:val="top"/>
          </w:tcPr>
          <w:p>
            <w:pPr>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2.1★适用于6个月以上婴幼儿及儿童屈光度的初步测定;测量数据不可用作验光处方。</w:t>
            </w:r>
          </w:p>
        </w:tc>
        <w:tc>
          <w:tcPr>
            <w:tcW w:w="1588"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line="360"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2</w:t>
            </w:r>
          </w:p>
        </w:tc>
        <w:tc>
          <w:tcPr>
            <w:tcW w:w="2664" w:type="dxa"/>
            <w:vAlign w:val="top"/>
          </w:tcPr>
          <w:p>
            <w:pPr>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2.13.</w:t>
            </w:r>
            <w:r>
              <w:rPr>
                <w:rFonts w:hint="eastAsia" w:ascii="宋体" w:hAnsi="宋体" w:eastAsia="宋体" w:cs="宋体"/>
                <w:b w:val="0"/>
                <w:bCs w:val="0"/>
                <w:color w:val="auto"/>
                <w:sz w:val="21"/>
                <w:szCs w:val="21"/>
                <w:lang w:eastAsia="zh-CN"/>
              </w:rPr>
              <w:t>对接</w:t>
            </w:r>
            <w:r>
              <w:rPr>
                <w:rFonts w:hint="eastAsia" w:ascii="宋体" w:hAnsi="宋体" w:eastAsia="宋体" w:cs="宋体"/>
                <w:b w:val="0"/>
                <w:bCs w:val="0"/>
                <w:color w:val="auto"/>
                <w:spacing w:val="9"/>
                <w:kern w:val="0"/>
                <w:sz w:val="21"/>
                <w:szCs w:val="21"/>
                <w:lang w:eastAsia="zh-CN"/>
              </w:rPr>
              <w:t>深圳市妇幼保健管理信息系统</w:t>
            </w:r>
            <w:r>
              <w:rPr>
                <w:rFonts w:hint="eastAsia" w:ascii="宋体" w:hAnsi="宋体" w:eastAsia="宋体" w:cs="宋体"/>
                <w:b w:val="0"/>
                <w:bCs w:val="0"/>
                <w:color w:val="auto"/>
                <w:spacing w:val="9"/>
                <w:kern w:val="0"/>
                <w:sz w:val="21"/>
                <w:szCs w:val="21"/>
                <w:lang w:val="en-US" w:eastAsia="zh-CN"/>
              </w:rPr>
              <w:t>近视防控模块</w:t>
            </w:r>
            <w:r>
              <w:rPr>
                <w:rFonts w:hint="eastAsia" w:ascii="宋体" w:hAnsi="宋体" w:eastAsia="宋体" w:cs="宋体"/>
                <w:b w:val="0"/>
                <w:bCs w:val="0"/>
                <w:color w:val="auto"/>
                <w:sz w:val="21"/>
                <w:szCs w:val="21"/>
              </w:rPr>
              <w:t>，且无需二次开发</w:t>
            </w:r>
          </w:p>
        </w:tc>
        <w:tc>
          <w:tcPr>
            <w:tcW w:w="1588"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line="360"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3</w:t>
            </w:r>
          </w:p>
        </w:tc>
        <w:tc>
          <w:tcPr>
            <w:tcW w:w="26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Times New Roman"/>
                <w:b w:val="0"/>
                <w:bCs w:val="0"/>
                <w:color w:val="auto"/>
                <w:kern w:val="0"/>
                <w:sz w:val="21"/>
                <w:szCs w:val="21"/>
                <w:lang w:val="en-US" w:eastAsia="zh-CN" w:bidi="ar-SA"/>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pacing w:val="9"/>
                <w:kern w:val="0"/>
                <w:sz w:val="21"/>
                <w:szCs w:val="21"/>
                <w:lang w:eastAsia="zh-CN"/>
              </w:rPr>
              <w:t>1.1提供主机及配件免费保修期5年，保修期以验收合格，双方代表签署“验收报告”之日起计算。</w:t>
            </w:r>
          </w:p>
        </w:tc>
        <w:tc>
          <w:tcPr>
            <w:tcW w:w="1588"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line="360"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4</w:t>
            </w:r>
          </w:p>
        </w:tc>
        <w:tc>
          <w:tcPr>
            <w:tcW w:w="26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val="0"/>
                <w:color w:val="auto"/>
                <w:spacing w:val="9"/>
                <w:kern w:val="0"/>
                <w:sz w:val="21"/>
                <w:szCs w:val="21"/>
                <w:lang w:val="en-US" w:eastAsia="zh-CN" w:bidi="ar-SA"/>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pacing w:val="9"/>
                <w:kern w:val="0"/>
                <w:sz w:val="21"/>
                <w:szCs w:val="21"/>
                <w:lang w:val="en-US" w:eastAsia="zh-CN"/>
              </w:rPr>
              <w:t>1.5</w:t>
            </w:r>
            <w:r>
              <w:rPr>
                <w:rFonts w:hint="eastAsia" w:ascii="宋体" w:hAnsi="宋体" w:cs="宋体"/>
                <w:b w:val="0"/>
                <w:bCs w:val="0"/>
                <w:color w:val="auto"/>
                <w:spacing w:val="9"/>
                <w:kern w:val="0"/>
                <w:szCs w:val="21"/>
              </w:rPr>
              <w:t>信息化系统：含设备接入医院信息系统（包括但不限于HIS、PACS、LIS等）端口开发、调试及对接费用，确保设备数据能实时、准确上传至医院指定系统，投标供应商须配合医院信息科及科室完成系统对接测试。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c>
          <w:tcPr>
            <w:tcW w:w="1588"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line="360"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5</w:t>
            </w:r>
          </w:p>
        </w:tc>
        <w:tc>
          <w:tcPr>
            <w:tcW w:w="26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val="0"/>
                <w:color w:val="auto"/>
                <w:spacing w:val="9"/>
                <w:kern w:val="0"/>
                <w:sz w:val="21"/>
                <w:szCs w:val="21"/>
                <w:lang w:val="en-US" w:eastAsia="zh-CN" w:bidi="ar-SA"/>
              </w:rPr>
            </w:pPr>
            <w:r>
              <w:rPr>
                <w:rFonts w:hint="eastAsia" w:ascii="宋体" w:hAnsi="宋体" w:eastAsia="宋体" w:cs="宋体"/>
                <w:b w:val="0"/>
                <w:bCs w:val="0"/>
                <w:color w:val="auto"/>
                <w:spacing w:val="9"/>
                <w:kern w:val="0"/>
                <w:sz w:val="21"/>
                <w:szCs w:val="21"/>
              </w:rPr>
              <w:t>★</w:t>
            </w:r>
            <w:r>
              <w:rPr>
                <w:rFonts w:hint="eastAsia" w:ascii="宋体" w:hAnsi="宋体" w:eastAsia="宋体" w:cs="宋体"/>
                <w:b w:val="0"/>
                <w:bCs w:val="0"/>
                <w:color w:val="auto"/>
                <w:spacing w:val="8"/>
                <w:kern w:val="0"/>
                <w:sz w:val="21"/>
                <w:szCs w:val="21"/>
              </w:rPr>
              <w:t>1.1投标人在签订合同之日起</w:t>
            </w:r>
            <w:r>
              <w:rPr>
                <w:rFonts w:hint="eastAsia" w:ascii="宋体" w:hAnsi="宋体" w:eastAsia="宋体" w:cs="宋体"/>
                <w:b w:val="0"/>
                <w:bCs w:val="0"/>
                <w:color w:val="auto"/>
                <w:spacing w:val="8"/>
                <w:kern w:val="0"/>
                <w:sz w:val="21"/>
                <w:szCs w:val="21"/>
                <w:lang w:val="en-US" w:eastAsia="zh-CN"/>
              </w:rPr>
              <w:t>30</w:t>
            </w:r>
            <w:r>
              <w:rPr>
                <w:rFonts w:hint="eastAsia" w:ascii="宋体" w:hAnsi="宋体" w:eastAsia="宋体" w:cs="宋体"/>
                <w:b w:val="0"/>
                <w:bCs w:val="0"/>
                <w:color w:val="auto"/>
                <w:spacing w:val="8"/>
                <w:kern w:val="0"/>
                <w:sz w:val="21"/>
                <w:szCs w:val="21"/>
              </w:rPr>
              <w:t xml:space="preserve"> 天（日历日）内交货。</w:t>
            </w:r>
          </w:p>
        </w:tc>
        <w:tc>
          <w:tcPr>
            <w:tcW w:w="1588"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line="360" w:lineRule="auto"/>
              <w:jc w:val="center"/>
              <w:rPr>
                <w:rFonts w:hint="default" w:ascii="宋体" w:hAnsi="宋体"/>
                <w:kern w:val="0"/>
                <w:szCs w:val="21"/>
                <w:lang w:val="en-US" w:eastAsia="zh-CN"/>
              </w:rPr>
            </w:pPr>
            <w:r>
              <w:rPr>
                <w:rFonts w:hint="eastAsia" w:ascii="宋体" w:hAnsi="宋体"/>
                <w:kern w:val="0"/>
                <w:szCs w:val="21"/>
                <w:lang w:val="en-US" w:eastAsia="zh-CN"/>
              </w:rPr>
              <w:t>6</w:t>
            </w:r>
          </w:p>
        </w:tc>
        <w:tc>
          <w:tcPr>
            <w:tcW w:w="26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val="0"/>
                <w:color w:val="auto"/>
                <w:spacing w:val="9"/>
                <w:kern w:val="0"/>
                <w:sz w:val="21"/>
                <w:szCs w:val="21"/>
                <w:lang w:val="en-US" w:eastAsia="zh-CN" w:bidi="ar-SA"/>
              </w:rPr>
            </w:pPr>
            <w:r>
              <w:rPr>
                <w:rFonts w:hint="eastAsia" w:ascii="宋体" w:hAnsi="宋体" w:cs="宋体"/>
                <w:spacing w:val="8"/>
                <w:kern w:val="0"/>
                <w:sz w:val="21"/>
                <w:szCs w:val="21"/>
                <w:lang w:val="en-US" w:eastAsia="zh-CN"/>
              </w:rPr>
              <w:t>5.2</w:t>
            </w:r>
            <w:r>
              <w:rPr>
                <w:rFonts w:hint="eastAsia" w:ascii="宋体" w:hAnsi="宋体" w:eastAsia="宋体" w:cs="宋体"/>
                <w:spacing w:val="8"/>
                <w:kern w:val="0"/>
                <w:sz w:val="21"/>
                <w:szCs w:val="21"/>
              </w:rPr>
              <w:t>★投标人所投产品为第一类医疗器械的，提供监督管理部门签发的有效的《医疗器械备案凭证》扫描件。所投产品为第二类或第三类医疗器械的，必须提供医疗器械注册证书（或者备案凭证）扫描件，原件备查。开标时，该证应在有效期内，若不在有效期内，则需提供该证和所投产品在该证有效期内生产的药监局出具的证明文件。</w:t>
            </w:r>
          </w:p>
        </w:tc>
        <w:tc>
          <w:tcPr>
            <w:tcW w:w="1588"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line="360" w:lineRule="auto"/>
              <w:jc w:val="center"/>
              <w:rPr>
                <w:rFonts w:hint="default" w:ascii="宋体" w:hAnsi="宋体"/>
                <w:kern w:val="0"/>
                <w:szCs w:val="21"/>
                <w:lang w:val="en-US" w:eastAsia="zh-CN"/>
              </w:rPr>
            </w:pPr>
            <w:r>
              <w:rPr>
                <w:rFonts w:hint="eastAsia" w:ascii="宋体" w:hAnsi="宋体"/>
                <w:kern w:val="0"/>
                <w:szCs w:val="21"/>
                <w:lang w:val="en-US" w:eastAsia="zh-CN"/>
              </w:rPr>
              <w:t>7</w:t>
            </w:r>
          </w:p>
        </w:tc>
        <w:tc>
          <w:tcPr>
            <w:tcW w:w="26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val="0"/>
                <w:color w:val="auto"/>
                <w:spacing w:val="9"/>
                <w:kern w:val="0"/>
                <w:sz w:val="21"/>
                <w:szCs w:val="21"/>
                <w:lang w:val="en-US" w:eastAsia="zh-CN" w:bidi="ar-SA"/>
              </w:rPr>
            </w:pPr>
            <w:r>
              <w:rPr>
                <w:rFonts w:hint="eastAsia" w:ascii="宋体" w:hAnsi="宋体" w:eastAsia="宋体" w:cs="宋体"/>
                <w:b w:val="0"/>
                <w:bCs w:val="0"/>
                <w:color w:val="auto"/>
                <w:spacing w:val="9"/>
                <w:kern w:val="0"/>
                <w:sz w:val="21"/>
                <w:szCs w:val="21"/>
              </w:rPr>
              <w:t>★投标人提供本项目的投标授权代表（提供投标截止日前缴纳的近1个月（由于社保部门原因最近一个月的社保证明无法提供的可往前顺延一个月）的社保证明；如投标授权代表与本项目其他投标授权代表在同一公司缴纳社保，均作投标无效处理；如为新成立企业且成立时间不足一个月或投标授权代表为本公司法人的可提供情况说明或证明材料亦视为符合；如投标授权代表为新入职员工或退休返聘人员，尚未办理社保参保手续的，则需提供劳动合同）。</w:t>
            </w:r>
          </w:p>
        </w:tc>
        <w:tc>
          <w:tcPr>
            <w:tcW w:w="1588"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bl>
    <w:p>
      <w:pPr>
        <w:ind w:firstLine="482" w:firstLineChars="200"/>
        <w:rPr>
          <w:b/>
          <w:sz w:val="24"/>
          <w:szCs w:val="22"/>
        </w:rPr>
      </w:pPr>
    </w:p>
    <w:p>
      <w:pPr>
        <w:ind w:firstLine="482" w:firstLineChars="200"/>
        <w:rPr>
          <w:b/>
          <w:sz w:val="24"/>
          <w:szCs w:val="22"/>
        </w:rPr>
      </w:pPr>
      <w:r>
        <w:rPr>
          <w:rFonts w:hint="eastAsia"/>
          <w:b/>
          <w:sz w:val="24"/>
          <w:szCs w:val="22"/>
        </w:rPr>
        <w:t>注：1.上表所列各项均为不可负偏离条款。</w:t>
      </w:r>
    </w:p>
    <w:p>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pPr>
        <w:ind w:firstLine="482" w:firstLineChars="200"/>
        <w:rPr>
          <w:b/>
          <w:sz w:val="24"/>
        </w:rPr>
      </w:pPr>
      <w:r>
        <w:rPr>
          <w:b/>
          <w:sz w:val="24"/>
        </w:rPr>
        <w:t>4.</w:t>
      </w:r>
      <w:r>
        <w:rPr>
          <w:rFonts w:hint="eastAsia"/>
          <w:b/>
          <w:sz w:val="24"/>
        </w:rPr>
        <w:t>评审委员会有权对投标响应情况作出判断（作出评审结论）。</w:t>
      </w:r>
    </w:p>
    <w:p>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bookmarkEnd w:id="68"/>
    </w:p>
    <w:p>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p>
      <w:pPr>
        <w:pStyle w:val="4"/>
        <w:jc w:val="center"/>
        <w:rPr>
          <w:sz w:val="24"/>
        </w:rPr>
      </w:pPr>
      <w:r>
        <w:rPr>
          <w:rFonts w:hint="eastAsia" w:ascii="黑体" w:eastAsia="黑体"/>
          <w:b w:val="0"/>
          <w:sz w:val="24"/>
          <w:szCs w:val="24"/>
          <w:lang w:val="en-US" w:eastAsia="zh-CN"/>
        </w:rPr>
        <w:t>九</w:t>
      </w:r>
      <w:r>
        <w:rPr>
          <w:rFonts w:hint="eastAsia" w:ascii="黑体" w:eastAsia="黑体"/>
          <w:b w:val="0"/>
          <w:sz w:val="24"/>
          <w:szCs w:val="24"/>
        </w:rPr>
        <w:t>、技术要求偏离表</w:t>
      </w:r>
    </w:p>
    <w:p>
      <w:pPr>
        <w:rPr>
          <w:sz w:val="24"/>
        </w:rPr>
      </w:pPr>
    </w:p>
    <w:p>
      <w:pPr>
        <w:pStyle w:val="2"/>
        <w:rPr>
          <w:sz w:val="24"/>
        </w:rPr>
      </w:pPr>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636"/>
        <w:gridCol w:w="1866"/>
        <w:gridCol w:w="1866"/>
        <w:gridCol w:w="1866"/>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49" w:type="pct"/>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372" w:type="pct"/>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货物名称</w:t>
            </w:r>
          </w:p>
        </w:tc>
        <w:tc>
          <w:tcPr>
            <w:tcW w:w="1094" w:type="pct"/>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招标技术要求</w:t>
            </w:r>
          </w:p>
        </w:tc>
        <w:tc>
          <w:tcPr>
            <w:tcW w:w="1094" w:type="pct"/>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sz w:val="21"/>
                <w:szCs w:val="21"/>
              </w:rPr>
              <w:t>投标技术响应</w:t>
            </w:r>
          </w:p>
        </w:tc>
        <w:tc>
          <w:tcPr>
            <w:tcW w:w="1094" w:type="pct"/>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sz w:val="21"/>
                <w:szCs w:val="21"/>
              </w:rPr>
              <w:t>偏离情况</w:t>
            </w:r>
          </w:p>
        </w:tc>
        <w:tc>
          <w:tcPr>
            <w:tcW w:w="1094" w:type="pct"/>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restart"/>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372" w:type="pct"/>
            <w:vMerge w:val="restart"/>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多功能组合式监护仪（脑功能状态定量仪）</w:t>
            </w:r>
          </w:p>
        </w:tc>
        <w:tc>
          <w:tcPr>
            <w:tcW w:w="1094"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1.设备功能：适用于临床脑电信号的采集与监测</w:t>
            </w: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372"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2.采样通道：≥2导脑电</w:t>
            </w:r>
            <w:r>
              <w:rPr>
                <w:rFonts w:hint="eastAsia" w:ascii="宋体" w:hAnsi="宋体" w:cs="宋体"/>
                <w:color w:val="EE0000"/>
                <w:sz w:val="21"/>
                <w:szCs w:val="21"/>
                <w:lang w:eastAsia="zh-CN"/>
              </w:rPr>
              <w:t>（需要提供彩页或技术白皮书或说明书相关证明材料）</w:t>
            </w: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372"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3.采样频率： ≥1600Hz</w:t>
            </w: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372"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4.采样精度：≥16bit</w:t>
            </w: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372"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5.共模信号抑制能力：≥80dB</w:t>
            </w: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372"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6.输入阻抗：&gt;5M Ohms</w:t>
            </w: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372"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7.抗干扰能力：具备强抗干扰能力</w:t>
            </w: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372"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8.脑电波显示功能：支持双通道脑电图显示，可实时呈现原始脑电波形及波形趋势描记</w:t>
            </w:r>
            <w:r>
              <w:rPr>
                <w:rFonts w:hint="eastAsia" w:ascii="宋体" w:hAnsi="宋体" w:cs="宋体"/>
                <w:color w:val="EE0000"/>
                <w:sz w:val="21"/>
                <w:szCs w:val="21"/>
                <w:lang w:eastAsia="zh-CN"/>
              </w:rPr>
              <w:t>（需要提供彩页或技术白皮书或说明书相关证明材料）</w:t>
            </w: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restart"/>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p>
            <w:pPr>
              <w:jc w:val="center"/>
              <w:rPr>
                <w:rFonts w:hint="eastAsia" w:ascii="宋体" w:hAnsi="宋体" w:eastAsia="宋体" w:cs="宋体"/>
                <w:color w:val="000000" w:themeColor="text1"/>
                <w:sz w:val="21"/>
                <w:szCs w:val="21"/>
                <w14:textFill>
                  <w14:solidFill>
                    <w14:schemeClr w14:val="tx1"/>
                  </w14:solidFill>
                </w14:textFill>
              </w:rPr>
            </w:pPr>
          </w:p>
        </w:tc>
        <w:tc>
          <w:tcPr>
            <w:tcW w:w="372" w:type="pct"/>
            <w:vMerge w:val="restart"/>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屈光筛查仪</w:t>
            </w:r>
            <w:r>
              <w:rPr>
                <w:rFonts w:hint="eastAsia" w:ascii="宋体" w:hAnsi="宋体" w:eastAsia="宋体" w:cs="宋体"/>
                <w:color w:val="000000" w:themeColor="text1"/>
                <w:sz w:val="21"/>
                <w:szCs w:val="21"/>
                <w14:textFill>
                  <w14:solidFill>
                    <w14:schemeClr w14:val="tx1"/>
                  </w14:solidFill>
                </w14:textFill>
              </w:rPr>
              <w:t>设备</w:t>
            </w:r>
          </w:p>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w:t>
            </w:r>
            <w:r>
              <w:rPr>
                <w:rFonts w:hint="eastAsia" w:ascii="宋体" w:hAnsi="宋体" w:eastAsia="宋体" w:cs="宋体"/>
                <w:sz w:val="21"/>
                <w:szCs w:val="21"/>
              </w:rPr>
              <w:t>适用于6个月以上婴幼儿及儿童屈光度的初步测定;测量数据不可用作验光处方。</w:t>
            </w: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372" w:type="pct"/>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w:t>
            </w:r>
            <w:r>
              <w:rPr>
                <w:rFonts w:hint="eastAsia" w:ascii="宋体" w:hAnsi="宋体" w:eastAsia="宋体" w:cs="宋体"/>
                <w:sz w:val="21"/>
                <w:szCs w:val="21"/>
              </w:rPr>
              <w:t>支持无线手持式双目设计，筛查模式单眼/双眼可选</w:t>
            </w: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372" w:type="pct"/>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2.3</w:t>
            </w:r>
            <w:r>
              <w:rPr>
                <w:rFonts w:hint="eastAsia" w:ascii="宋体" w:hAnsi="宋体" w:eastAsia="宋体" w:cs="宋体"/>
                <w:b/>
                <w:bCs/>
                <w:color w:val="000000" w:themeColor="text1"/>
                <w:sz w:val="21"/>
                <w:szCs w:val="21"/>
                <w14:textFill>
                  <w14:solidFill>
                    <w14:schemeClr w14:val="tx1"/>
                  </w14:solidFill>
                </w14:textFill>
              </w:rPr>
              <w:t>．</w:t>
            </w:r>
            <w:r>
              <w:rPr>
                <w:rFonts w:hint="eastAsia" w:ascii="宋体" w:hAnsi="宋体" w:eastAsia="宋体" w:cs="宋体"/>
                <w:sz w:val="21"/>
                <w:szCs w:val="21"/>
              </w:rPr>
              <w:t>筛查内容：屈光筛查（近视、远视、散光、屈光参差）、眼位照相、瞳孔大小</w:t>
            </w: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372" w:type="pct"/>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2.4.</w:t>
            </w:r>
            <w:r>
              <w:rPr>
                <w:rFonts w:hint="eastAsia" w:ascii="宋体" w:hAnsi="宋体" w:eastAsia="宋体" w:cs="宋体"/>
                <w:sz w:val="21"/>
                <w:szCs w:val="21"/>
              </w:rPr>
              <w:t xml:space="preserve"> 测量和分析的检测结果超出设定的正常值时，机器自动给出潜在的视力风险提示，并以红色的显示测量结果，避免漏诊</w:t>
            </w: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372" w:type="pct"/>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2.5.</w:t>
            </w:r>
            <w:r>
              <w:rPr>
                <w:rFonts w:hint="eastAsia" w:ascii="宋体" w:hAnsi="宋体" w:eastAsia="宋体" w:cs="宋体"/>
                <w:sz w:val="21"/>
                <w:szCs w:val="21"/>
              </w:rPr>
              <w:t>球面度DS：范围-7.5OD～+7.5OD，分辨率0.25D/0.01D，精度±0.50D</w:t>
            </w:r>
            <w:r>
              <w:rPr>
                <w:rFonts w:hint="eastAsia" w:ascii="宋体" w:hAnsi="宋体" w:cs="宋体"/>
                <w:color w:val="EE0000"/>
                <w:sz w:val="21"/>
                <w:szCs w:val="21"/>
                <w:lang w:eastAsia="zh-CN"/>
              </w:rPr>
              <w:t>（需要提供彩页或技术白皮书或说明书相关证明材料）</w:t>
            </w: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372" w:type="pct"/>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2.6.</w:t>
            </w:r>
            <w:r>
              <w:rPr>
                <w:rFonts w:hint="eastAsia" w:ascii="宋体" w:hAnsi="宋体" w:eastAsia="宋体" w:cs="宋体"/>
                <w:sz w:val="21"/>
                <w:szCs w:val="21"/>
              </w:rPr>
              <w:t xml:space="preserve"> 柱面度DC：范围0.00D～3.00D，分辨率0.25D/0.01D，精度±0.50D</w:t>
            </w: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372" w:type="pct"/>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2.7.</w:t>
            </w:r>
            <w:r>
              <w:rPr>
                <w:rFonts w:hint="eastAsia" w:ascii="宋体" w:hAnsi="宋体" w:eastAsia="宋体" w:cs="宋体"/>
                <w:sz w:val="21"/>
                <w:szCs w:val="21"/>
              </w:rPr>
              <w:t xml:space="preserve"> 轴位Axis:范围0°～180°，分辨率：1°，精度：±5°（0.1D～3.0D）</w:t>
            </w: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372" w:type="pct"/>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2.8.</w:t>
            </w:r>
            <w:r>
              <w:rPr>
                <w:rFonts w:hint="eastAsia" w:ascii="宋体" w:hAnsi="宋体" w:eastAsia="宋体" w:cs="宋体"/>
                <w:sz w:val="21"/>
                <w:szCs w:val="21"/>
              </w:rPr>
              <w:t xml:space="preserve"> 瞳孔直径Pupil Size：范围4.0mm～9.0mm，分辨率：0.1mm，精度：±0.1mm</w:t>
            </w: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372" w:type="pct"/>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2.9．</w:t>
            </w:r>
            <w:r>
              <w:rPr>
                <w:rFonts w:hint="eastAsia" w:ascii="宋体" w:hAnsi="宋体" w:eastAsia="宋体" w:cs="宋体"/>
                <w:sz w:val="21"/>
                <w:szCs w:val="21"/>
              </w:rPr>
              <w:t>瞳距Pupil Distance:范围35mm~80mm，分辨率：1mm，精度：±1mm</w:t>
            </w: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372" w:type="pct"/>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sz w:val="21"/>
                <w:szCs w:val="21"/>
              </w:rPr>
              <w:t>2.10.支持可通过蓝牙、Wi-Fi、USB模式或扫描传输数据</w:t>
            </w:r>
            <w:r>
              <w:rPr>
                <w:rFonts w:hint="eastAsia" w:ascii="宋体" w:hAnsi="宋体" w:cs="宋体"/>
                <w:color w:val="EE0000"/>
                <w:sz w:val="21"/>
                <w:szCs w:val="21"/>
                <w:lang w:eastAsia="zh-CN"/>
              </w:rPr>
              <w:t>（需要提供彩页或技术白皮书或说明书相关证明材料）</w:t>
            </w:r>
          </w:p>
        </w:tc>
        <w:tc>
          <w:tcPr>
            <w:tcW w:w="1094" w:type="pct"/>
          </w:tcPr>
          <w:p>
            <w:pPr>
              <w:rPr>
                <w:rFonts w:hint="eastAsia" w:ascii="宋体" w:hAnsi="宋体" w:eastAsia="宋体" w:cs="宋体"/>
                <w:sz w:val="21"/>
                <w:szCs w:val="21"/>
              </w:rPr>
            </w:pPr>
          </w:p>
        </w:tc>
        <w:tc>
          <w:tcPr>
            <w:tcW w:w="1094" w:type="pct"/>
          </w:tcPr>
          <w:p>
            <w:pPr>
              <w:rPr>
                <w:rFonts w:hint="eastAsia" w:ascii="宋体" w:hAnsi="宋体" w:eastAsia="宋体" w:cs="宋体"/>
                <w:sz w:val="21"/>
                <w:szCs w:val="21"/>
              </w:rPr>
            </w:pPr>
          </w:p>
        </w:tc>
        <w:tc>
          <w:tcPr>
            <w:tcW w:w="1094" w:type="pct"/>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372" w:type="pct"/>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sz w:val="21"/>
                <w:szCs w:val="21"/>
              </w:rPr>
              <w:t>2.11.电池：具有两块充电锂电池，续航6小时，可随时拆卸</w:t>
            </w:r>
            <w:r>
              <w:rPr>
                <w:rFonts w:hint="eastAsia" w:ascii="宋体" w:hAnsi="宋体" w:cs="宋体"/>
                <w:color w:val="EE0000"/>
                <w:sz w:val="21"/>
                <w:szCs w:val="21"/>
                <w:lang w:eastAsia="zh-CN"/>
              </w:rPr>
              <w:t>（需要提供彩页或技术白皮书或说明书相关证明材料）</w:t>
            </w:r>
          </w:p>
        </w:tc>
        <w:tc>
          <w:tcPr>
            <w:tcW w:w="1094" w:type="pct"/>
          </w:tcPr>
          <w:p>
            <w:pPr>
              <w:rPr>
                <w:rFonts w:hint="eastAsia" w:ascii="宋体" w:hAnsi="宋体" w:eastAsia="宋体" w:cs="宋体"/>
                <w:sz w:val="21"/>
                <w:szCs w:val="21"/>
              </w:rPr>
            </w:pPr>
          </w:p>
        </w:tc>
        <w:tc>
          <w:tcPr>
            <w:tcW w:w="1094" w:type="pct"/>
          </w:tcPr>
          <w:p>
            <w:pPr>
              <w:rPr>
                <w:rFonts w:hint="eastAsia" w:ascii="宋体" w:hAnsi="宋体" w:eastAsia="宋体" w:cs="宋体"/>
                <w:sz w:val="21"/>
                <w:szCs w:val="21"/>
              </w:rPr>
            </w:pPr>
          </w:p>
        </w:tc>
        <w:tc>
          <w:tcPr>
            <w:tcW w:w="1094" w:type="pct"/>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372" w:type="pct"/>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sz w:val="21"/>
                <w:szCs w:val="21"/>
              </w:rPr>
              <w:t>2.12.触摸显示屏≥4.3英寸，且触摸显示屏呈90°垂直</w:t>
            </w:r>
            <w:r>
              <w:rPr>
                <w:rFonts w:hint="eastAsia" w:ascii="宋体" w:hAnsi="宋体" w:cs="宋体"/>
                <w:color w:val="EE0000"/>
                <w:sz w:val="21"/>
                <w:szCs w:val="21"/>
                <w:lang w:eastAsia="zh-CN"/>
              </w:rPr>
              <w:t>（需要提供彩页或技术白皮书或说明书相关证明材料）</w:t>
            </w:r>
          </w:p>
        </w:tc>
        <w:tc>
          <w:tcPr>
            <w:tcW w:w="1094" w:type="pct"/>
          </w:tcPr>
          <w:p>
            <w:pPr>
              <w:rPr>
                <w:rFonts w:hint="eastAsia" w:ascii="宋体" w:hAnsi="宋体" w:eastAsia="宋体" w:cs="宋体"/>
                <w:sz w:val="21"/>
                <w:szCs w:val="21"/>
              </w:rPr>
            </w:pPr>
          </w:p>
        </w:tc>
        <w:tc>
          <w:tcPr>
            <w:tcW w:w="1094" w:type="pct"/>
          </w:tcPr>
          <w:p>
            <w:pPr>
              <w:rPr>
                <w:rFonts w:hint="eastAsia" w:ascii="宋体" w:hAnsi="宋体" w:eastAsia="宋体" w:cs="宋体"/>
                <w:sz w:val="21"/>
                <w:szCs w:val="21"/>
              </w:rPr>
            </w:pPr>
          </w:p>
        </w:tc>
        <w:tc>
          <w:tcPr>
            <w:tcW w:w="1094" w:type="pct"/>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372" w:type="pct"/>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2.13.</w:t>
            </w:r>
            <w:r>
              <w:rPr>
                <w:rFonts w:hint="eastAsia" w:ascii="宋体" w:hAnsi="宋体" w:eastAsia="宋体" w:cs="宋体"/>
                <w:color w:val="000000" w:themeColor="text1"/>
                <w:sz w:val="21"/>
                <w:szCs w:val="21"/>
                <w:lang w:eastAsia="zh-CN"/>
                <w14:textFill>
                  <w14:solidFill>
                    <w14:schemeClr w14:val="tx1"/>
                  </w14:solidFill>
                </w14:textFill>
              </w:rPr>
              <w:t>对接</w:t>
            </w:r>
            <w:bookmarkStart w:id="143" w:name="_GoBack"/>
            <w:r>
              <w:rPr>
                <w:rFonts w:hint="eastAsia" w:ascii="宋体" w:hAnsi="宋体" w:eastAsia="宋体" w:cs="宋体"/>
                <w:b w:val="0"/>
                <w:bCs w:val="0"/>
                <w:color w:val="auto"/>
                <w:spacing w:val="9"/>
                <w:kern w:val="0"/>
                <w:sz w:val="21"/>
                <w:szCs w:val="21"/>
                <w:lang w:eastAsia="zh-CN"/>
              </w:rPr>
              <w:t>深圳市妇幼保健管理信息系统</w:t>
            </w:r>
            <w:r>
              <w:rPr>
                <w:rFonts w:hint="eastAsia" w:ascii="宋体" w:hAnsi="宋体" w:eastAsia="宋体" w:cs="宋体"/>
                <w:b w:val="0"/>
                <w:bCs w:val="0"/>
                <w:color w:val="auto"/>
                <w:spacing w:val="9"/>
                <w:kern w:val="0"/>
                <w:sz w:val="21"/>
                <w:szCs w:val="21"/>
                <w:lang w:val="en-US" w:eastAsia="zh-CN"/>
              </w:rPr>
              <w:t>近视防控模块</w:t>
            </w:r>
            <w:r>
              <w:rPr>
                <w:rFonts w:hint="eastAsia" w:ascii="宋体" w:hAnsi="宋体" w:eastAsia="宋体" w:cs="宋体"/>
                <w:color w:val="auto"/>
                <w:sz w:val="21"/>
                <w:szCs w:val="21"/>
              </w:rPr>
              <w:t>，</w:t>
            </w:r>
            <w:bookmarkEnd w:id="143"/>
            <w:r>
              <w:rPr>
                <w:rFonts w:hint="eastAsia" w:ascii="宋体" w:hAnsi="宋体" w:eastAsia="宋体" w:cs="宋体"/>
                <w:sz w:val="21"/>
                <w:szCs w:val="21"/>
              </w:rPr>
              <w:t>且无需二次开发</w:t>
            </w:r>
          </w:p>
        </w:tc>
        <w:tc>
          <w:tcPr>
            <w:tcW w:w="1094"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c>
          <w:tcPr>
            <w:tcW w:w="1094"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c>
          <w:tcPr>
            <w:tcW w:w="1094" w:type="pct"/>
          </w:tcPr>
          <w:p>
            <w:pPr>
              <w:rPr>
                <w:rFonts w:hint="eastAsia" w:ascii="宋体" w:hAnsi="宋体" w:eastAsia="宋体" w:cs="宋体"/>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372" w:type="pct"/>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2.14.</w:t>
            </w:r>
            <w:r>
              <w:rPr>
                <w:rFonts w:hint="eastAsia" w:ascii="宋体" w:hAnsi="宋体" w:eastAsia="宋体" w:cs="宋体"/>
                <w:sz w:val="21"/>
                <w:szCs w:val="21"/>
              </w:rPr>
              <w:t>可选配数据管理系统和自助筛查工作站，</w:t>
            </w:r>
            <w:r>
              <w:rPr>
                <w:rFonts w:hint="eastAsia" w:ascii="宋体" w:hAnsi="宋体" w:eastAsia="宋体" w:cs="宋体"/>
                <w:sz w:val="21"/>
                <w:szCs w:val="21"/>
                <w:lang w:val="en-US" w:eastAsia="zh-CN"/>
              </w:rPr>
              <w:t>支持</w:t>
            </w:r>
            <w:r>
              <w:rPr>
                <w:rFonts w:hint="eastAsia" w:ascii="宋体" w:hAnsi="宋体" w:eastAsia="宋体" w:cs="宋体"/>
                <w:sz w:val="21"/>
                <w:szCs w:val="21"/>
              </w:rPr>
              <w:t>大规模筛查</w:t>
            </w: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c>
          <w:tcPr>
            <w:tcW w:w="1094" w:type="pct"/>
          </w:tcPr>
          <w:p>
            <w:pPr>
              <w:rPr>
                <w:rFonts w:hint="eastAsia" w:ascii="宋体" w:hAnsi="宋体" w:eastAsia="宋体" w:cs="宋体"/>
                <w:color w:val="000000" w:themeColor="text1"/>
                <w:sz w:val="21"/>
                <w:szCs w:val="21"/>
                <w14:textFill>
                  <w14:solidFill>
                    <w14:schemeClr w14:val="tx1"/>
                  </w14:solidFill>
                </w14:textFill>
              </w:rPr>
            </w:pPr>
          </w:p>
        </w:tc>
      </w:tr>
    </w:tbl>
    <w:p>
      <w:pPr>
        <w:pStyle w:val="2"/>
        <w:rPr>
          <w:sz w:val="24"/>
        </w:rPr>
      </w:pPr>
    </w:p>
    <w:p>
      <w:pPr>
        <w:keepNext w:val="0"/>
        <w:keepLines w:val="0"/>
        <w:pageBreakBefore w:val="0"/>
        <w:kinsoku/>
        <w:wordWrap/>
        <w:overflowPunct/>
        <w:topLinePunct w:val="0"/>
        <w:autoSpaceDE/>
        <w:autoSpaceDN/>
        <w:bidi w:val="0"/>
        <w:adjustRightInd/>
        <w:snapToGrid/>
        <w:spacing w:beforeAutospacing="0" w:afterAutospacing="0"/>
        <w:textAlignment w:val="auto"/>
        <w:rPr>
          <w:sz w:val="21"/>
          <w:szCs w:val="21"/>
        </w:rPr>
      </w:pPr>
      <w:bookmarkStart w:id="72" w:name="_Hlk72095977"/>
      <w:r>
        <w:rPr>
          <w:rFonts w:hint="eastAsia"/>
          <w:sz w:val="21"/>
          <w:szCs w:val="21"/>
        </w:rPr>
        <w:t>证明资料【如有的话，提供的证明资料应统一编号（排序），格式自定】</w:t>
      </w:r>
      <w:bookmarkEnd w:id="72"/>
      <w:r>
        <w:rPr>
          <w:rFonts w:hint="eastAsia"/>
          <w:sz w:val="21"/>
          <w:szCs w:val="21"/>
        </w:rPr>
        <w:t>：</w:t>
      </w:r>
    </w:p>
    <w:p>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《技术要求偏离表》编制指引：</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1、技术要求偏离表的序号、货物名称、招标技术要求等栏目</w:t>
      </w:r>
      <w:bookmarkStart w:id="73" w:name="_Hlk72094407"/>
      <w:r>
        <w:rPr>
          <w:rFonts w:hint="eastAsia"/>
          <w:b w:val="0"/>
          <w:bCs/>
          <w:sz w:val="21"/>
          <w:szCs w:val="21"/>
        </w:rPr>
        <w:t>对应“用户需求书”中的“技术要求”章节</w:t>
      </w:r>
      <w:bookmarkEnd w:id="73"/>
      <w:r>
        <w:rPr>
          <w:rFonts w:hint="eastAsia"/>
          <w:b w:val="0"/>
          <w:bCs/>
          <w:sz w:val="21"/>
          <w:szCs w:val="21"/>
        </w:rPr>
        <w:t>相关内容。</w:t>
      </w:r>
    </w:p>
    <w:p>
      <w:pPr>
        <w:pStyle w:val="40"/>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9"/>
        <w:rPr>
          <w:rFonts w:hint="eastAsia" w:ascii="Times New Roman" w:hAnsi="Times New Roman" w:eastAsia="宋体" w:cs="Times New Roman"/>
          <w:b w:val="0"/>
          <w:bCs/>
          <w:color w:val="FF0000"/>
          <w:kern w:val="2"/>
          <w:sz w:val="21"/>
          <w:szCs w:val="21"/>
          <w:lang w:val="en-US" w:eastAsia="zh-CN"/>
        </w:rPr>
      </w:pPr>
      <w:r>
        <w:rPr>
          <w:b w:val="0"/>
          <w:bCs/>
          <w:sz w:val="21"/>
          <w:szCs w:val="21"/>
        </w:rPr>
        <w:t>2</w:t>
      </w:r>
      <w:r>
        <w:rPr>
          <w:rFonts w:hint="eastAsia"/>
          <w:b w:val="0"/>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 w:val="0"/>
          <w:bCs/>
          <w:color w:val="FF0000"/>
          <w:kern w:val="2"/>
          <w:sz w:val="21"/>
          <w:szCs w:val="21"/>
          <w:u w:val="none"/>
          <w:lang w:val="en-US" w:eastAsia="zh-CN"/>
        </w:rPr>
        <w:t>“投标技术响应”必须与</w:t>
      </w:r>
      <w:r>
        <w:rPr>
          <w:rFonts w:hint="eastAsia" w:cs="Times New Roman"/>
          <w:b w:val="0"/>
          <w:bCs/>
          <w:color w:val="FF0000"/>
          <w:kern w:val="2"/>
          <w:sz w:val="21"/>
          <w:szCs w:val="21"/>
          <w:u w:val="none"/>
          <w:lang w:val="en-US" w:eastAsia="zh-CN"/>
        </w:rPr>
        <w:t>所投产品</w:t>
      </w:r>
      <w:r>
        <w:rPr>
          <w:rFonts w:hint="eastAsia" w:ascii="Times New Roman" w:hAnsi="Times New Roman" w:eastAsia="宋体" w:cs="Times New Roman"/>
          <w:b w:val="0"/>
          <w:bCs/>
          <w:color w:val="FF0000"/>
          <w:kern w:val="2"/>
          <w:sz w:val="21"/>
          <w:szCs w:val="21"/>
          <w:u w:val="none"/>
          <w:lang w:val="en-US" w:eastAsia="zh-CN"/>
        </w:rPr>
        <w:t>客观实际保持一致，响应不实且情节严重的，经查实，将依法记入供应商诚信档案或受到行政处罚。</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hint="eastAsia" w:ascii="Times New Roman" w:hAnsi="Times New Roman" w:eastAsia="宋体" w:cs="Times New Roman"/>
          <w:b w:val="0"/>
          <w:bCs/>
          <w:color w:val="FF0000"/>
          <w:kern w:val="2"/>
          <w:sz w:val="21"/>
          <w:szCs w:val="21"/>
          <w:u w:val="none"/>
          <w:lang w:val="en-US" w:eastAsia="zh-CN" w:bidi="ar-SA"/>
        </w:rPr>
      </w:pPr>
      <w:r>
        <w:rPr>
          <w:b w:val="0"/>
          <w:bCs/>
          <w:sz w:val="21"/>
          <w:szCs w:val="21"/>
        </w:rPr>
        <w:t>3</w:t>
      </w:r>
      <w:r>
        <w:rPr>
          <w:rFonts w:hint="eastAsia"/>
          <w:b w:val="0"/>
          <w:bCs/>
          <w:sz w:val="21"/>
          <w:szCs w:val="21"/>
        </w:rPr>
        <w:t>、</w:t>
      </w:r>
      <w:bookmarkStart w:id="74" w:name="_Hlk72158270"/>
      <w:r>
        <w:rPr>
          <w:rFonts w:hint="eastAsia"/>
          <w:b w:val="0"/>
          <w:bCs/>
          <w:sz w:val="21"/>
          <w:szCs w:val="21"/>
        </w:rPr>
        <w:t>“偏离情况”</w:t>
      </w:r>
      <w:bookmarkEnd w:id="74"/>
      <w:r>
        <w:rPr>
          <w:rFonts w:hint="eastAsia"/>
          <w:b w:val="0"/>
          <w:bCs/>
          <w:sz w:val="21"/>
          <w:szCs w:val="21"/>
        </w:rPr>
        <w:t>一栏填写如实填写“正偏离”、“负偏离”或“无偏离”，其中：</w:t>
      </w:r>
      <w:bookmarkStart w:id="75" w:name="_Hlk72093866"/>
      <w:r>
        <w:rPr>
          <w:rFonts w:hint="eastAsia"/>
          <w:b w:val="0"/>
          <w:bCs/>
          <w:sz w:val="21"/>
          <w:szCs w:val="21"/>
        </w:rPr>
        <w:t>“正偏离”表示“投标响应优于招标技术要求”，“负偏离”表示“投标响应不满足招标技术要求”，“无偏离”表示“投标响应与招标技术要求一致”</w:t>
      </w:r>
      <w:bookmarkEnd w:id="75"/>
      <w:r>
        <w:rPr>
          <w:rFonts w:hint="eastAsia"/>
          <w:b w:val="0"/>
          <w:bCs/>
          <w:sz w:val="21"/>
          <w:szCs w:val="21"/>
        </w:rPr>
        <w:t>。“投标技术响应”对比“招标技术要求”存在响应不全（包括未响应整项招标技术要求或者未响应一项招标技术要求的部分内容），均视为“负偏离”。带★号条款为不可</w:t>
      </w:r>
      <w:r>
        <w:rPr>
          <w:rFonts w:hint="eastAsia"/>
          <w:b w:val="0"/>
          <w:bCs/>
          <w:sz w:val="21"/>
          <w:szCs w:val="21"/>
          <w:lang w:val="en-US" w:eastAsia="zh-CN"/>
        </w:rPr>
        <w:t>负</w:t>
      </w:r>
      <w:r>
        <w:rPr>
          <w:rFonts w:hint="eastAsia"/>
          <w:b w:val="0"/>
          <w:bCs/>
          <w:sz w:val="21"/>
          <w:szCs w:val="21"/>
        </w:rPr>
        <w:t>偏离条款，不作为评分准则中的评分内容</w:t>
      </w:r>
      <w:r>
        <w:rPr>
          <w:rFonts w:hint="eastAsia" w:eastAsia="宋体"/>
          <w:b w:val="0"/>
          <w:bCs/>
          <w:sz w:val="21"/>
          <w:szCs w:val="21"/>
          <w:lang w:eastAsia="zh-CN"/>
        </w:rPr>
        <w:t>，</w:t>
      </w:r>
      <w:r>
        <w:rPr>
          <w:rFonts w:hint="eastAsia"/>
          <w:b w:val="0"/>
          <w:bCs/>
          <w:sz w:val="21"/>
          <w:szCs w:val="21"/>
        </w:rPr>
        <w:t>如未响应或出现负偏离的，将</w:t>
      </w:r>
      <w:r>
        <w:rPr>
          <w:rFonts w:hint="eastAsia"/>
          <w:b w:val="0"/>
          <w:bCs/>
          <w:sz w:val="21"/>
          <w:szCs w:val="21"/>
          <w:lang w:val="en-US" w:eastAsia="zh-CN"/>
        </w:rPr>
        <w:t>做</w:t>
      </w:r>
      <w:r>
        <w:rPr>
          <w:rFonts w:hint="eastAsia"/>
          <w:b w:val="0"/>
          <w:bCs/>
          <w:sz w:val="21"/>
          <w:szCs w:val="21"/>
        </w:rPr>
        <w:t>投标无效处理</w:t>
      </w:r>
      <w:r>
        <w:rPr>
          <w:rFonts w:hint="eastAsia"/>
          <w:b w:val="0"/>
          <w:bCs/>
          <w:sz w:val="21"/>
          <w:szCs w:val="21"/>
          <w:lang w:val="en-US" w:eastAsia="zh-CN"/>
        </w:rPr>
        <w:t>。</w:t>
      </w:r>
      <w:r>
        <w:rPr>
          <w:rFonts w:hint="eastAsia" w:ascii="Times New Roman" w:hAnsi="Times New Roman" w:eastAsia="宋体" w:cs="Times New Roman"/>
          <w:b w:val="0"/>
          <w:bCs/>
          <w:color w:val="FF0000"/>
          <w:kern w:val="2"/>
          <w:sz w:val="21"/>
          <w:szCs w:val="21"/>
          <w:u w:val="none"/>
          <w:lang w:val="en-US" w:eastAsia="zh-CN" w:bidi="ar-SA"/>
        </w:rPr>
        <w:t>“偏离情况”必须与所投产品客观实际保持一致，响应不实且情节严重的，经查实，将依法记入供应商诚信档案或受到行政处罚。</w:t>
      </w:r>
    </w:p>
    <w:p>
      <w:pPr>
        <w:ind w:firstLine="420" w:firstLineChars="200"/>
        <w:rPr>
          <w:b w:val="0"/>
          <w:bCs/>
          <w:sz w:val="21"/>
          <w:szCs w:val="21"/>
        </w:rPr>
      </w:pPr>
      <w:r>
        <w:rPr>
          <w:b w:val="0"/>
          <w:bCs/>
          <w:sz w:val="21"/>
          <w:szCs w:val="21"/>
        </w:rPr>
        <w:t>4</w:t>
      </w:r>
      <w:r>
        <w:rPr>
          <w:rFonts w:hint="eastAsia"/>
          <w:b w:val="0"/>
          <w:bCs/>
          <w:sz w:val="21"/>
          <w:szCs w:val="21"/>
        </w:rPr>
        <w:t>、未要求提供证明资料的招标技术要求，可以不提供证明资料（如实响应即可）。</w:t>
      </w:r>
    </w:p>
    <w:p>
      <w:pPr>
        <w:ind w:firstLine="420" w:firstLineChars="200"/>
        <w:rPr>
          <w:b w:val="0"/>
          <w:bCs/>
          <w:sz w:val="21"/>
          <w:szCs w:val="21"/>
        </w:rPr>
      </w:pPr>
      <w:r>
        <w:rPr>
          <w:rFonts w:hint="eastAsia"/>
          <w:b w:val="0"/>
          <w:bCs/>
          <w:sz w:val="21"/>
          <w:szCs w:val="21"/>
        </w:rPr>
        <w:t>5、</w:t>
      </w:r>
      <w:bookmarkStart w:id="76" w:name="_Hlk72096106"/>
      <w:r>
        <w:rPr>
          <w:rFonts w:hint="eastAsia"/>
          <w:b w:val="0"/>
          <w:bCs/>
          <w:sz w:val="21"/>
          <w:szCs w:val="21"/>
        </w:rPr>
        <w:t>证明资料条款响应要求</w:t>
      </w:r>
      <w:bookmarkEnd w:id="76"/>
      <w:r>
        <w:rPr>
          <w:rFonts w:hint="eastAsia"/>
          <w:b w:val="0"/>
          <w:bCs/>
          <w:sz w:val="21"/>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7" w:name="_Hlk73558782"/>
      <w:r>
        <w:rPr>
          <w:rFonts w:hint="eastAsia"/>
          <w:b w:val="0"/>
          <w:bCs/>
          <w:sz w:val="21"/>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8" w:name="_Hlk73558164"/>
      <w:r>
        <w:rPr>
          <w:rFonts w:hint="eastAsia"/>
          <w:b w:val="0"/>
          <w:bCs/>
          <w:sz w:val="21"/>
          <w:szCs w:val="21"/>
        </w:rPr>
        <w:t>且投标人在“偏离情况”一栏响应为“正偏离”或“无偏离”的，经评审委员会认定，将判定为负偏离。</w:t>
      </w:r>
      <w:bookmarkEnd w:id="77"/>
      <w:bookmarkEnd w:id="78"/>
    </w:p>
    <w:p>
      <w:pPr>
        <w:ind w:firstLine="420" w:firstLineChars="200"/>
        <w:rPr>
          <w:b w:val="0"/>
          <w:bCs/>
          <w:sz w:val="21"/>
          <w:szCs w:val="21"/>
        </w:rPr>
      </w:pPr>
      <w:r>
        <w:rPr>
          <w:rFonts w:hint="eastAsia"/>
          <w:b w:val="0"/>
          <w:bCs/>
          <w:sz w:val="21"/>
          <w:szCs w:val="21"/>
        </w:rPr>
        <w:t>6、</w:t>
      </w:r>
      <w:bookmarkStart w:id="79" w:name="_Hlk72096137"/>
      <w:r>
        <w:rPr>
          <w:rFonts w:hint="eastAsia"/>
          <w:b w:val="0"/>
          <w:bCs/>
          <w:sz w:val="21"/>
          <w:szCs w:val="21"/>
        </w:rPr>
        <w:t>表后“证明资料”部分内容的编制</w:t>
      </w:r>
      <w:bookmarkEnd w:id="79"/>
      <w:r>
        <w:rPr>
          <w:rFonts w:hint="eastAsia"/>
          <w:b w:val="0"/>
          <w:bCs/>
          <w:sz w:val="21"/>
          <w:szCs w:val="21"/>
        </w:rPr>
        <w:t>：提供的所有证明资料应当统一编号（排序），且证明资料的编号（顺序）、数量和名称（形式）均应与“说明”一栏所填内容保持一致（一一对应），以便评审委员会查看。</w:t>
      </w:r>
      <w:bookmarkStart w:id="80" w:name="_Hlk73558180"/>
      <w:r>
        <w:rPr>
          <w:rFonts w:hint="eastAsia"/>
          <w:b w:val="0"/>
          <w:bCs/>
          <w:sz w:val="21"/>
          <w:szCs w:val="21"/>
        </w:rPr>
        <w:t>未按照招标文件要求在表后放置证明材料的供应商将承担不利后果，经评审委员会认定，相关技术要求将判定为负偏离。</w:t>
      </w:r>
      <w:bookmarkEnd w:id="80"/>
    </w:p>
    <w:p>
      <w:pPr>
        <w:ind w:firstLine="420" w:firstLineChars="200"/>
        <w:rPr>
          <w:b w:val="0"/>
          <w:bCs/>
          <w:sz w:val="21"/>
          <w:szCs w:val="21"/>
        </w:rPr>
      </w:pPr>
      <w:r>
        <w:rPr>
          <w:rFonts w:hint="eastAsia"/>
          <w:b w:val="0"/>
          <w:bCs/>
          <w:sz w:val="21"/>
          <w:szCs w:val="21"/>
        </w:rPr>
        <w:t>7、</w:t>
      </w:r>
      <w:bookmarkStart w:id="81" w:name="_Hlk72096176"/>
      <w:r>
        <w:rPr>
          <w:rFonts w:hint="eastAsia"/>
          <w:b w:val="0"/>
          <w:bCs/>
          <w:sz w:val="21"/>
          <w:szCs w:val="21"/>
        </w:rPr>
        <w:t>证明资料的形式及其它具体要求</w:t>
      </w:r>
      <w:bookmarkEnd w:id="81"/>
      <w:r>
        <w:rPr>
          <w:rFonts w:hint="eastAsia"/>
          <w:b w:val="0"/>
          <w:bCs/>
          <w:sz w:val="21"/>
          <w:szCs w:val="21"/>
        </w:rPr>
        <w:t>：</w:t>
      </w:r>
    </w:p>
    <w:p>
      <w:pPr>
        <w:ind w:firstLine="420" w:firstLineChars="200"/>
        <w:rPr>
          <w:b w:val="0"/>
          <w:bCs/>
          <w:sz w:val="21"/>
          <w:szCs w:val="21"/>
        </w:rPr>
      </w:pPr>
      <w:r>
        <w:rPr>
          <w:rFonts w:hint="eastAsia"/>
          <w:b w:val="0"/>
          <w:bCs/>
          <w:sz w:val="21"/>
          <w:szCs w:val="21"/>
        </w:rPr>
        <w:t>（1）除照片、图片（截图）及不需加盖公章的文字说明（技术说明）外，其它证明资料均要求为原件扫描件；</w:t>
      </w:r>
    </w:p>
    <w:p>
      <w:pPr>
        <w:ind w:firstLine="420" w:firstLineChars="200"/>
        <w:rPr>
          <w:b w:val="0"/>
          <w:bCs/>
          <w:sz w:val="21"/>
          <w:szCs w:val="21"/>
        </w:rPr>
      </w:pPr>
      <w:r>
        <w:rPr>
          <w:rFonts w:hint="eastAsia"/>
          <w:b w:val="0"/>
          <w:bCs/>
          <w:sz w:val="21"/>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b w:val="0"/>
          <w:bCs/>
          <w:sz w:val="21"/>
          <w:szCs w:val="21"/>
        </w:rPr>
      </w:pPr>
      <w:r>
        <w:rPr>
          <w:rFonts w:hint="eastAsia"/>
          <w:b w:val="0"/>
          <w:bCs/>
          <w:sz w:val="21"/>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b w:val="0"/>
          <w:bCs/>
          <w:sz w:val="21"/>
          <w:szCs w:val="21"/>
        </w:rPr>
      </w:pPr>
      <w:r>
        <w:rPr>
          <w:rFonts w:hint="eastAsia"/>
          <w:b w:val="0"/>
          <w:bCs/>
          <w:sz w:val="21"/>
          <w:szCs w:val="21"/>
        </w:rPr>
        <w:t>我国政府机构出具的产品检验和核准证件应为证件正面、背面和附件标注的全部具体内容；产品检验和核准证件的尺寸和清晰度应该能够在电脑上被阅读、识别和判断；</w:t>
      </w:r>
    </w:p>
    <w:p>
      <w:pPr>
        <w:ind w:firstLine="420" w:firstLineChars="200"/>
        <w:rPr>
          <w:b w:val="0"/>
          <w:bCs/>
          <w:sz w:val="21"/>
          <w:szCs w:val="21"/>
        </w:rPr>
      </w:pPr>
      <w:r>
        <w:rPr>
          <w:rFonts w:hint="eastAsia"/>
          <w:b w:val="0"/>
          <w:bCs/>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b w:val="0"/>
          <w:bCs/>
          <w:sz w:val="21"/>
          <w:szCs w:val="21"/>
        </w:rPr>
      </w:pPr>
      <w:r>
        <w:rPr>
          <w:rFonts w:hint="eastAsia"/>
          <w:b w:val="0"/>
          <w:bCs/>
          <w:sz w:val="21"/>
          <w:szCs w:val="21"/>
        </w:rPr>
        <w:t>其它证明资料的形式要求参照以上要求执行；</w:t>
      </w:r>
    </w:p>
    <w:p>
      <w:pPr>
        <w:ind w:firstLine="420" w:firstLineChars="200"/>
        <w:rPr>
          <w:b w:val="0"/>
          <w:bCs/>
          <w:sz w:val="21"/>
          <w:szCs w:val="21"/>
        </w:rPr>
      </w:pPr>
      <w:r>
        <w:rPr>
          <w:rFonts w:hint="eastAsia"/>
          <w:b w:val="0"/>
          <w:bCs/>
          <w:sz w:val="21"/>
          <w:szCs w:val="21"/>
        </w:rPr>
        <w:t>（4）证明资料均要求原件备查。</w:t>
      </w:r>
    </w:p>
    <w:p>
      <w:pPr>
        <w:ind w:firstLine="420" w:firstLineChars="200"/>
        <w:rPr>
          <w:b w:val="0"/>
          <w:bCs/>
          <w:sz w:val="21"/>
          <w:szCs w:val="21"/>
        </w:rPr>
      </w:pPr>
      <w:r>
        <w:rPr>
          <w:rFonts w:hint="eastAsia"/>
          <w:b w:val="0"/>
          <w:bCs/>
          <w:sz w:val="21"/>
          <w:szCs w:val="21"/>
        </w:rPr>
        <w:t>8、其它注意事项：</w:t>
      </w:r>
    </w:p>
    <w:p>
      <w:pPr>
        <w:ind w:firstLine="420" w:firstLineChars="200"/>
        <w:rPr>
          <w:b w:val="0"/>
          <w:bCs/>
          <w:sz w:val="21"/>
          <w:szCs w:val="21"/>
        </w:rPr>
      </w:pPr>
      <w:r>
        <w:rPr>
          <w:rFonts w:hint="eastAsia"/>
          <w:b w:val="0"/>
          <w:bCs/>
          <w:sz w:val="21"/>
          <w:szCs w:val="21"/>
        </w:rPr>
        <w:t>（1）评审委员会有权对投标人的响应情况作出判断（评审结论）；</w:t>
      </w:r>
    </w:p>
    <w:p>
      <w:pPr>
        <w:ind w:firstLine="420" w:firstLineChars="200"/>
        <w:rPr>
          <w:b w:val="0"/>
          <w:bCs/>
          <w:sz w:val="21"/>
          <w:szCs w:val="21"/>
        </w:rPr>
      </w:pPr>
      <w:r>
        <w:rPr>
          <w:rFonts w:hint="eastAsia"/>
          <w:b w:val="0"/>
          <w:bCs/>
          <w:sz w:val="21"/>
          <w:szCs w:val="21"/>
        </w:rPr>
        <w:t>（2）</w:t>
      </w:r>
      <w:bookmarkStart w:id="82" w:name="_Hlk72158213"/>
      <w:r>
        <w:rPr>
          <w:rFonts w:hint="eastAsia"/>
          <w:b w:val="0"/>
          <w:bCs/>
          <w:sz w:val="21"/>
          <w:szCs w:val="21"/>
        </w:rPr>
        <w:t>评审委员会有权对以谋取中标为目的的技术规格模糊响应（如有意不合理照搬照抄招标文件的技术要求）或虚假响应予以认定，并视情况经政府集中采购机构报主管部门进行处理。</w:t>
      </w:r>
      <w:bookmarkEnd w:id="82"/>
    </w:p>
    <w:p>
      <w:pPr>
        <w:rPr>
          <w:sz w:val="24"/>
        </w:rPr>
      </w:pPr>
    </w:p>
    <w:p>
      <w:pPr>
        <w:pStyle w:val="4"/>
        <w:jc w:val="center"/>
        <w:rPr>
          <w:rFonts w:hint="eastAsia" w:ascii="黑体" w:eastAsia="黑体"/>
          <w:b w:val="0"/>
          <w:sz w:val="24"/>
          <w:szCs w:val="24"/>
        </w:rPr>
      </w:pPr>
      <w:r>
        <w:rPr>
          <w:rFonts w:hint="eastAsia" w:ascii="黑体" w:eastAsia="黑体"/>
          <w:b w:val="0"/>
          <w:sz w:val="24"/>
          <w:szCs w:val="24"/>
          <w:lang w:val="en-US" w:eastAsia="zh-CN"/>
        </w:rPr>
        <w:t>十、</w:t>
      </w:r>
      <w:r>
        <w:rPr>
          <w:rFonts w:hint="eastAsia" w:ascii="黑体" w:eastAsia="黑体"/>
          <w:b w:val="0"/>
          <w:sz w:val="24"/>
          <w:szCs w:val="24"/>
        </w:rPr>
        <w:t>项目实施方案</w:t>
      </w:r>
    </w:p>
    <w:p>
      <w:pPr>
        <w:pStyle w:val="4"/>
        <w:jc w:val="center"/>
        <w:rPr>
          <w:rFonts w:hint="eastAsia" w:ascii="黑体" w:eastAsia="黑体"/>
          <w:b w:val="0"/>
          <w:sz w:val="24"/>
          <w:szCs w:val="24"/>
        </w:rPr>
      </w:pPr>
      <w:r>
        <w:rPr>
          <w:rFonts w:hint="eastAsia" w:ascii="黑体" w:eastAsia="黑体"/>
          <w:b w:val="0"/>
          <w:sz w:val="24"/>
          <w:szCs w:val="24"/>
          <w:lang w:val="en-US" w:eastAsia="zh-CN"/>
        </w:rPr>
        <w:t>十一、</w:t>
      </w:r>
      <w:r>
        <w:rPr>
          <w:rFonts w:hint="eastAsia" w:ascii="黑体" w:eastAsia="黑体"/>
          <w:b w:val="0"/>
          <w:sz w:val="24"/>
          <w:szCs w:val="24"/>
        </w:rPr>
        <w:t>免费保修期时长</w:t>
      </w:r>
    </w:p>
    <w:p>
      <w:pPr>
        <w:pStyle w:val="4"/>
        <w:jc w:val="center"/>
        <w:rPr>
          <w:rFonts w:hint="eastAsia" w:ascii="黑体" w:eastAsia="黑体"/>
          <w:b w:val="0"/>
          <w:sz w:val="24"/>
          <w:szCs w:val="24"/>
        </w:rPr>
      </w:pPr>
      <w:r>
        <w:rPr>
          <w:rFonts w:hint="eastAsia" w:ascii="黑体" w:eastAsia="黑体"/>
          <w:b w:val="0"/>
          <w:sz w:val="24"/>
          <w:szCs w:val="24"/>
          <w:lang w:val="en-US" w:eastAsia="zh-CN"/>
        </w:rPr>
        <w:t>十二、</w:t>
      </w:r>
      <w:r>
        <w:rPr>
          <w:rFonts w:hint="eastAsia" w:ascii="黑体" w:eastAsia="黑体"/>
          <w:b w:val="0"/>
          <w:sz w:val="24"/>
          <w:szCs w:val="24"/>
        </w:rPr>
        <w:t>同类业绩</w:t>
      </w:r>
    </w:p>
    <w:p>
      <w:pPr>
        <w:pStyle w:val="4"/>
        <w:jc w:val="center"/>
        <w:rPr>
          <w:rFonts w:hint="eastAsia" w:ascii="黑体" w:eastAsia="黑体"/>
          <w:b w:val="0"/>
          <w:sz w:val="24"/>
          <w:szCs w:val="24"/>
        </w:rPr>
      </w:pPr>
      <w:r>
        <w:rPr>
          <w:rFonts w:hint="eastAsia" w:ascii="黑体" w:eastAsia="黑体"/>
          <w:b w:val="0"/>
          <w:sz w:val="24"/>
          <w:szCs w:val="24"/>
          <w:lang w:val="en-US" w:eastAsia="zh-CN"/>
        </w:rPr>
        <w:t>十三、</w:t>
      </w:r>
      <w:r>
        <w:rPr>
          <w:rFonts w:hint="eastAsia" w:ascii="黑体" w:eastAsia="黑体"/>
          <w:b w:val="0"/>
          <w:sz w:val="24"/>
          <w:szCs w:val="24"/>
        </w:rPr>
        <w:t>投标人认为需要加以说明的其他内容</w:t>
      </w:r>
    </w:p>
    <w:p>
      <w:pPr>
        <w:widowControl/>
        <w:jc w:val="center"/>
        <w:rPr>
          <w:rFonts w:hint="eastAsia" w:ascii="黑体" w:hAnsi="宋体" w:eastAsia="黑体" w:cs="Times New Roman"/>
          <w:kern w:val="0"/>
          <w:sz w:val="24"/>
          <w:szCs w:val="20"/>
        </w:rPr>
      </w:pPr>
      <w:r>
        <w:rPr>
          <w:rFonts w:hint="eastAsia" w:ascii="黑体" w:hAnsi="宋体" w:eastAsia="黑体" w:cs="Times New Roman"/>
          <w:kern w:val="0"/>
          <w:sz w:val="24"/>
          <w:szCs w:val="20"/>
        </w:rPr>
        <w:t>（一）采购违法行为风险知悉确认书</w:t>
      </w:r>
    </w:p>
    <w:p>
      <w:pPr>
        <w:widowControl/>
        <w:jc w:val="center"/>
        <w:rPr>
          <w:rFonts w:hint="eastAsia" w:ascii="黑体" w:hAnsi="宋体" w:eastAsia="黑体" w:cs="Times New Roman"/>
          <w:kern w:val="0"/>
          <w:sz w:val="24"/>
          <w:szCs w:val="20"/>
        </w:rPr>
      </w:pPr>
    </w:p>
    <w:p>
      <w:pPr>
        <w:ind w:firstLine="420" w:firstLineChars="200"/>
        <w:rPr>
          <w:rFonts w:ascii="Times New Roman" w:hAnsi="Times New Roman" w:eastAsia="宋体" w:cs="Times New Roman"/>
        </w:rPr>
      </w:pPr>
      <w:r>
        <w:rPr>
          <w:rFonts w:hint="eastAsia" w:ascii="Times New Roman" w:hAnsi="Times New Roman" w:eastAsia="宋体" w:cs="Times New Roman"/>
        </w:rPr>
        <w:t>本公司在投标前已充分知悉以下情形为参与自行采购活动时的重大风险事项，并承诺已对下述风险提示事项重点排查，做到严谨、诚信、依法依规参与自行采购活动。</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一、本公司已充分知悉“隐瞒真实情况，提供虚假资料”的法定情形，相关情形包括但不限于：</w:t>
      </w:r>
    </w:p>
    <w:p>
      <w:pPr>
        <w:ind w:firstLine="420" w:firstLineChars="200"/>
        <w:rPr>
          <w:rFonts w:ascii="Times New Roman" w:hAnsi="Times New Roman" w:eastAsia="宋体" w:cs="Times New Roman"/>
        </w:rPr>
      </w:pPr>
      <w:r>
        <w:rPr>
          <w:rFonts w:hint="eastAsia" w:ascii="Times New Roman" w:hAnsi="Times New Roman" w:eastAsia="宋体" w:cs="Times New Roman"/>
        </w:rPr>
        <w:t>（一）通过转让或者租借等方式从其他单位获取资格或者资质证书投标的。</w:t>
      </w:r>
    </w:p>
    <w:p>
      <w:pPr>
        <w:ind w:firstLine="420" w:firstLineChars="200"/>
        <w:rPr>
          <w:rFonts w:ascii="Times New Roman" w:hAnsi="Times New Roman" w:eastAsia="宋体" w:cs="Times New Roman"/>
        </w:rPr>
      </w:pPr>
      <w:r>
        <w:rPr>
          <w:rFonts w:hint="eastAsia" w:ascii="Times New Roman" w:hAnsi="Times New Roman" w:eastAsia="宋体" w:cs="Times New Roman"/>
        </w:rPr>
        <w:t>（二）由其他单位或者其他单位负责人在投标供应商编制的投标文件上加盖印章或者签字的。</w:t>
      </w:r>
    </w:p>
    <w:p>
      <w:pPr>
        <w:ind w:firstLine="420" w:firstLineChars="200"/>
        <w:rPr>
          <w:rFonts w:ascii="Times New Roman" w:hAnsi="Times New Roman" w:eastAsia="宋体" w:cs="Times New Roman"/>
        </w:rPr>
      </w:pPr>
      <w:r>
        <w:rPr>
          <w:rFonts w:hint="eastAsia" w:ascii="Times New Roman" w:hAnsi="Times New Roman" w:eastAsia="宋体" w:cs="Times New Roman"/>
        </w:rPr>
        <w:t>（三）项目负责人或者主要技术人员不是本单位人员的。</w:t>
      </w:r>
    </w:p>
    <w:p>
      <w:pPr>
        <w:ind w:firstLine="420" w:firstLineChars="200"/>
        <w:rPr>
          <w:rFonts w:ascii="Times New Roman" w:hAnsi="Times New Roman" w:eastAsia="宋体" w:cs="Times New Roman"/>
        </w:rPr>
      </w:pPr>
      <w:r>
        <w:rPr>
          <w:rFonts w:hint="eastAsia" w:ascii="Times New Roman" w:hAnsi="Times New Roman" w:eastAsia="宋体" w:cs="Times New Roman"/>
        </w:rPr>
        <w:t>（四）投标保证金不是从投标供应商基本账户转出的。</w:t>
      </w:r>
    </w:p>
    <w:p>
      <w:pPr>
        <w:ind w:firstLine="420" w:firstLineChars="200"/>
        <w:rPr>
          <w:rFonts w:ascii="Times New Roman" w:hAnsi="Times New Roman" w:eastAsia="宋体" w:cs="Times New Roman"/>
        </w:rPr>
      </w:pPr>
      <w:r>
        <w:rPr>
          <w:rFonts w:hint="eastAsia" w:ascii="Times New Roman" w:hAnsi="Times New Roman" w:eastAsia="宋体" w:cs="Times New Roman"/>
        </w:rPr>
        <w:t>（五）其他隐瞒真实情况、提供虚假资料的行为。</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二、本公司已充分知悉“与其他采购参加人串通投标”的法定情形，相关情形包括但不限于：</w:t>
      </w:r>
    </w:p>
    <w:p>
      <w:pPr>
        <w:ind w:firstLine="420" w:firstLineChars="200"/>
        <w:rPr>
          <w:rFonts w:ascii="Times New Roman" w:hAnsi="Times New Roman" w:eastAsia="宋体" w:cs="Times New Roman"/>
        </w:rPr>
      </w:pPr>
      <w:r>
        <w:rPr>
          <w:rFonts w:hint="eastAsia" w:ascii="Times New Roman" w:hAnsi="Times New Roman" w:eastAsia="宋体" w:cs="Times New Roman"/>
        </w:rPr>
        <w:t>（一）投标供应商之间相互约定给予未中标的供应商利益补偿。</w:t>
      </w:r>
    </w:p>
    <w:p>
      <w:pPr>
        <w:ind w:firstLine="420" w:firstLineChars="200"/>
        <w:rPr>
          <w:rFonts w:ascii="Times New Roman" w:hAnsi="Times New Roman" w:eastAsia="宋体" w:cs="Times New Roman"/>
        </w:rPr>
      </w:pPr>
      <w:r>
        <w:rPr>
          <w:rFonts w:hint="eastAsia" w:ascii="Times New Roman" w:hAnsi="Times New Roman" w:eastAsia="宋体" w:cs="Times New Roman"/>
        </w:rPr>
        <w:t>（二）不同投标供应商的法定代表人、主要经营负责人、项目投标授权代表人、项目负责人、主要技术人员为同一人、属同一单位或者在同一单位缴纳社会保险。</w:t>
      </w:r>
    </w:p>
    <w:p>
      <w:pPr>
        <w:ind w:firstLine="420" w:firstLineChars="200"/>
        <w:rPr>
          <w:rFonts w:ascii="Times New Roman" w:hAnsi="Times New Roman" w:eastAsia="宋体" w:cs="Times New Roman"/>
        </w:rPr>
      </w:pPr>
      <w:r>
        <w:rPr>
          <w:rFonts w:hint="eastAsia" w:ascii="Times New Roman" w:hAnsi="Times New Roman" w:eastAsia="宋体" w:cs="Times New Roman"/>
        </w:rPr>
        <w:t>（三）不同投标供应商的投标文件由同一单位或者同一人编制，或者由同一人分阶段参与编制的。</w:t>
      </w:r>
    </w:p>
    <w:p>
      <w:pPr>
        <w:ind w:firstLine="420" w:firstLineChars="200"/>
        <w:rPr>
          <w:rFonts w:ascii="Times New Roman" w:hAnsi="Times New Roman" w:eastAsia="宋体" w:cs="Times New Roman"/>
        </w:rPr>
      </w:pPr>
      <w:r>
        <w:rPr>
          <w:rFonts w:hint="eastAsia" w:ascii="Times New Roman" w:hAnsi="Times New Roman" w:eastAsia="宋体" w:cs="Times New Roman"/>
        </w:rPr>
        <w:t>（四）不同投标供应商的投标文件或部分投标文件相互混装。</w:t>
      </w:r>
    </w:p>
    <w:p>
      <w:pPr>
        <w:ind w:firstLine="420" w:firstLineChars="200"/>
        <w:rPr>
          <w:rFonts w:ascii="Times New Roman" w:hAnsi="Times New Roman" w:eastAsia="宋体" w:cs="Times New Roman"/>
        </w:rPr>
      </w:pPr>
      <w:r>
        <w:rPr>
          <w:rFonts w:hint="eastAsia" w:ascii="Times New Roman" w:hAnsi="Times New Roman" w:eastAsia="宋体" w:cs="Times New Roman"/>
        </w:rPr>
        <w:t>（五）不同投标供应商的投标文件内容存在非正常一致。</w:t>
      </w:r>
    </w:p>
    <w:p>
      <w:pPr>
        <w:ind w:firstLine="420" w:firstLineChars="200"/>
        <w:rPr>
          <w:rFonts w:ascii="Times New Roman" w:hAnsi="Times New Roman" w:eastAsia="宋体" w:cs="Times New Roman"/>
        </w:rPr>
      </w:pPr>
      <w:r>
        <w:rPr>
          <w:rFonts w:hint="eastAsia" w:ascii="Times New Roman" w:hAnsi="Times New Roman" w:eastAsia="宋体" w:cs="Times New Roman"/>
        </w:rPr>
        <w:t>（六）由同一单位工作人员为两家以上（含两家）供应商进行同一项投标活动的。</w:t>
      </w:r>
    </w:p>
    <w:p>
      <w:pPr>
        <w:ind w:firstLine="420" w:firstLineChars="200"/>
        <w:rPr>
          <w:rFonts w:ascii="Times New Roman" w:hAnsi="Times New Roman" w:eastAsia="宋体" w:cs="Times New Roman"/>
        </w:rPr>
      </w:pPr>
      <w:r>
        <w:rPr>
          <w:rFonts w:hint="eastAsia" w:ascii="Times New Roman" w:hAnsi="Times New Roman" w:eastAsia="宋体" w:cs="Times New Roman"/>
        </w:rPr>
        <w:t>（七）不同投标人的投标报价呈规律性差异。</w:t>
      </w:r>
    </w:p>
    <w:p>
      <w:pPr>
        <w:ind w:firstLine="420" w:firstLineChars="200"/>
        <w:rPr>
          <w:rFonts w:ascii="Times New Roman" w:hAnsi="Times New Roman" w:eastAsia="宋体" w:cs="Times New Roman"/>
        </w:rPr>
      </w:pPr>
      <w:r>
        <w:rPr>
          <w:rFonts w:hint="eastAsia" w:ascii="Times New Roman" w:hAnsi="Times New Roman" w:eastAsia="宋体" w:cs="Times New Roman"/>
        </w:rPr>
        <w:t>（八）不同投标人的投标保证金从同一单位或者个人的账户转出。</w:t>
      </w:r>
    </w:p>
    <w:p>
      <w:pPr>
        <w:ind w:firstLine="420" w:firstLineChars="200"/>
        <w:rPr>
          <w:rFonts w:ascii="Times New Roman" w:hAnsi="Times New Roman" w:eastAsia="宋体" w:cs="Times New Roman"/>
        </w:rPr>
      </w:pPr>
      <w:r>
        <w:rPr>
          <w:rFonts w:hint="eastAsia" w:ascii="Times New Roman" w:hAnsi="Times New Roman" w:eastAsia="宋体" w:cs="Times New Roman"/>
        </w:rPr>
        <w:t>（九）主管部门依照法律、法规认定的其他情形。</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三、本公司已充分知悉下列情形所对应的法律风险，并在投标前已对相关风险事项进行排查。</w:t>
      </w:r>
    </w:p>
    <w:p>
      <w:pPr>
        <w:ind w:firstLine="420" w:firstLineChars="200"/>
        <w:rPr>
          <w:rFonts w:ascii="Times New Roman" w:hAnsi="Times New Roman" w:eastAsia="宋体" w:cs="Times New Roman"/>
          <w:b/>
        </w:rPr>
      </w:pPr>
      <w:r>
        <w:rPr>
          <w:rFonts w:hint="eastAsia" w:ascii="Times New Roman" w:hAnsi="Times New Roman" w:eastAsia="宋体" w:cs="Times New Roman"/>
        </w:rPr>
        <w:t>（一）对于从其他主体获取的投标资料，供应商应审慎核查，确保投标资料的真实性。</w:t>
      </w:r>
      <w:r>
        <w:rPr>
          <w:rFonts w:hint="eastAsia" w:ascii="Times New Roman" w:hAnsi="Times New Roman" w:eastAsia="宋体" w:cs="Times New Roman"/>
          <w:b/>
        </w:rPr>
        <w:t>如主管部门查实投标文件中存在虚假资料的，无论相关资料是否由第三方或本公司员工提供，均不影响主管部门对供应商存在“隐瞒真实情况，提供虚假资料”违法行为的认定。</w:t>
      </w:r>
    </w:p>
    <w:p>
      <w:pPr>
        <w:ind w:firstLine="420" w:firstLineChars="200"/>
        <w:rPr>
          <w:rFonts w:ascii="Times New Roman" w:hAnsi="Times New Roman" w:eastAsia="宋体" w:cs="Times New Roman"/>
        </w:rPr>
      </w:pPr>
      <w:r>
        <w:rPr>
          <w:rFonts w:hint="eastAsia" w:ascii="Times New Roman" w:hAnsi="Times New Roman" w:eastAsia="宋体" w:cs="Times New Roman"/>
        </w:rPr>
        <w:t>（二）对于涉及国家机关出具的公文、证件、证明材料等文件，一旦涉嫌虚假，经查实，主管部门将依法从严处理，并移送有关部门追究法律责任；涉嫌犯罪的，主管部门将一并移送司法机关追究法律责任。</w:t>
      </w:r>
    </w:p>
    <w:p>
      <w:pPr>
        <w:ind w:firstLine="420" w:firstLineChars="200"/>
        <w:rPr>
          <w:rFonts w:ascii="Times New Roman" w:hAnsi="Times New Roman" w:eastAsia="宋体" w:cs="Times New Roman"/>
        </w:rPr>
      </w:pPr>
      <w:r>
        <w:rPr>
          <w:rFonts w:hint="eastAsia" w:ascii="Times New Roman" w:hAnsi="Times New Roman" w:eastAsia="宋体" w:cs="Times New Roman"/>
        </w:rPr>
        <w:t>（三）对于涉及安全生产、特种作业、抢险救灾、防疫等采购项目，供应商实施提供虚假资料、串通投标等违法行为的，主管部门将依法从严处理。</w:t>
      </w:r>
    </w:p>
    <w:p>
      <w:pPr>
        <w:ind w:firstLine="420" w:firstLineChars="200"/>
        <w:rPr>
          <w:rFonts w:ascii="Times New Roman" w:hAnsi="Times New Roman" w:eastAsia="宋体" w:cs="Times New Roman"/>
        </w:rPr>
      </w:pPr>
      <w:r>
        <w:rPr>
          <w:rFonts w:hint="eastAsia" w:ascii="Times New Roman" w:hAnsi="Times New Roman" w:eastAsia="宋体" w:cs="Times New Roma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ind w:firstLine="420" w:firstLineChars="200"/>
        <w:rPr>
          <w:rFonts w:ascii="Times New Roman" w:hAnsi="Times New Roman" w:eastAsia="宋体" w:cs="Times New Roman"/>
        </w:rPr>
      </w:pPr>
      <w:r>
        <w:rPr>
          <w:rFonts w:hint="eastAsia" w:ascii="Times New Roman" w:hAnsi="Times New Roman" w:eastAsia="宋体" w:cs="Times New Roman"/>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pPr>
        <w:ind w:firstLine="420" w:firstLineChars="200"/>
        <w:rPr>
          <w:rFonts w:ascii="Times New Roman" w:hAnsi="Times New Roman" w:eastAsia="宋体" w:cs="Times New Roman"/>
        </w:rPr>
      </w:pPr>
      <w:r>
        <w:rPr>
          <w:rFonts w:hint="eastAsia" w:ascii="Times New Roman" w:hAnsi="Times New Roman" w:eastAsia="宋体" w:cs="Times New Roman"/>
        </w:rPr>
        <w:t>（六）单位负责人为同一人或者存在直接控股、管理关系的不同供应商，不得参加同一合同项下的采购活动。相关情形如查实，依法作投标无效处理；涉嫌串通投标等违法行为的，主管部门将依法调查处理。</w:t>
      </w:r>
    </w:p>
    <w:p>
      <w:pPr>
        <w:ind w:firstLine="422" w:firstLineChars="200"/>
        <w:rPr>
          <w:rFonts w:ascii="Times New Roman" w:hAnsi="Times New Roman" w:eastAsia="宋体" w:cs="Times New Roman"/>
          <w:b/>
        </w:rPr>
      </w:pPr>
      <w:r>
        <w:rPr>
          <w:rFonts w:hint="eastAsia" w:ascii="Times New Roman" w:hAnsi="Times New Roman" w:eastAsia="宋体" w:cs="Times New Roman"/>
          <w:b/>
        </w:rPr>
        <w:t>四、本公司已充分知悉采购违法、违规行为的法律后果。</w:t>
      </w:r>
    </w:p>
    <w:p>
      <w:pPr>
        <w:ind w:firstLine="420" w:firstLineChars="200"/>
        <w:rPr>
          <w:rFonts w:ascii="Times New Roman" w:hAnsi="Times New Roman" w:eastAsia="宋体" w:cs="Times New Roman"/>
        </w:rPr>
      </w:pPr>
      <w:r>
        <w:rPr>
          <w:rFonts w:hint="eastAsia" w:ascii="Times New Roman" w:hAnsi="Times New Roman" w:eastAsia="宋体" w:cs="Times New Roman"/>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ind w:firstLine="420" w:firstLineChars="200"/>
        <w:rPr>
          <w:rFonts w:ascii="Times New Roman" w:hAnsi="Times New Roman" w:eastAsia="宋体" w:cs="Times New Roman"/>
        </w:rPr>
      </w:pPr>
      <w:r>
        <w:rPr>
          <w:rFonts w:hint="eastAsia" w:ascii="Times New Roman" w:hAnsi="Times New Roman" w:eastAsia="宋体" w:cs="Times New Roman"/>
        </w:rPr>
        <w:t>以下文字请投标供应商抄写并确认：“本公司已仔细阅读《采购违法行为风险知悉确认书》，充分知悉违法行为的法律后果，并承诺将严谨、诚信、依法依规参与采购活动”。</w:t>
      </w:r>
    </w:p>
    <w:tbl>
      <w:tblPr>
        <w:tblStyle w:val="476"/>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bl>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负责人/投标授权代表签名：</w:t>
      </w:r>
      <w:r>
        <w:rPr>
          <w:rFonts w:hint="eastAsia" w:ascii="宋体" w:hAnsi="宋体" w:cs="Times New Roman"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知悉人（公章）：</w:t>
      </w:r>
      <w:r>
        <w:rPr>
          <w:rFonts w:hint="eastAsia" w:ascii="宋体" w:hAnsi="宋体" w:cs="Times New Roman"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 xml:space="preserve">     日期：</w:t>
      </w:r>
      <w:r>
        <w:rPr>
          <w:rFonts w:hint="eastAsia" w:ascii="宋体" w:hAnsi="宋体" w:cs="Times New Roman" w:eastAsiaTheme="minorEastAsia"/>
          <w:spacing w:val="-4"/>
          <w:kern w:val="0"/>
          <w:szCs w:val="21"/>
          <w:u w:val="single"/>
        </w:rPr>
        <w:t xml:space="preserve">              </w:t>
      </w:r>
    </w:p>
    <w:p>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注：</w:t>
      </w:r>
    </w:p>
    <w:p>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1.</w:t>
      </w:r>
      <w:r>
        <w:rPr>
          <w:rFonts w:hint="eastAsia" w:ascii="Times New Roman" w:hAnsi="Times New Roman" w:eastAsia="宋体" w:cs="Times New Roman"/>
        </w:rPr>
        <w:t xml:space="preserve"> </w:t>
      </w:r>
      <w:r>
        <w:rPr>
          <w:rFonts w:hint="eastAsia" w:ascii="宋体" w:hAnsi="宋体" w:cs="Times New Roman"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hint="eastAsia" w:ascii="宋体" w:hAnsi="宋体" w:cs="Times New Roman" w:eastAsiaTheme="minorEastAsia"/>
          <w:color w:val="FF0000"/>
          <w:spacing w:val="-4"/>
          <w:kern w:val="0"/>
          <w:szCs w:val="21"/>
        </w:rPr>
      </w:pPr>
      <w:r>
        <w:rPr>
          <w:rFonts w:hint="eastAsia" w:ascii="宋体" w:hAnsi="宋体" w:cs="Times New Roman" w:eastAsiaTheme="minorEastAsia"/>
          <w:b/>
          <w:bCs/>
          <w:color w:val="FF0000"/>
          <w:spacing w:val="-4"/>
          <w:kern w:val="0"/>
          <w:szCs w:val="21"/>
        </w:rPr>
        <w:t>2.投标供应商负责人或投标授权代表签字并加盖单位公章后，扫描上传至投标文件一并提交。</w:t>
      </w:r>
    </w:p>
    <w:p>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pPr>
        <w:pStyle w:val="9"/>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pPr>
        <w:ind w:left="420" w:leftChars="200" w:firstLine="210" w:firstLineChars="100"/>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pPr>
        <w:ind w:left="420" w:leftChars="200" w:firstLine="210" w:firstLineChars="100"/>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p>
    <w:p>
      <w:pPr>
        <w:ind w:left="420" w:leftChars="200" w:firstLine="210" w:firstLineChars="100"/>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pPr>
        <w:ind w:firstLine="630" w:firstLineChars="300"/>
        <w:rPr>
          <w:rFonts w:eastAsiaTheme="minorEastAsia"/>
          <w:b/>
          <w:bCs/>
          <w:kern w:val="0"/>
          <w:sz w:val="24"/>
        </w:rPr>
      </w:pPr>
      <w:r>
        <w:rPr>
          <w:rFonts w:hint="eastAsia" w:ascii="宋体" w:hAnsi="宋体"/>
        </w:rPr>
        <w:t>………………（根据项目具体情况增加与综合实力评审相关的节点）</w:t>
      </w:r>
    </w:p>
    <w:p>
      <w:pPr>
        <w:widowControl/>
        <w:jc w:val="center"/>
        <w:rPr>
          <w:rFonts w:ascii="黑体" w:hAnsi="宋体" w:eastAsia="黑体"/>
          <w:bCs/>
          <w:kern w:val="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pPr>
        <w:rPr>
          <w:rFonts w:hint="eastAsia"/>
        </w:rPr>
      </w:pPr>
      <w:r>
        <w:rPr>
          <w:rFonts w:hint="eastAsia"/>
        </w:rPr>
        <w:br w:type="page"/>
      </w:r>
    </w:p>
    <w:p>
      <w:pPr>
        <w:pStyle w:val="6"/>
      </w:pPr>
      <w:r>
        <w:rPr>
          <w:rFonts w:hint="eastAsia"/>
        </w:rPr>
        <w:t>第五章  合同条款及格式</w:t>
      </w:r>
    </w:p>
    <w:p/>
    <w:p>
      <w:pPr>
        <w:jc w:val="center"/>
        <w:outlineLvl w:val="9"/>
      </w:pPr>
      <w:bookmarkStart w:id="83" w:name="_Toc3995"/>
      <w:r>
        <w:rPr>
          <w:rFonts w:hint="eastAsia"/>
          <w:b/>
          <w:sz w:val="24"/>
        </w:rPr>
        <w:t>（仅供参考，具体以项目需求及采购结果为准）</w:t>
      </w:r>
    </w:p>
    <w:p>
      <w:pPr>
        <w:widowControl w:val="0"/>
        <w:spacing w:after="0"/>
        <w:jc w:val="center"/>
        <w:outlineLvl w:val="9"/>
        <w:rPr>
          <w:rFonts w:ascii="宋体" w:hAnsi="宋体" w:eastAsia="宋体" w:cs="宋体"/>
          <w:b/>
          <w:bCs/>
          <w:spacing w:val="-20"/>
          <w:kern w:val="44"/>
          <w:sz w:val="48"/>
          <w:szCs w:val="48"/>
          <w:lang w:val="en-US" w:eastAsia="zh-CN" w:bidi="ar-SA"/>
        </w:rPr>
      </w:pPr>
    </w:p>
    <w:p>
      <w:pPr>
        <w:widowControl w:val="0"/>
        <w:spacing w:after="0"/>
        <w:jc w:val="center"/>
        <w:outlineLvl w:val="9"/>
        <w:rPr>
          <w:rFonts w:ascii="宋体" w:hAnsi="宋体" w:eastAsia="宋体" w:cs="宋体"/>
          <w:b/>
          <w:bCs/>
          <w:spacing w:val="-20"/>
          <w:kern w:val="44"/>
          <w:sz w:val="48"/>
          <w:szCs w:val="48"/>
          <w:lang w:val="en-US" w:eastAsia="zh-CN" w:bidi="ar-SA"/>
        </w:rPr>
      </w:pPr>
    </w:p>
    <w:p>
      <w:pPr>
        <w:pStyle w:val="9"/>
        <w:outlineLvl w:val="9"/>
        <w:rPr>
          <w:lang w:val="en-US" w:eastAsia="zh-CN"/>
        </w:rPr>
      </w:pP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政府采购货物买卖合同</w:t>
      </w: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（试行）</w:t>
      </w: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pPr>
        <w:rPr>
          <w:rFonts w:eastAsia="宋体"/>
        </w:rPr>
      </w:pPr>
    </w:p>
    <w:p>
      <w:pPr>
        <w:rPr>
          <w:rFonts w:eastAsia="黑体"/>
          <w:sz w:val="44"/>
          <w:szCs w:val="44"/>
        </w:rPr>
      </w:pPr>
      <w:r>
        <w:rPr>
          <w:rFonts w:eastAsia="黑体"/>
          <w:sz w:val="44"/>
          <w:szCs w:val="44"/>
        </w:rPr>
        <w:br w:type="page"/>
      </w:r>
    </w:p>
    <w:p>
      <w:pPr>
        <w:rPr>
          <w:rFonts w:eastAsia="黑体"/>
          <w:sz w:val="44"/>
          <w:szCs w:val="44"/>
        </w:rPr>
      </w:pPr>
    </w:p>
    <w:p>
      <w:pPr>
        <w:rPr>
          <w:rFonts w:eastAsia="黑体"/>
          <w:sz w:val="44"/>
          <w:szCs w:val="44"/>
        </w:rPr>
      </w:pPr>
    </w:p>
    <w:p>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p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pPr>
        <w:numPr>
          <w:ilvl w:val="0"/>
          <w:numId w:val="0"/>
        </w:numPr>
        <w:ind w:firstLine="640" w:firstLineChars="200"/>
        <w:rPr>
          <w:rFonts w:hint="default" w:eastAsia="黑体"/>
          <w:sz w:val="44"/>
          <w:szCs w:val="44"/>
          <w:lang w:val="en-US" w:eastAsia="zh-CN"/>
        </w:rPr>
      </w:pP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pPr>
        <w:ind w:firstLine="880" w:firstLineChars="200"/>
        <w:jc w:val="both"/>
        <w:rPr>
          <w:rFonts w:eastAsia="黑体"/>
          <w:sz w:val="44"/>
          <w:szCs w:val="4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83"/>
    <w:p>
      <w:pPr>
        <w:keepNext/>
        <w:keepLines/>
        <w:widowControl w:val="0"/>
        <w:adjustRightInd w:val="0"/>
        <w:snapToGrid w:val="0"/>
        <w:spacing w:beforeLines="0" w:line="400" w:lineRule="exact"/>
        <w:jc w:val="center"/>
        <w:outlineLvl w:val="9"/>
        <w:rPr>
          <w:rFonts w:hint="eastAsia" w:ascii="黑体" w:hAnsi="黑体" w:eastAsia="黑体" w:cs="Times New Roman"/>
          <w:b/>
          <w:bCs/>
          <w:kern w:val="2"/>
          <w:sz w:val="28"/>
          <w:szCs w:val="28"/>
          <w:lang w:val="en-US" w:eastAsia="zh-CN" w:bidi="ar-SA"/>
        </w:rPr>
      </w:pPr>
      <w:bookmarkStart w:id="84" w:name="_Toc22209"/>
    </w:p>
    <w:p>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lang w:val="en-US" w:eastAsia="zh-CN" w:bidi="ar-SA"/>
        </w:rPr>
      </w:pPr>
      <w:r>
        <w:rPr>
          <w:rFonts w:hint="eastAsia" w:ascii="黑体" w:hAnsi="黑体" w:eastAsia="黑体" w:cs="Times New Roman"/>
          <w:b w:val="0"/>
          <w:bCs w:val="0"/>
          <w:kern w:val="2"/>
          <w:sz w:val="28"/>
          <w:szCs w:val="28"/>
          <w:lang w:val="en-US" w:eastAsia="zh-CN" w:bidi="ar-SA"/>
        </w:rPr>
        <w:t xml:space="preserve">第一节 </w:t>
      </w:r>
      <w:r>
        <w:rPr>
          <w:rFonts w:hint="eastAsia" w:ascii="黑体" w:hAnsi="华文中宋" w:eastAsia="黑体" w:cs="Times New Roman"/>
          <w:b w:val="0"/>
          <w:bCs w:val="0"/>
          <w:kern w:val="2"/>
          <w:sz w:val="28"/>
          <w:szCs w:val="28"/>
          <w:lang w:val="en-US" w:eastAsia="zh-CN" w:bidi="ar-SA"/>
        </w:rPr>
        <w:t>政府采购合同协议书</w:t>
      </w:r>
      <w:bookmarkEnd w:id="84"/>
    </w:p>
    <w:p>
      <w:pPr>
        <w:keepNext/>
        <w:keepLines/>
        <w:widowControl w:val="0"/>
        <w:adjustRightInd w:val="0"/>
        <w:snapToGrid w:val="0"/>
        <w:spacing w:beforeLines="0" w:line="400" w:lineRule="exact"/>
        <w:jc w:val="center"/>
        <w:outlineLvl w:val="9"/>
        <w:rPr>
          <w:rFonts w:hint="eastAsia" w:ascii="黑体" w:hAnsi="华文中宋" w:eastAsia="黑体" w:cs="Times New Roman"/>
          <w:b w:val="0"/>
          <w:bCs w:val="0"/>
          <w:kern w:val="2"/>
          <w:sz w:val="28"/>
          <w:szCs w:val="28"/>
          <w:lang w:val="en-US" w:eastAsia="zh-CN" w:bidi="ar-SA"/>
        </w:rPr>
      </w:pPr>
    </w:p>
    <w:p>
      <w:pPr>
        <w:adjustRightInd w:val="0"/>
        <w:snapToGrid w:val="0"/>
        <w:spacing w:before="0" w:beforeLines="0" w:line="400" w:lineRule="exact"/>
        <w:rPr>
          <w:rFonts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或采购</w:t>
      </w:r>
      <w:r>
        <w:rPr>
          <w:rFonts w:hint="eastAsia" w:ascii="宋体" w:hAnsi="宋体" w:eastAsia="宋体"/>
          <w:szCs w:val="21"/>
          <w:lang w:val="en-US" w:eastAsia="zh-CN"/>
        </w:rPr>
        <w:tab/>
      </w:r>
      <w:r>
        <w:rPr>
          <w:rFonts w:hint="eastAsia" w:ascii="宋体" w:hAnsi="宋体" w:eastAsia="宋体"/>
          <w:szCs w:val="21"/>
          <w:lang w:val="en-US" w:eastAsia="zh-CN"/>
        </w:rPr>
        <w:t xml:space="preserve">                                   </w:t>
      </w:r>
      <w:r>
        <w:rPr>
          <w:rFonts w:hint="eastAsia" w:ascii="宋体" w:hAnsi="宋体" w:eastAsia="宋体"/>
          <w:szCs w:val="21"/>
        </w:rPr>
        <w:t>文件约定的合同甲方）</w:t>
      </w:r>
    </w:p>
    <w:p>
      <w:pPr>
        <w:adjustRightInd w:val="0"/>
        <w:snapToGrid w:val="0"/>
        <w:spacing w:before="0" w:beforeLines="0" w:line="400" w:lineRule="exact"/>
        <w:rPr>
          <w:rFonts w:ascii="宋体" w:hAnsi="宋体" w:eastAsia="宋体"/>
          <w:szCs w:val="21"/>
        </w:rPr>
      </w:pPr>
      <w:r>
        <w:rPr>
          <w:rFonts w:hint="eastAsia" w:ascii="宋体" w:hAnsi="宋体" w:eastAsia="宋体"/>
          <w:szCs w:val="21"/>
        </w:rPr>
        <w:t>乙方</w:t>
      </w:r>
      <w:r>
        <w:rPr>
          <w:rFonts w:hint="eastAsia" w:ascii="宋体" w:hAnsi="宋体" w:eastAsia="宋体"/>
          <w:szCs w:val="21"/>
          <w:lang w:val="en-US" w:eastAsia="zh-CN"/>
        </w:rPr>
        <w:t>1</w:t>
      </w:r>
      <w:r>
        <w:rPr>
          <w:rFonts w:hint="eastAsia" w:ascii="宋体" w:hAnsi="宋体" w:eastAsia="宋体"/>
          <w:szCs w:val="21"/>
        </w:rPr>
        <w:t>（全称）：</w:t>
      </w:r>
      <w:r>
        <w:rPr>
          <w:rFonts w:hint="eastAsia" w:ascii="宋体" w:hAnsi="宋体" w:eastAsia="宋体"/>
          <w:szCs w:val="21"/>
          <w:u w:val="single"/>
        </w:rPr>
        <w:t xml:space="preserve">                       </w:t>
      </w:r>
      <w:r>
        <w:rPr>
          <w:rFonts w:hint="eastAsia" w:ascii="宋体" w:hAnsi="宋体" w:eastAsia="宋体"/>
          <w:szCs w:val="21"/>
        </w:rPr>
        <w:t>（供应商）</w:t>
      </w:r>
    </w:p>
    <w:p>
      <w:pPr>
        <w:adjustRightInd w:val="0"/>
        <w:snapToGrid w:val="0"/>
        <w:spacing w:before="0" w:beforeLines="0"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adjustRightInd w:val="0"/>
        <w:snapToGrid w:val="0"/>
        <w:spacing w:before="0" w:beforeLines="0" w:line="400" w:lineRule="exact"/>
        <w:rPr>
          <w:rFonts w:hint="eastAsia" w:ascii="宋体" w:hAnsi="宋体" w:eastAsia="宋体"/>
          <w:szCs w:val="21"/>
        </w:rPr>
      </w:pPr>
      <w:r>
        <w:rPr>
          <w:rFonts w:hint="eastAsia" w:eastAsia="宋体"/>
          <w:lang w:eastAsia="zh-CN"/>
        </w:rPr>
        <w:t>乙方</w:t>
      </w:r>
      <w:r>
        <w:rPr>
          <w:rFonts w:hint="eastAsia" w:ascii="宋体" w:hAnsi="宋体" w:eastAsia="宋体"/>
          <w:szCs w:val="21"/>
          <w:lang w:val="en-US" w:eastAsia="zh-CN"/>
        </w:rPr>
        <w:t>3</w:t>
      </w:r>
      <w:r>
        <w:rPr>
          <w:rFonts w:hint="eastAsia" w:eastAsia="宋体"/>
          <w:lang w:val="en-US" w:eastAsia="zh-CN"/>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spacing w:beforeLines="0" w:line="400" w:lineRule="exact"/>
        <w:rPr>
          <w:rFonts w:hint="default" w:eastAsia="宋体"/>
          <w:lang w:val="en-US" w:eastAsia="zh-CN"/>
        </w:rPr>
      </w:pP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依据《中华人民共和国民法典》《中华人民共和国政府采购法》《深圳经济特区政府采购条例》等有关的法律法规，以及</w:t>
      </w:r>
      <w:r>
        <w:rPr>
          <w:rFonts w:hint="eastAsia" w:ascii="宋体" w:hAnsi="宋体" w:eastAsia="宋体" w:cs="Times New Roman"/>
          <w:i w:val="0"/>
          <w:iCs w:val="0"/>
          <w:kern w:val="2"/>
          <w:sz w:val="21"/>
          <w:szCs w:val="21"/>
          <w:u w:val="none"/>
          <w:lang w:val="en-US" w:eastAsia="zh-CN" w:bidi="ar-SA"/>
        </w:rPr>
        <w:t>本采购项目</w:t>
      </w:r>
      <w:r>
        <w:rPr>
          <w:rFonts w:hint="eastAsia" w:ascii="宋体" w:hAnsi="宋体" w:eastAsia="宋体" w:cs="Times New Roman"/>
          <w:kern w:val="2"/>
          <w:sz w:val="21"/>
          <w:szCs w:val="21"/>
          <w:lang w:val="en-US" w:eastAsia="zh-CN" w:bidi="ar-SA"/>
        </w:rPr>
        <w:t xml:space="preserve">的招标文件等采购文件、乙方的《投标（响应）文件》及《中标（成交）通知书》，甲乙双方同意签订本合同。具体情况及要求如下：     </w:t>
      </w:r>
    </w:p>
    <w:p>
      <w:pPr>
        <w:numPr>
          <w:ilvl w:val="0"/>
          <w:numId w:val="10"/>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项目信息</w:t>
      </w:r>
    </w:p>
    <w:p>
      <w:pPr>
        <w:widowControl w:val="0"/>
        <w:numPr>
          <w:ilvl w:val="0"/>
          <w:numId w:val="11"/>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u w:val="single"/>
          <w:lang w:val="en-US" w:eastAsia="zh-CN" w:bidi="ar-SA"/>
        </w:rPr>
      </w:pPr>
      <w:r>
        <w:rPr>
          <w:rFonts w:hint="eastAsia" w:ascii="宋体" w:hAnsi="宋体" w:eastAsia="宋体" w:cs="Times New Roman"/>
          <w:kern w:val="2"/>
          <w:sz w:val="21"/>
          <w:szCs w:val="21"/>
          <w:lang w:val="en-US" w:eastAsia="zh-CN" w:bidi="ar-SA"/>
        </w:rPr>
        <w:t>采购项目名称：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p>
    <w:p>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u w:val="none"/>
          <w:lang w:val="en-US" w:eastAsia="zh-CN" w:bidi="ar-SA"/>
        </w:rPr>
      </w:pPr>
      <w:r>
        <w:rPr>
          <w:rFonts w:hint="eastAsia" w:ascii="宋体" w:hAnsi="宋体" w:eastAsia="宋体" w:cs="Times New Roman"/>
          <w:kern w:val="2"/>
          <w:sz w:val="21"/>
          <w:szCs w:val="21"/>
          <w:u w:val="none"/>
          <w:lang w:val="en-US" w:eastAsia="zh-CN" w:bidi="ar-SA"/>
        </w:rPr>
        <w:t xml:space="preserve">         采购项目编号：</w:t>
      </w:r>
      <w:r>
        <w:rPr>
          <w:rFonts w:ascii="宋体" w:hAnsi="宋体" w:eastAsia="宋体" w:cs="Times New Roman"/>
          <w:kern w:val="2"/>
          <w:sz w:val="21"/>
          <w:szCs w:val="21"/>
          <w:u w:val="single"/>
          <w:lang w:val="en-US" w:eastAsia="zh-CN" w:bidi="ar-SA"/>
        </w:rPr>
        <w:t xml:space="preserve">                                          </w:t>
      </w: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（2）采购计划编号：</w:t>
      </w:r>
      <w:r>
        <w:rPr>
          <w:rFonts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 xml:space="preserve"> </w:t>
      </w:r>
    </w:p>
    <w:p>
      <w:pPr>
        <w:adjustRightInd w:val="0"/>
        <w:snapToGrid w:val="0"/>
        <w:spacing w:before="0" w:beforeLines="0" w:line="400" w:lineRule="exact"/>
        <w:ind w:firstLine="420" w:firstLineChars="200"/>
        <w:rPr>
          <w:rFonts w:hint="eastAsia" w:ascii="宋体" w:hAnsi="宋体" w:eastAsia="宋体"/>
          <w:szCs w:val="21"/>
        </w:rPr>
      </w:pPr>
      <w:r>
        <w:rPr>
          <w:rFonts w:hint="eastAsia" w:ascii="宋体" w:hAnsi="宋体" w:eastAsia="宋体"/>
          <w:szCs w:val="21"/>
        </w:rPr>
        <w:t>（3）项目内容：</w:t>
      </w:r>
    </w:p>
    <w:p>
      <w:pPr>
        <w:adjustRightInd w:val="0"/>
        <w:snapToGrid w:val="0"/>
        <w:spacing w:before="0" w:beforeLines="0" w:line="40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 xml:space="preserve">     </w:t>
      </w:r>
      <w:r>
        <w:rPr>
          <w:rFonts w:hint="eastAsia" w:ascii="宋体" w:hAnsi="宋体" w:eastAsia="宋体"/>
          <w:szCs w:val="21"/>
          <w:lang w:eastAsia="zh-CN"/>
        </w:rPr>
        <w:t>采购标的及数量</w:t>
      </w:r>
      <w:r>
        <w:rPr>
          <w:rFonts w:hint="eastAsia" w:ascii="宋体" w:hAnsi="宋体" w:eastAsia="宋体"/>
          <w:szCs w:val="21"/>
          <w:lang w:val="en-US" w:eastAsia="zh-CN"/>
        </w:rPr>
        <w:t>（台/套</w:t>
      </w:r>
      <w:r>
        <w:rPr>
          <w:rFonts w:hint="default" w:ascii="宋体" w:hAnsi="宋体" w:eastAsia="宋体"/>
          <w:szCs w:val="21"/>
          <w:lang w:val="en" w:eastAsia="zh-CN"/>
        </w:rPr>
        <w:t>/</w:t>
      </w:r>
      <w:r>
        <w:rPr>
          <w:rFonts w:hint="eastAsia" w:ascii="宋体" w:hAnsi="宋体" w:eastAsia="宋体"/>
          <w:szCs w:val="21"/>
          <w:lang w:val="en" w:eastAsia="zh-CN"/>
        </w:rPr>
        <w:t>个</w:t>
      </w:r>
      <w:r>
        <w:rPr>
          <w:rFonts w:hint="default" w:ascii="宋体" w:hAnsi="宋体" w:eastAsia="宋体"/>
          <w:szCs w:val="21"/>
          <w:lang w:val="en" w:eastAsia="zh-CN"/>
        </w:rPr>
        <w:t>/</w:t>
      </w:r>
      <w:r>
        <w:rPr>
          <w:rFonts w:hint="eastAsia" w:ascii="宋体" w:hAnsi="宋体" w:eastAsia="宋体"/>
          <w:szCs w:val="21"/>
          <w:lang w:val="en" w:eastAsia="zh-CN"/>
        </w:rPr>
        <w:t>架</w:t>
      </w:r>
      <w:r>
        <w:rPr>
          <w:rFonts w:hint="default" w:ascii="宋体" w:hAnsi="宋体" w:eastAsia="宋体"/>
          <w:szCs w:val="21"/>
          <w:lang w:val="en" w:eastAsia="zh-CN"/>
        </w:rPr>
        <w:t>/</w:t>
      </w:r>
      <w:r>
        <w:rPr>
          <w:rFonts w:hint="eastAsia" w:ascii="宋体" w:hAnsi="宋体" w:eastAsia="宋体"/>
          <w:szCs w:val="21"/>
          <w:lang w:val="en" w:eastAsia="zh-CN"/>
        </w:rPr>
        <w:t>组等</w:t>
      </w:r>
      <w:r>
        <w:rPr>
          <w:rFonts w:hint="eastAsia" w:ascii="宋体" w:hAnsi="宋体" w:eastAsia="宋体"/>
          <w:szCs w:val="21"/>
          <w:lang w:val="en-US" w:eastAsia="zh-CN"/>
        </w:rPr>
        <w:t>）</w:t>
      </w:r>
      <w:r>
        <w:rPr>
          <w:rFonts w:hint="eastAsia" w:ascii="宋体" w:hAnsi="宋体" w:eastAsia="宋体"/>
          <w:szCs w:val="21"/>
          <w:lang w:eastAsia="zh-CN"/>
        </w:rPr>
        <w:t>：</w:t>
      </w:r>
      <w:r>
        <w:rPr>
          <w:rFonts w:hint="eastAsia" w:ascii="宋体" w:hAnsi="宋体" w:eastAsia="宋体"/>
          <w:szCs w:val="21"/>
          <w:u w:val="single"/>
          <w:lang w:val="en-US" w:eastAsia="zh-CN"/>
        </w:rPr>
        <w:t xml:space="preserve">                       </w:t>
      </w:r>
      <w:r>
        <w:rPr>
          <w:rFonts w:hint="eastAsia" w:ascii="宋体" w:hAnsi="宋体" w:eastAsia="宋体"/>
          <w:szCs w:val="21"/>
          <w:u w:val="none"/>
          <w:lang w:val="en-US" w:eastAsia="zh-CN"/>
        </w:rPr>
        <w:t xml:space="preserve">            </w:t>
      </w:r>
      <w:r>
        <w:rPr>
          <w:rFonts w:hint="eastAsia" w:ascii="宋体" w:hAnsi="宋体" w:eastAsia="宋体"/>
          <w:szCs w:val="21"/>
          <w:u w:val="single"/>
          <w:lang w:val="en-US" w:eastAsia="zh-CN"/>
        </w:rPr>
        <w:t xml:space="preserve">                  </w:t>
      </w:r>
      <w:r>
        <w:rPr>
          <w:rFonts w:hint="eastAsia" w:ascii="宋体" w:hAnsi="宋体" w:eastAsia="宋体"/>
          <w:szCs w:val="21"/>
          <w:lang w:val="en-US" w:eastAsia="zh-CN"/>
        </w:rPr>
        <w:t xml:space="preserve"> </w:t>
      </w:r>
    </w:p>
    <w:p>
      <w:pPr>
        <w:numPr>
          <w:ilvl w:val="-1"/>
          <w:numId w:val="0"/>
        </w:numPr>
        <w:adjustRightInd w:val="0"/>
        <w:snapToGrid w:val="0"/>
        <w:spacing w:before="0" w:beforeLines="0" w:line="400" w:lineRule="exact"/>
        <w:ind w:firstLine="420" w:firstLineChars="200"/>
        <w:rPr>
          <w:rFonts w:hint="default" w:ascii="宋体" w:hAnsi="宋体" w:eastAsia="宋体" w:cs="宋体"/>
          <w:szCs w:val="21"/>
          <w:lang w:val="en" w:eastAsia="zh-CN"/>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none"/>
          <w:lang w:val="en" w:eastAsia="zh-CN"/>
        </w:rPr>
        <w:t xml:space="preserve">     </w:t>
      </w:r>
      <w:r>
        <w:rPr>
          <w:rFonts w:hint="eastAsia" w:ascii="宋体" w:hAnsi="宋体" w:eastAsia="宋体" w:cs="宋体"/>
          <w:szCs w:val="21"/>
          <w:lang w:val="en-US" w:eastAsia="zh-CN"/>
        </w:rPr>
        <w:t>规格型号：</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p>
    <w:p>
      <w:pPr>
        <w:adjustRightInd w:val="0"/>
        <w:snapToGrid w:val="0"/>
        <w:spacing w:before="0" w:beforeLines="0" w:line="400" w:lineRule="exact"/>
        <w:ind w:firstLine="945" w:firstLineChars="450"/>
        <w:rPr>
          <w:rFonts w:ascii="宋体" w:hAnsi="宋体" w:eastAsia="宋体"/>
          <w:szCs w:val="21"/>
          <w:highlight w:val="none"/>
          <w:u w:val="single"/>
        </w:rPr>
      </w:pPr>
      <w:r>
        <w:rPr>
          <w:rFonts w:hint="eastAsia" w:ascii="宋体" w:hAnsi="宋体" w:eastAsia="宋体"/>
          <w:szCs w:val="21"/>
          <w:highlight w:val="none"/>
          <w:u w:val="none"/>
          <w:lang w:val="en-US" w:eastAsia="zh-CN"/>
        </w:rPr>
        <w:t>采购标的的技术要求、商务要求具体见附件。</w:t>
      </w:r>
    </w:p>
    <w:p>
      <w:pPr>
        <w:numPr>
          <w:ilvl w:val="-1"/>
          <w:numId w:val="0"/>
        </w:numPr>
        <w:adjustRightInd w:val="0"/>
        <w:snapToGrid w:val="0"/>
        <w:spacing w:before="0" w:beforeLines="0" w:line="400" w:lineRule="exact"/>
        <w:ind w:firstLine="945" w:firstLineChars="450"/>
        <w:rPr>
          <w:rFonts w:hint="eastAsia" w:ascii="宋体" w:hAnsi="宋体" w:eastAsia="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eastAsia="宋体" w:cs="宋体"/>
          <w:szCs w:val="21"/>
          <w:lang w:val="en-US" w:eastAsia="zh-CN"/>
        </w:rPr>
        <w:t>涉及信息类产品，请填写该产品关键部件的品牌、型号：</w:t>
      </w:r>
    </w:p>
    <w:p>
      <w:pPr>
        <w:numPr>
          <w:ilvl w:val="-1"/>
          <w:numId w:val="0"/>
        </w:numPr>
        <w:adjustRightInd w:val="0"/>
        <w:snapToGrid w:val="0"/>
        <w:spacing w:before="0" w:beforeLines="0" w:line="400" w:lineRule="exact"/>
        <w:ind w:firstLine="420" w:firstLineChars="200"/>
        <w:rPr>
          <w:rFonts w:hint="eastAsia" w:ascii="宋体" w:hAnsi="宋体" w:eastAsia="宋体" w:cs="宋体"/>
          <w:kern w:val="0"/>
          <w:szCs w:val="21"/>
          <w:u w:val="single"/>
          <w:lang w:val="en-US" w:eastAsia="zh-CN"/>
        </w:rPr>
      </w:pPr>
      <w:r>
        <w:rPr>
          <w:rFonts w:hint="eastAsia" w:ascii="宋体" w:hAnsi="宋体" w:eastAsia="宋体" w:cs="宋体"/>
          <w:szCs w:val="21"/>
          <w:lang w:val="en-US" w:eastAsia="zh-CN"/>
        </w:rPr>
        <w:t xml:space="preserve">     标的名称：</w:t>
      </w:r>
      <w:r>
        <w:rPr>
          <w:rFonts w:hint="eastAsia" w:ascii="宋体" w:hAnsi="宋体" w:eastAsia="宋体" w:cs="宋体"/>
          <w:kern w:val="0"/>
          <w:szCs w:val="21"/>
          <w:u w:val="single"/>
          <w:lang w:val="en-US" w:eastAsia="zh-CN"/>
        </w:rPr>
        <w:t xml:space="preserve">      </w:t>
      </w:r>
      <w:r>
        <w:rPr>
          <w:rFonts w:hint="default" w:ascii="宋体" w:hAnsi="宋体" w:eastAsia="宋体" w:cs="宋体"/>
          <w:kern w:val="0"/>
          <w:szCs w:val="21"/>
          <w:u w:val="single"/>
          <w:lang w:val="en" w:eastAsia="zh-CN"/>
        </w:rPr>
        <w:t xml:space="preserve">               </w:t>
      </w:r>
      <w:r>
        <w:rPr>
          <w:rFonts w:hint="eastAsia" w:ascii="宋体" w:hAnsi="宋体" w:eastAsia="宋体" w:cs="宋体"/>
          <w:kern w:val="0"/>
          <w:szCs w:val="21"/>
          <w:u w:val="single"/>
          <w:lang w:val="en-US" w:eastAsia="zh-CN"/>
        </w:rPr>
        <w:t xml:space="preserve">    </w:t>
      </w:r>
    </w:p>
    <w:p>
      <w:pPr>
        <w:numPr>
          <w:ilvl w:val="-1"/>
          <w:numId w:val="0"/>
        </w:numPr>
        <w:adjustRightInd w:val="0"/>
        <w:snapToGrid w:val="0"/>
        <w:spacing w:before="0" w:beforeLines="0"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关键部件：</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r>
        <w:rPr>
          <w:rFonts w:hint="eastAsia" w:ascii="宋体" w:hAnsi="宋体" w:eastAsia="宋体" w:cs="宋体"/>
          <w:szCs w:val="21"/>
          <w:lang w:val="en-US" w:eastAsia="zh-CN"/>
        </w:rPr>
        <w:t>型号：</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kern w:val="2"/>
          <w:sz w:val="21"/>
          <w:szCs w:val="21"/>
          <w:lang w:val="en-US" w:eastAsia="zh-CN" w:bidi="ar-SA"/>
        </w:rPr>
        <w:t>关键部件</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关键部件：</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汉仪书宋二S" w:hAnsi="汉仪书宋二S" w:eastAsia="汉仪书宋二S" w:cs="汉仪书宋二S"/>
          <w:sz w:val="21"/>
          <w:szCs w:val="21"/>
          <w:lang w:val="en-US" w:eastAsia="zh-CN" w:bidi="ar-SA"/>
        </w:rPr>
        <w:t>②</w:t>
      </w:r>
      <w:r>
        <w:rPr>
          <w:rFonts w:hint="eastAsia" w:ascii="宋体" w:hAnsi="宋体" w:eastAsia="宋体" w:cs="宋体"/>
          <w:sz w:val="21"/>
          <w:szCs w:val="21"/>
          <w:lang w:val="en-US" w:eastAsia="zh-CN" w:bidi="ar-SA"/>
        </w:rPr>
        <w:t>涉及车辆采购，请填写是否属于新能源汽车：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是，《政府采购品目分类目录》底级品目名称</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数量：</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金额：</w:t>
      </w:r>
      <w:r>
        <w:rPr>
          <w:rFonts w:hint="eastAsia" w:ascii="宋体" w:hAnsi="宋体" w:eastAsia="宋体" w:cs="宋体"/>
          <w:sz w:val="21"/>
          <w:szCs w:val="21"/>
          <w:u w:val="single"/>
          <w:lang w:val="en-US" w:eastAsia="zh-CN" w:bidi="ar-SA"/>
        </w:rPr>
        <w:t xml:space="preserve">     </w:t>
      </w:r>
      <w:r>
        <w:rPr>
          <w:rFonts w:hint="eastAsia" w:ascii="宋体" w:hAnsi="宋体" w:eastAsia="宋体" w:cs="宋体"/>
          <w:iCs w:val="0"/>
          <w:sz w:val="21"/>
          <w:szCs w:val="21"/>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否</w:t>
      </w:r>
    </w:p>
    <w:p>
      <w:pPr>
        <w:numPr>
          <w:ilvl w:val="-1"/>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default" w:ascii="宋体" w:hAnsi="宋体" w:eastAsia="宋体" w:cs="宋体"/>
          <w:iCs w:val="0"/>
          <w:sz w:val="21"/>
          <w:szCs w:val="21"/>
          <w:lang w:val="en" w:eastAsia="zh-CN" w:bidi="ar-SA"/>
        </w:rPr>
        <w:t>4</w:t>
      </w:r>
      <w:r>
        <w:rPr>
          <w:rFonts w:hint="eastAsia" w:ascii="宋体" w:hAnsi="宋体" w:eastAsia="宋体" w:cs="宋体"/>
          <w:iCs w:val="0"/>
          <w:sz w:val="21"/>
          <w:szCs w:val="21"/>
          <w:lang w:val="en-US" w:eastAsia="zh-CN" w:bidi="ar-SA"/>
        </w:rPr>
        <w:t>）政府采购组织形式：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集中采购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自行采购</w:t>
      </w:r>
    </w:p>
    <w:p>
      <w:pPr>
        <w:numPr>
          <w:ilvl w:val="-1"/>
          <w:numId w:val="0"/>
        </w:numPr>
        <w:autoSpaceDE w:val="0"/>
        <w:autoSpaceDN w:val="0"/>
        <w:adjustRightInd w:val="0"/>
        <w:snapToGrid w:val="0"/>
        <w:spacing w:before="0" w:beforeLines="0" w:line="400" w:lineRule="exact"/>
        <w:ind w:left="210" w:leftChars="100" w:firstLine="210" w:firstLineChars="100"/>
        <w:rPr>
          <w:rFonts w:hint="eastAsia" w:ascii="宋体" w:hAnsi="宋体" w:eastAsia="宋体" w:cs="宋体"/>
          <w:iCs w:val="0"/>
          <w:sz w:val="21"/>
          <w:szCs w:val="21"/>
          <w:u w:val="single"/>
          <w:lang w:val="en-US" w:eastAsia="zh-CN" w:bidi="ar-SA"/>
        </w:rPr>
      </w:pPr>
      <w:r>
        <w:rPr>
          <w:rFonts w:hint="eastAsia" w:ascii="宋体" w:hAnsi="宋体" w:eastAsia="宋体" w:cs="宋体"/>
          <w:iCs w:val="0"/>
          <w:sz w:val="21"/>
          <w:szCs w:val="21"/>
          <w:lang w:val="en-US" w:eastAsia="zh-CN" w:bidi="ar-SA"/>
        </w:rPr>
        <w:t>（</w:t>
      </w:r>
      <w:r>
        <w:rPr>
          <w:rFonts w:hint="default" w:ascii="宋体" w:hAnsi="宋体" w:eastAsia="宋体" w:cs="宋体"/>
          <w:iCs w:val="0"/>
          <w:sz w:val="21"/>
          <w:szCs w:val="21"/>
          <w:lang w:val="en" w:eastAsia="zh-CN" w:bidi="ar-SA"/>
        </w:rPr>
        <w:t>5</w:t>
      </w:r>
      <w:r>
        <w:rPr>
          <w:rFonts w:hint="eastAsia" w:ascii="宋体" w:hAnsi="宋体" w:eastAsia="宋体" w:cs="宋体"/>
          <w:iCs w:val="0"/>
          <w:sz w:val="21"/>
          <w:szCs w:val="21"/>
          <w:lang w:val="en-US" w:eastAsia="zh-CN" w:bidi="ar-SA"/>
        </w:rPr>
        <w:t>）政府采购方式：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公开招标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竞争性谈判</w:t>
      </w:r>
      <w:r>
        <w:rPr>
          <w:rFonts w:hint="eastAsia" w:ascii="宋体" w:hAnsi="宋体" w:eastAsia="华文楷体" w:cs="宋体"/>
          <w:sz w:val="22"/>
          <w:szCs w:val="21"/>
          <w:u w:val="none"/>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单一来源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竞价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框架协议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其他：</w:t>
      </w:r>
      <w:r>
        <w:rPr>
          <w:rFonts w:hint="eastAsia" w:ascii="宋体" w:hAnsi="宋体" w:eastAsia="宋体" w:cs="宋体"/>
          <w:iCs w:val="0"/>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bidi="ar-SA"/>
        </w:rPr>
      </w:pPr>
      <w:r>
        <w:rPr>
          <w:rFonts w:hint="eastAsia" w:ascii="宋体" w:hAnsi="宋体" w:eastAsia="宋体" w:cs="宋体"/>
          <w:iCs w:val="0"/>
          <w:sz w:val="21"/>
          <w:szCs w:val="21"/>
          <w:u w:val="none"/>
          <w:lang w:val="en-US" w:eastAsia="zh-CN" w:bidi="ar-SA"/>
        </w:rPr>
        <w:t>（注：在框架协议采购的第二阶段，可选择使用该合同文本）</w:t>
      </w:r>
    </w:p>
    <w:p>
      <w:pPr>
        <w:numPr>
          <w:ilvl w:val="-1"/>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eastAsia="华文楷体" w:cs="华文楷体"/>
          <w:sz w:val="22"/>
          <w:szCs w:val="21"/>
          <w:lang w:val="en-US" w:eastAsia="zh-CN" w:bidi="ar-SA"/>
        </w:rPr>
        <w:t xml:space="preserve"> （</w:t>
      </w:r>
      <w:r>
        <w:rPr>
          <w:rFonts w:hint="default" w:ascii="宋体" w:hAnsi="宋体" w:eastAsia="华文楷体" w:cs="华文楷体"/>
          <w:sz w:val="22"/>
          <w:szCs w:val="21"/>
          <w:lang w:val="en" w:eastAsia="zh-CN" w:bidi="ar-SA"/>
        </w:rPr>
        <w:t>6</w:t>
      </w:r>
      <w:r>
        <w:rPr>
          <w:rFonts w:hint="eastAsia" w:ascii="宋体" w:hAnsi="宋体" w:eastAsia="华文楷体" w:cs="华文楷体"/>
          <w:sz w:val="22"/>
          <w:szCs w:val="21"/>
          <w:lang w:val="en-US" w:eastAsia="zh-CN" w:bidi="ar-SA"/>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pPr>
        <w:numPr>
          <w:ilvl w:val="-1"/>
          <w:numId w:val="0"/>
        </w:numPr>
        <w:adjustRightInd w:val="0"/>
        <w:snapToGrid w:val="0"/>
        <w:spacing w:before="0" w:beforeLines="0" w:line="400" w:lineRule="exact"/>
        <w:ind w:left="0" w:leftChars="0" w:firstLine="0" w:firstLineChars="0"/>
        <w:rPr>
          <w:rFonts w:hint="eastAsia" w:ascii="宋体" w:hAnsi="宋体" w:eastAsia="宋体"/>
          <w:iCs/>
          <w:szCs w:val="21"/>
        </w:rPr>
      </w:pPr>
      <w:r>
        <w:rPr>
          <w:rFonts w:hint="eastAsia" w:ascii="宋体" w:hAnsi="宋体" w:eastAsia="宋体"/>
          <w:w w:val="100"/>
          <w:szCs w:val="21"/>
          <w:lang w:val="en-US" w:eastAsia="zh-CN"/>
        </w:rPr>
        <w:t xml:space="preserve">         本合同</w:t>
      </w:r>
      <w:r>
        <w:rPr>
          <w:rFonts w:hint="eastAsia" w:ascii="宋体" w:hAnsi="宋体" w:eastAsia="宋体"/>
          <w:w w:val="100"/>
          <w:szCs w:val="21"/>
        </w:rPr>
        <w:t>是否</w:t>
      </w:r>
      <w:r>
        <w:rPr>
          <w:rFonts w:hint="eastAsia" w:ascii="宋体" w:hAnsi="宋体" w:eastAsia="宋体"/>
          <w:w w:val="100"/>
          <w:szCs w:val="21"/>
          <w:lang w:eastAsia="zh-CN"/>
        </w:rPr>
        <w:t>为专门面向</w:t>
      </w:r>
      <w:r>
        <w:rPr>
          <w:rFonts w:hint="eastAsia" w:ascii="宋体" w:hAnsi="宋体" w:eastAsia="宋体"/>
          <w:w w:val="100"/>
          <w:szCs w:val="21"/>
        </w:rPr>
        <w:t>中小企业</w:t>
      </w:r>
      <w:r>
        <w:rPr>
          <w:rFonts w:hint="eastAsia" w:ascii="宋体" w:hAnsi="宋体" w:eastAsia="宋体"/>
          <w:w w:val="100"/>
          <w:szCs w:val="21"/>
          <w:lang w:eastAsia="zh-CN"/>
        </w:rPr>
        <w:t>的采</w:t>
      </w:r>
      <w:r>
        <w:rPr>
          <w:rFonts w:hint="eastAsia" w:ascii="宋体" w:hAnsi="宋体" w:eastAsia="宋体"/>
          <w:w w:val="100"/>
          <w:szCs w:val="21"/>
          <w:shd w:val="clear"/>
          <w:lang w:eastAsia="zh-CN"/>
        </w:rPr>
        <w:t>购</w:t>
      </w:r>
      <w:r>
        <w:rPr>
          <w:rFonts w:hint="eastAsia" w:ascii="宋体" w:hAnsi="宋体" w:eastAsia="宋体"/>
          <w:w w:val="100"/>
          <w:szCs w:val="21"/>
          <w:shd w:val="clear"/>
        </w:rPr>
        <w:t>合同</w:t>
      </w:r>
      <w:r>
        <w:rPr>
          <w:rFonts w:hint="eastAsia" w:ascii="宋体" w:hAnsi="宋体" w:eastAsia="宋体"/>
          <w:w w:val="100"/>
          <w:szCs w:val="21"/>
          <w:shd w:val="clear"/>
          <w:lang w:eastAsia="zh-CN"/>
        </w:rPr>
        <w:t>（中小企业预留合同）</w:t>
      </w:r>
      <w:r>
        <w:rPr>
          <w:rFonts w:hint="eastAsia" w:ascii="宋体" w:hAnsi="宋体" w:eastAsia="宋体"/>
          <w:szCs w:val="21"/>
          <w:shd w:val="clear"/>
        </w:rPr>
        <w:t>：</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lang w:val="en-US" w:eastAsia="zh-CN"/>
        </w:rPr>
        <w:t xml:space="preserve">  </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0"/>
          <w:numId w:val="0"/>
        </w:numPr>
        <w:snapToGrid w:val="0"/>
        <w:spacing w:beforeLines="0" w:line="400" w:lineRule="exact"/>
        <w:ind w:firstLine="0" w:firstLineChars="0"/>
        <w:rPr>
          <w:rFonts w:hint="default" w:eastAsia="宋体"/>
          <w:lang w:val="en-US" w:eastAsia="zh-CN"/>
        </w:rPr>
      </w:pPr>
      <w:r>
        <w:rPr>
          <w:rFonts w:hint="eastAsia" w:eastAsia="宋体"/>
          <w:lang w:val="en-US" w:eastAsia="zh-CN"/>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default" w:ascii="宋体" w:hAnsi="宋体" w:eastAsia="宋体"/>
          <w:szCs w:val="21"/>
          <w:lang w:val="en" w:eastAsia="zh-C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840" w:firstLineChars="40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分包主要内容：</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840" w:firstLineChars="400"/>
        <w:rPr>
          <w:rFonts w:hint="eastAsia" w:ascii="宋体" w:hAnsi="宋体" w:eastAsia="宋体"/>
          <w:szCs w:val="21"/>
          <w:highlight w:val="none"/>
        </w:rPr>
      </w:pPr>
      <w:r>
        <w:rPr>
          <w:rFonts w:hint="eastAsia" w:ascii="宋体" w:hAnsi="宋体" w:eastAsia="宋体"/>
          <w:szCs w:val="21"/>
          <w:u w:val="none"/>
          <w:lang w:val="en-US" w:eastAsia="zh-CN"/>
        </w:rPr>
        <w:t xml:space="preserve"> </w:t>
      </w:r>
      <w:r>
        <w:rPr>
          <w:rFonts w:hint="eastAsia" w:ascii="宋体" w:hAnsi="宋体" w:eastAsia="宋体"/>
          <w:szCs w:val="21"/>
        </w:rPr>
        <w:t>分包</w:t>
      </w:r>
      <w:r>
        <w:rPr>
          <w:rFonts w:hint="eastAsia" w:ascii="宋体" w:hAnsi="宋体" w:eastAsia="宋体"/>
          <w:szCs w:val="21"/>
          <w:highlight w:val="none"/>
        </w:rPr>
        <w:t>供应商</w:t>
      </w:r>
      <w:r>
        <w:rPr>
          <w:rFonts w:hint="eastAsia" w:ascii="宋体" w:hAnsi="宋体" w:eastAsia="宋体"/>
          <w:szCs w:val="21"/>
          <w:highlight w:val="none"/>
          <w:lang w:eastAsia="zh-CN"/>
        </w:rPr>
        <w:t>/制造商</w:t>
      </w:r>
      <w:r>
        <w:rPr>
          <w:rFonts w:hint="eastAsia" w:ascii="宋体" w:hAnsi="宋体" w:eastAsia="宋体"/>
          <w:szCs w:val="21"/>
          <w:highlight w:val="none"/>
        </w:rPr>
        <w:t>名称</w:t>
      </w:r>
      <w:r>
        <w:rPr>
          <w:rFonts w:hint="eastAsia" w:ascii="宋体" w:hAnsi="宋体" w:eastAsia="宋体"/>
          <w:szCs w:val="21"/>
          <w:highlight w:val="none"/>
          <w:lang w:eastAsia="zh-CN"/>
        </w:rPr>
        <w:t>（如供应商和制造商不同，请分别填写）</w:t>
      </w:r>
      <w:r>
        <w:rPr>
          <w:rFonts w:hint="eastAsia" w:ascii="宋体" w:hAnsi="宋体" w:eastAsia="宋体"/>
          <w:szCs w:val="21"/>
          <w:highlight w:val="none"/>
        </w:rPr>
        <w:t>：</w:t>
      </w:r>
    </w:p>
    <w:p>
      <w:pPr>
        <w:adjustRightInd w:val="0"/>
        <w:snapToGrid w:val="0"/>
        <w:spacing w:before="0" w:beforeLines="0" w:line="400" w:lineRule="exact"/>
        <w:ind w:firstLine="840" w:firstLineChars="400"/>
        <w:rPr>
          <w:rFonts w:ascii="宋体" w:hAnsi="宋体" w:eastAsia="宋体"/>
          <w:szCs w:val="21"/>
          <w:highlight w:val="none"/>
          <w:u w:val="single"/>
        </w:rPr>
      </w:pPr>
      <w:r>
        <w:rPr>
          <w:rFonts w:hint="eastAsia" w:ascii="宋体" w:hAnsi="宋体" w:eastAsia="宋体"/>
          <w:szCs w:val="21"/>
          <w:highlight w:val="none"/>
          <w:u w:val="non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p>
    <w:p>
      <w:pPr>
        <w:adjustRightInd w:val="0"/>
        <w:snapToGrid w:val="0"/>
        <w:spacing w:before="0" w:beforeLines="0" w:line="400" w:lineRule="exact"/>
        <w:ind w:firstLine="840" w:firstLineChars="400"/>
        <w:rPr>
          <w:rFonts w:hint="eastAsia" w:ascii="宋体" w:hAnsi="宋体" w:eastAsia="宋体"/>
          <w:szCs w:val="21"/>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分包供应商</w:t>
      </w:r>
      <w:r>
        <w:rPr>
          <w:rFonts w:hint="eastAsia" w:ascii="宋体" w:hAnsi="宋体" w:eastAsia="宋体"/>
          <w:szCs w:val="21"/>
          <w:highlight w:val="none"/>
          <w:lang w:val="en-US" w:eastAsia="zh-CN"/>
        </w:rPr>
        <w:t>/</w:t>
      </w:r>
      <w:r>
        <w:rPr>
          <w:rFonts w:hint="eastAsia" w:ascii="宋体" w:hAnsi="宋体" w:eastAsia="宋体"/>
          <w:szCs w:val="21"/>
          <w:highlight w:val="none"/>
          <w:lang w:eastAsia="zh-CN"/>
        </w:rPr>
        <w:t>制造商</w:t>
      </w:r>
      <w:r>
        <w:rPr>
          <w:rFonts w:hint="eastAsia" w:ascii="宋体" w:hAnsi="宋体" w:eastAsia="宋体"/>
          <w:szCs w:val="21"/>
        </w:rPr>
        <w:t>类型</w:t>
      </w:r>
      <w:r>
        <w:rPr>
          <w:rFonts w:hint="eastAsia" w:ascii="宋体" w:hAnsi="宋体" w:eastAsia="宋体"/>
          <w:szCs w:val="21"/>
          <w:highlight w:val="none"/>
          <w:lang w:eastAsia="zh-CN"/>
        </w:rPr>
        <w:t>（如果供应商和制造商不同，只填写制造商类型）</w:t>
      </w:r>
      <w:r>
        <w:rPr>
          <w:rFonts w:hint="eastAsia" w:ascii="宋体" w:hAnsi="宋体" w:eastAsia="宋体"/>
          <w:szCs w:val="21"/>
        </w:rPr>
        <w:t>：</w:t>
      </w:r>
    </w:p>
    <w:p>
      <w:pPr>
        <w:adjustRightInd w:val="0"/>
        <w:snapToGrid w:val="0"/>
        <w:spacing w:beforeLines="0" w:line="400" w:lineRule="exact"/>
        <w:ind w:firstLine="840" w:firstLineChars="40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小微型企业</w:t>
      </w:r>
      <w:r>
        <w:rPr>
          <w:rFonts w:hint="eastAsia" w:ascii="宋体" w:hAnsi="宋体" w:eastAsia="宋体"/>
          <w:iCs/>
          <w:szCs w:val="21"/>
          <w:lang w:val="en-US" w:eastAsia="zh-CN"/>
        </w:rPr>
        <w:t xml:space="preserve">  </w:t>
      </w:r>
    </w:p>
    <w:p>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残疾人福利性单位</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监狱</w:t>
      </w:r>
      <w:r>
        <w:rPr>
          <w:rFonts w:hint="eastAsia" w:ascii="宋体" w:hAnsi="宋体" w:eastAsia="宋体"/>
          <w:iCs/>
          <w:szCs w:val="21"/>
        </w:rPr>
        <w:t>企业</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p>
    <w:p>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pPr>
        <w:tabs>
          <w:tab w:val="left" w:pos="1340"/>
        </w:tabs>
        <w:autoSpaceDE w:val="0"/>
        <w:autoSpaceDN w:val="0"/>
        <w:adjustRightInd w:val="0"/>
        <w:spacing w:beforeLines="0" w:line="400" w:lineRule="exact"/>
        <w:ind w:firstLine="420" w:firstLineChars="200"/>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eastAsia="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金额：</w:t>
      </w:r>
      <w:r>
        <w:rPr>
          <w:rFonts w:hint="eastAsia" w:ascii="宋体" w:hAnsi="宋体" w:eastAsia="宋体" w:cs="宋体"/>
          <w:szCs w:val="21"/>
          <w:u w:val="single"/>
          <w:lang w:val="en-US" w:eastAsia="zh-CN"/>
        </w:rPr>
        <w:t xml:space="preserve">        </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eastAsia="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pPr>
        <w:adjustRightInd w:val="0"/>
        <w:snapToGrid w:val="0"/>
        <w:spacing w:before="0" w:beforeLines="0" w:line="400" w:lineRule="exact"/>
        <w:ind w:firstLine="840" w:firstLineChars="400"/>
        <w:rPr>
          <w:rFonts w:hint="eastAsia" w:ascii="宋体" w:hAnsi="宋体" w:eastAsia="宋体"/>
          <w:szCs w:val="21"/>
          <w:u w:val="none"/>
          <w:lang w:val="en-US" w:eastAsia="zh-CN"/>
        </w:rPr>
      </w:pP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（1</w:t>
      </w:r>
      <w:r>
        <w:rPr>
          <w:rFonts w:hint="default" w:ascii="宋体" w:hAnsi="宋体" w:eastAsia="宋体"/>
          <w:b w:val="0"/>
          <w:bCs w:val="0"/>
          <w:sz w:val="21"/>
          <w:szCs w:val="21"/>
          <w:u w:val="none"/>
          <w:lang w:val="en" w:eastAsia="zh-CN"/>
        </w:rPr>
        <w:t>0</w:t>
      </w:r>
      <w:r>
        <w:rPr>
          <w:rFonts w:hint="eastAsia" w:ascii="宋体" w:hAnsi="宋体" w:eastAsia="宋体"/>
          <w:b w:val="0"/>
          <w:bCs w:val="0"/>
          <w:sz w:val="21"/>
          <w:szCs w:val="21"/>
          <w:u w:val="none"/>
          <w:lang w:val="en-US" w:eastAsia="zh-CN"/>
        </w:rPr>
        <w:t>）是否涉及节能产品：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是否涉及环境标志产品：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lang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b w:val="0"/>
          <w:bCs w:val="0"/>
          <w:sz w:val="21"/>
          <w:szCs w:val="21"/>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bidi="ar-SA"/>
        </w:rPr>
      </w:pPr>
      <w:r>
        <w:rPr>
          <w:rFonts w:hint="eastAsia" w:ascii="宋体" w:hAnsi="宋体" w:eastAsia="华文楷体" w:cs="华文楷体"/>
          <w:b w:val="0"/>
          <w:bCs w:val="0"/>
          <w:sz w:val="21"/>
          <w:szCs w:val="21"/>
          <w:u w:val="none"/>
          <w:lang w:val="en-US" w:eastAsia="zh-CN" w:bidi="ar-SA"/>
        </w:rPr>
        <w:t xml:space="preserve">          </w:t>
      </w:r>
      <w:r>
        <w:rPr>
          <w:rFonts w:hint="eastAsia" w:ascii="宋体" w:hAnsi="宋体" w:eastAsia="宋体" w:cs="Times New Roman"/>
          <w:b w:val="0"/>
          <w:bCs w:val="0"/>
          <w:kern w:val="2"/>
          <w:sz w:val="21"/>
          <w:szCs w:val="21"/>
          <w:u w:val="none"/>
          <w:lang w:val="en-US" w:eastAsia="zh-CN" w:bidi="ar-SA"/>
        </w:rPr>
        <w:t>是否涉及绿色产品：</w:t>
      </w:r>
      <w:r>
        <w:rPr>
          <w:rFonts w:hint="eastAsia" w:ascii="宋体" w:hAnsi="宋体" w:eastAsia="宋体" w:cs="Times New Roman"/>
          <w:iCs w:val="0"/>
          <w:kern w:val="2"/>
          <w:sz w:val="21"/>
          <w:szCs w:val="21"/>
          <w:u w:val="none"/>
          <w:lang w:val="en-US" w:eastAsia="zh-CN" w:bidi="ar-SA"/>
        </w:rPr>
        <w:t xml:space="preserve"> </w:t>
      </w:r>
    </w:p>
    <w:p>
      <w:pPr>
        <w:autoSpaceDE w:val="0"/>
        <w:autoSpaceDN w:val="0"/>
        <w:adjustRightInd w:val="0"/>
        <w:spacing w:beforeLines="0" w:line="400" w:lineRule="exact"/>
        <w:ind w:firstLine="420" w:firstLineChars="0"/>
        <w:rPr>
          <w:rFonts w:hint="eastAsia" w:ascii="宋体" w:hAnsi="宋体" w:eastAsia="宋体" w:cs="华文楷体"/>
          <w:sz w:val="22"/>
          <w:szCs w:val="21"/>
          <w:u w:val="singl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是，绿色产品政府采购相关政策确定的底级品目名称：</w:t>
      </w:r>
      <w:r>
        <w:rPr>
          <w:rFonts w:hint="eastAsia" w:ascii="宋体" w:hAnsi="宋体" w:eastAsia="宋体" w:cs="华文楷体"/>
          <w:sz w:val="22"/>
          <w:szCs w:val="21"/>
          <w:u w:val="single"/>
          <w:lang w:val="en-US" w:eastAsia="zh-CN" w:bidi="ar-SA"/>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autoSpaceDE w:val="0"/>
        <w:autoSpaceDN w:val="0"/>
        <w:adjustRightInd w:val="0"/>
        <w:spacing w:beforeLines="0" w:line="400" w:lineRule="exact"/>
        <w:ind w:firstLine="420" w:firstLineChars="0"/>
        <w:rPr>
          <w:rFonts w:hint="eastAsia" w:ascii="宋体" w:hAnsi="宋体" w:eastAsia="华文楷体" w:cs="华文楷体"/>
          <w:b w:val="0"/>
          <w:bCs w:val="0"/>
          <w:sz w:val="21"/>
          <w:szCs w:val="21"/>
          <w:u w:val="non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否</w:t>
      </w:r>
    </w:p>
    <w:p>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（1</w:t>
      </w:r>
      <w:r>
        <w:rPr>
          <w:rFonts w:hint="default" w:ascii="宋体" w:hAnsi="宋体" w:eastAsia="宋体"/>
          <w:szCs w:val="21"/>
          <w:lang w:val="en" w:eastAsia="zh-CN"/>
        </w:rPr>
        <w:t>1</w:t>
      </w:r>
      <w:r>
        <w:rPr>
          <w:rFonts w:hint="eastAsia" w:ascii="宋体" w:hAnsi="宋体" w:eastAsia="宋体"/>
          <w:szCs w:val="21"/>
          <w:lang w:val="en-US" w:eastAsia="zh-CN"/>
        </w:rPr>
        <w:t>）涉及商品包装和快递包装的，是否参考</w:t>
      </w:r>
      <w:r>
        <w:rPr>
          <w:rFonts w:hint="eastAsia" w:ascii="宋体" w:hAnsi="宋体" w:eastAsia="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pPr>
        <w:numPr>
          <w:ilvl w:val="0"/>
          <w:numId w:val="10"/>
        </w:numPr>
        <w:adjustRightInd w:val="0"/>
        <w:snapToGrid w:val="0"/>
        <w:spacing w:before="0" w:beforeLines="0" w:line="400" w:lineRule="exact"/>
        <w:ind w:firstLine="422" w:firstLineChars="200"/>
        <w:rPr>
          <w:rFonts w:ascii="宋体" w:hAnsi="宋体" w:eastAsia="宋体"/>
          <w:b/>
          <w:szCs w:val="21"/>
          <w:highlight w:val="none"/>
        </w:rPr>
      </w:pPr>
      <w:r>
        <w:rPr>
          <w:rFonts w:hint="eastAsia" w:ascii="宋体" w:hAnsi="宋体" w:eastAsia="宋体"/>
          <w:b/>
          <w:szCs w:val="21"/>
          <w:highlight w:val="none"/>
        </w:rPr>
        <w:t>合同金额</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left="0" w:firstLine="0" w:firstLineChars="0"/>
        <w:rPr>
          <w:rFonts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rPr>
        <w:t>分包金额</w:t>
      </w:r>
      <w:r>
        <w:rPr>
          <w:rFonts w:hint="eastAsia" w:ascii="宋体" w:hAnsi="宋体" w:eastAsia="宋体"/>
          <w:szCs w:val="21"/>
          <w:lang w:eastAsia="zh-CN"/>
        </w:rPr>
        <w:t>（如有）</w:t>
      </w:r>
      <w:r>
        <w:rPr>
          <w:rFonts w:hint="eastAsia" w:ascii="宋体" w:hAnsi="宋体" w:eastAsia="宋体"/>
          <w:szCs w:val="21"/>
        </w:rPr>
        <w:t>小写：</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（注：固定单价合同应填写单价和最高限价）</w:t>
      </w:r>
    </w:p>
    <w:p>
      <w:pPr>
        <w:numPr>
          <w:ilvl w:val="-1"/>
          <w:numId w:val="0"/>
        </w:numPr>
        <w:adjustRightInd w:val="0"/>
        <w:snapToGrid w:val="0"/>
        <w:spacing w:before="0" w:beforeLines="0" w:line="400" w:lineRule="exact"/>
        <w:ind w:firstLine="0" w:firstLineChars="0"/>
        <w:rPr>
          <w:rFonts w:hint="eastAsia"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lang w:eastAsia="zh-CN"/>
        </w:rPr>
        <w:t>（</w:t>
      </w:r>
      <w:r>
        <w:rPr>
          <w:rFonts w:hint="eastAsia" w:ascii="宋体" w:hAnsi="宋体" w:eastAsia="宋体"/>
          <w:szCs w:val="21"/>
          <w:lang w:val="en-US" w:eastAsia="zh-CN"/>
        </w:rPr>
        <w:t>2</w:t>
      </w:r>
      <w:r>
        <w:rPr>
          <w:rFonts w:hint="eastAsia" w:ascii="宋体" w:hAnsi="宋体" w:eastAsia="宋体"/>
          <w:szCs w:val="21"/>
          <w:lang w:eastAsia="zh-CN"/>
        </w:rPr>
        <w:t>）</w:t>
      </w:r>
      <w:r>
        <w:rPr>
          <w:rFonts w:hint="eastAsia" w:ascii="宋体" w:hAnsi="宋体" w:eastAsia="宋体"/>
          <w:szCs w:val="21"/>
        </w:rPr>
        <w:t>合同定价方式</w:t>
      </w:r>
      <w:r>
        <w:rPr>
          <w:rFonts w:hint="eastAsia" w:ascii="宋体" w:hAnsi="宋体" w:eastAsia="宋体"/>
          <w:szCs w:val="21"/>
          <w:lang w:eastAsia="zh-CN"/>
        </w:rPr>
        <w:t>（采用组合定价方式的，可以勾选多项）</w:t>
      </w:r>
      <w:r>
        <w:rPr>
          <w:rFonts w:hint="eastAsia" w:ascii="宋体" w:hAnsi="宋体" w:eastAsia="宋体"/>
          <w:szCs w:val="21"/>
        </w:rPr>
        <w:t>：</w:t>
      </w:r>
    </w:p>
    <w:p>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固定单价</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固定费率</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绩效激励</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r>
        <w:rPr>
          <w:rFonts w:hint="eastAsia" w:ascii="宋体" w:hAnsi="宋体" w:eastAsia="宋体"/>
          <w:szCs w:val="21"/>
          <w:u w:val="single"/>
        </w:rPr>
        <w:t xml:space="preserve">       </w:t>
      </w:r>
    </w:p>
    <w:p>
      <w:pPr>
        <w:widowControl w:val="0"/>
        <w:spacing w:beforeLines="0" w:line="400" w:lineRule="exact"/>
        <w:ind w:firstLine="420" w:firstLineChars="200"/>
        <w:jc w:val="both"/>
        <w:rPr>
          <w:rFonts w:ascii="Times New Roman"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（3）付款方式（按项目实际勾选填写）：</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w:t>
      </w:r>
      <w:r>
        <w:rPr>
          <w:rFonts w:hint="eastAsia" w:ascii="宋体" w:hAnsi="宋体" w:eastAsia="宋体"/>
          <w:szCs w:val="21"/>
          <w:u w:val="single"/>
          <w:lang w:eastAsia="zh-CN"/>
        </w:rPr>
        <w:t>明确</w:t>
      </w:r>
      <w:r>
        <w:rPr>
          <w:rFonts w:hint="eastAsia" w:ascii="宋体" w:hAnsi="宋体" w:eastAsia="宋体"/>
          <w:szCs w:val="21"/>
          <w:u w:val="single"/>
        </w:rPr>
        <w:t>一次性支付合同款项</w:t>
      </w:r>
      <w:r>
        <w:rPr>
          <w:rFonts w:hint="eastAsia" w:ascii="宋体" w:hAnsi="宋体" w:eastAsia="宋体"/>
          <w:szCs w:val="21"/>
          <w:u w:val="single"/>
          <w:lang w:eastAsia="zh-CN"/>
        </w:rPr>
        <w:t>的条件</w:t>
      </w:r>
      <w:r>
        <w:rPr>
          <w:rFonts w:hint="eastAsia" w:ascii="宋体" w:hAnsi="宋体" w:eastAsia="宋体"/>
          <w:szCs w:val="21"/>
          <w:u w:val="single"/>
        </w:rPr>
        <w:t xml:space="preserve">）                    </w:t>
      </w:r>
    </w:p>
    <w:p>
      <w:pPr>
        <w:snapToGrid w:val="0"/>
        <w:spacing w:beforeLines="0"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w:t>
      </w:r>
      <w:r>
        <w:rPr>
          <w:rFonts w:hint="eastAsia" w:ascii="宋体" w:hAnsi="宋体" w:eastAsia="宋体"/>
          <w:szCs w:val="21"/>
          <w:u w:val="single"/>
          <w:lang w:eastAsia="zh-CN"/>
        </w:rPr>
        <w:t>，各期支付条件应与分期履约验收情况挂钩</w:t>
      </w:r>
      <w:r>
        <w:rPr>
          <w:rFonts w:hint="eastAsia" w:ascii="宋体" w:hAnsi="宋体" w:eastAsia="宋体"/>
          <w:szCs w:val="21"/>
          <w:u w:val="single"/>
        </w:rPr>
        <w:t xml:space="preserve">） </w:t>
      </w:r>
      <w:r>
        <w:rPr>
          <w:rFonts w:hint="eastAsia" w:ascii="宋体" w:hAnsi="宋体" w:eastAsia="宋体"/>
          <w:szCs w:val="21"/>
          <w:u w:val="none"/>
          <w:lang w:eastAsia="zh-CN"/>
        </w:rPr>
        <w:t>，</w:t>
      </w:r>
      <w:r>
        <w:rPr>
          <w:rFonts w:hint="eastAsia" w:ascii="宋体" w:hAnsi="宋体" w:eastAsia="宋体"/>
          <w:szCs w:val="21"/>
          <w:lang w:eastAsia="zh-CN"/>
        </w:rPr>
        <w:t>其中涉及预付款的</w:t>
      </w:r>
      <w:r>
        <w:rPr>
          <w:rFonts w:hint="eastAsia" w:ascii="宋体" w:hAnsi="宋体" w:eastAsia="宋体"/>
          <w:szCs w:val="21"/>
        </w:rPr>
        <w:t>：</w:t>
      </w:r>
      <w:r>
        <w:rPr>
          <w:rFonts w:hint="eastAsia" w:ascii="宋体" w:hAnsi="宋体" w:eastAsia="宋体"/>
          <w:szCs w:val="21"/>
          <w:u w:val="single"/>
        </w:rPr>
        <w:t xml:space="preserve"> （应明确预付款的支付比例和支付条件） </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pPr>
        <w:adjustRightInd w:val="0"/>
        <w:snapToGrid w:val="0"/>
        <w:spacing w:before="0" w:beforeLines="0" w:line="400" w:lineRule="exact"/>
        <w:ind w:firstLine="630" w:firstLineChars="300"/>
        <w:rPr>
          <w:rFonts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pPr>
        <w:numPr>
          <w:ilvl w:val="0"/>
          <w:numId w:val="10"/>
        </w:numPr>
        <w:adjustRightInd w:val="0"/>
        <w:snapToGrid w:val="0"/>
        <w:spacing w:before="0" w:beforeLines="0" w:line="400" w:lineRule="exact"/>
        <w:ind w:firstLine="422" w:firstLineChars="200"/>
        <w:rPr>
          <w:rFonts w:ascii="宋体" w:hAnsi="宋体" w:eastAsia="宋体"/>
          <w:b/>
          <w:bCs w:val="0"/>
          <w:szCs w:val="21"/>
          <w:u w:val="single"/>
        </w:rPr>
      </w:pPr>
      <w:r>
        <w:rPr>
          <w:rFonts w:hint="eastAsia" w:ascii="宋体" w:hAnsi="宋体" w:eastAsia="宋体"/>
          <w:b/>
          <w:bCs w:val="0"/>
          <w:szCs w:val="21"/>
        </w:rPr>
        <w:t>合同履行</w:t>
      </w:r>
    </w:p>
    <w:p>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lang w:eastAsia="zh-CN"/>
        </w:rPr>
        <w:t>履约</w:t>
      </w:r>
      <w:r>
        <w:rPr>
          <w:rFonts w:hint="eastAsia" w:ascii="宋体" w:hAnsi="宋体" w:eastAsia="宋体" w:cs="宋体"/>
          <w:szCs w:val="21"/>
        </w:rPr>
        <w:t>地点</w:t>
      </w:r>
      <w:r>
        <w:rPr>
          <w:rFonts w:hint="eastAsia" w:ascii="宋体" w:hAnsi="宋体" w:eastAsia="宋体" w:cs="宋体"/>
          <w:b w:val="0"/>
          <w:bCs/>
          <w:szCs w:val="21"/>
        </w:rPr>
        <w:t>：</w:t>
      </w:r>
      <w:r>
        <w:rPr>
          <w:rFonts w:hint="eastAsia" w:ascii="宋体" w:hAnsi="宋体" w:eastAsia="宋体" w:cs="宋体"/>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eastAsia="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pPr>
        <w:autoSpaceDE w:val="0"/>
        <w:autoSpaceDN w:val="0"/>
        <w:adjustRightInd w:val="0"/>
        <w:spacing w:beforeLines="0" w:line="400" w:lineRule="exact"/>
        <w:ind w:firstLine="440" w:firstLineChars="200"/>
        <w:rPr>
          <w:rFonts w:hint="eastAsia" w:ascii="宋体" w:hAnsi="宋体" w:eastAsia="宋体" w:cs="宋体"/>
          <w:sz w:val="21"/>
          <w:szCs w:val="21"/>
          <w:lang w:val="en-US" w:eastAsia="zh-CN" w:bidi="ar-SA"/>
        </w:rPr>
      </w:pPr>
      <w:r>
        <w:rPr>
          <w:rFonts w:hint="eastAsia" w:ascii="宋体" w:hAnsi="宋体" w:eastAsia="华文楷体" w:cs="宋体"/>
          <w:bCs/>
          <w:sz w:val="22"/>
          <w:szCs w:val="21"/>
          <w:u w:val="none"/>
          <w:lang w:val="en-US" w:eastAsia="zh-CN" w:bidi="ar-SA"/>
        </w:rPr>
        <w:t xml:space="preserve">  </w:t>
      </w:r>
      <w:r>
        <w:rPr>
          <w:rFonts w:hint="eastAsia" w:ascii="宋体" w:hAnsi="宋体" w:eastAsia="宋体" w:cs="宋体"/>
          <w:sz w:val="21"/>
          <w:szCs w:val="21"/>
          <w:lang w:val="en-US" w:eastAsia="zh-CN" w:bidi="ar-SA"/>
        </w:rPr>
        <w:t xml:space="preserve">  收取履约保证金形式：</w:t>
      </w:r>
      <w:r>
        <w:rPr>
          <w:rFonts w:hint="eastAsia" w:ascii="宋体" w:hAnsi="宋体" w:eastAsia="宋体" w:cs="宋体"/>
          <w:bCs/>
          <w:sz w:val="21"/>
          <w:szCs w:val="21"/>
          <w:u w:val="single"/>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收取履约保证金金额：</w:t>
      </w:r>
      <w:r>
        <w:rPr>
          <w:rFonts w:hint="eastAsia" w:ascii="宋体" w:hAnsi="宋体" w:eastAsia="宋体" w:cs="宋体"/>
          <w:bCs/>
          <w:sz w:val="21"/>
          <w:szCs w:val="21"/>
          <w:u w:val="single"/>
          <w:lang w:val="en-US" w:eastAsia="zh-CN" w:bidi="ar-SA"/>
        </w:rPr>
        <w:t xml:space="preserve">                            </w:t>
      </w:r>
    </w:p>
    <w:p>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eastAsia="宋体" w:cs="宋体"/>
          <w:bCs/>
          <w:szCs w:val="21"/>
          <w:u w:val="none"/>
          <w:lang w:val="en-US" w:eastAsia="zh-CN"/>
        </w:rPr>
        <w:t xml:space="preserve">    履约担保期限</w:t>
      </w:r>
      <w:r>
        <w:rPr>
          <w:rFonts w:hint="eastAsia" w:ascii="宋体" w:hAnsi="宋体" w:eastAsia="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r>
        <w:rPr>
          <w:rFonts w:hint="eastAsia" w:ascii="宋体" w:hAnsi="宋体" w:eastAsia="宋体" w:cs="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w:t>
      </w:r>
      <w:r>
        <w:rPr>
          <w:rFonts w:hint="eastAsia" w:ascii="宋体" w:hAnsi="宋体" w:eastAsia="宋体" w:cs="宋体"/>
          <w:bCs/>
          <w:szCs w:val="21"/>
          <w:lang w:eastAsia="zh-CN"/>
        </w:rPr>
        <w:t>风险处置措施和替代方案</w:t>
      </w:r>
      <w:r>
        <w:rPr>
          <w:rFonts w:hint="eastAsia" w:ascii="宋体" w:hAnsi="宋体" w:eastAsia="宋体" w:cs="宋体"/>
          <w:bCs/>
          <w:szCs w:val="21"/>
        </w:rPr>
        <w:t>：</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pPr>
        <w:numPr>
          <w:ilvl w:val="0"/>
          <w:numId w:val="10"/>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合同验收</w:t>
      </w:r>
    </w:p>
    <w:p>
      <w:pPr>
        <w:numPr>
          <w:ilvl w:val="0"/>
          <w:numId w:val="12"/>
        </w:num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 w:val="21"/>
          <w:szCs w:val="21"/>
        </w:rPr>
        <w:sym w:font="Wingdings" w:char="00A8"/>
      </w:r>
      <w:r>
        <w:rPr>
          <w:rFonts w:hint="eastAsia" w:ascii="宋体" w:hAnsi="宋体" w:eastAsia="宋体"/>
          <w:bCs/>
          <w:szCs w:val="21"/>
        </w:rPr>
        <w:t xml:space="preserve">自行组织 </w:t>
      </w:r>
      <w:r>
        <w:rPr>
          <w:rFonts w:hint="eastAsia" w:ascii="宋体" w:hAnsi="宋体" w:eastAsia="宋体" w:cs="宋体"/>
          <w:sz w:val="21"/>
          <w:szCs w:val="21"/>
        </w:rPr>
        <w:sym w:font="Wingdings" w:char="00A8"/>
      </w:r>
      <w:r>
        <w:rPr>
          <w:rFonts w:hint="eastAsia" w:ascii="宋体" w:hAnsi="宋体" w:eastAsia="宋体"/>
          <w:bCs/>
          <w:szCs w:val="21"/>
        </w:rPr>
        <w:t>委托第三方组织</w:t>
      </w:r>
    </w:p>
    <w:p>
      <w:pPr>
        <w:numPr>
          <w:ilvl w:val="0"/>
          <w:numId w:val="0"/>
        </w:numPr>
        <w:adjustRightInd w:val="0"/>
        <w:snapToGrid w:val="0"/>
        <w:spacing w:before="0" w:beforeLines="0" w:line="400" w:lineRule="exact"/>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验收主体：</w:t>
      </w:r>
      <w:r>
        <w:rPr>
          <w:rFonts w:hint="eastAsia" w:ascii="宋体" w:hAnsi="宋体" w:eastAsia="宋体"/>
          <w:bCs/>
          <w:szCs w:val="21"/>
          <w:u w:val="single"/>
        </w:rPr>
        <w:t xml:space="preserve">                  </w:t>
      </w:r>
    </w:p>
    <w:p>
      <w:pPr>
        <w:adjustRightInd w:val="0"/>
        <w:snapToGrid w:val="0"/>
        <w:spacing w:before="0" w:beforeLines="0" w:line="400" w:lineRule="exact"/>
        <w:ind w:firstLine="0" w:firstLineChars="0"/>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是否邀请本项目的其他供应商</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是否邀请专家</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是否邀请服务对象</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是否邀请第三方检测机构</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rPr>
      </w:pPr>
      <w:r>
        <w:rPr>
          <w:rFonts w:hint="eastAsia" w:ascii="宋体" w:hAnsi="宋体" w:eastAsia="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，抽查比例：</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r>
        <w:rPr>
          <w:rFonts w:hint="eastAsia" w:ascii="宋体" w:hAnsi="宋体" w:eastAsia="宋体"/>
          <w:bCs/>
          <w:szCs w:val="21"/>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（计划于何时验收/供应商提出验收申请之日起   日内组织验收）</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 w:val="21"/>
          <w:szCs w:val="21"/>
        </w:rPr>
        <w:sym w:font="Wingdings" w:char="00A8"/>
      </w:r>
      <w:r>
        <w:rPr>
          <w:rFonts w:hint="eastAsia" w:ascii="宋体" w:hAnsi="宋体" w:eastAsia="宋体"/>
          <w:bCs/>
          <w:szCs w:val="21"/>
        </w:rPr>
        <w:t xml:space="preserve">一次性验收         </w:t>
      </w:r>
    </w:p>
    <w:p>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分期/分项验收</w:t>
      </w:r>
      <w:r>
        <w:rPr>
          <w:rFonts w:hint="eastAsia" w:ascii="宋体" w:hAnsi="宋体" w:eastAsia="宋体"/>
          <w:bCs/>
          <w:szCs w:val="21"/>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eastAsia="zh-CN"/>
        </w:rPr>
        <w:t>（应明确分期</w:t>
      </w:r>
      <w:r>
        <w:rPr>
          <w:rFonts w:hint="default" w:ascii="宋体" w:hAnsi="宋体" w:eastAsia="宋体"/>
          <w:bCs/>
          <w:szCs w:val="21"/>
          <w:u w:val="single"/>
          <w:lang w:val="en" w:eastAsia="zh-CN"/>
        </w:rPr>
        <w:t>/</w:t>
      </w:r>
      <w:r>
        <w:rPr>
          <w:rFonts w:hint="eastAsia" w:ascii="宋体" w:hAnsi="宋体" w:eastAsia="宋体"/>
          <w:bCs/>
          <w:szCs w:val="21"/>
          <w:u w:val="single"/>
          <w:lang w:val="en" w:eastAsia="zh-CN"/>
        </w:rPr>
        <w:t>分项验收的工作安排</w:t>
      </w:r>
      <w:r>
        <w:rPr>
          <w:rFonts w:hint="eastAsia" w:ascii="宋体" w:hAnsi="宋体" w:eastAsia="宋体"/>
          <w:bCs/>
          <w:szCs w:val="21"/>
          <w:u w:val="single"/>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w:t>
      </w:r>
      <w:r>
        <w:rPr>
          <w:rFonts w:hint="eastAsia" w:ascii="宋体" w:hAnsi="宋体" w:eastAsia="宋体"/>
          <w:bCs/>
          <w:szCs w:val="21"/>
          <w:u w:val="single"/>
          <w:lang w:eastAsia="zh-CN"/>
        </w:rPr>
        <w:t>（应当包括每一项技术和商务要求的履约情况，特别是落实政府采购扶持中小企业，支持绿色发展和乡村振兴等政策情况）</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bCs/>
          <w:sz w:val="21"/>
          <w:szCs w:val="21"/>
          <w:u w:val="none"/>
          <w:lang w:val="en-US" w:eastAsia="zh-CN" w:bidi="ar-SA"/>
        </w:rPr>
        <w:t>（7）是否以采购活动中供应商提供的样品作为参考：</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 xml:space="preserve">是  </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否</w:t>
      </w:r>
    </w:p>
    <w:p>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w:t>
      </w:r>
      <w:r>
        <w:rPr>
          <w:rFonts w:hint="eastAsia" w:ascii="宋体" w:hAnsi="宋体" w:eastAsia="宋体" w:cs="宋体"/>
          <w:bCs/>
          <w:i w:val="0"/>
          <w:iCs w:val="0"/>
          <w:szCs w:val="21"/>
          <w:u w:val="single"/>
        </w:rPr>
        <w:t>（产权过户登记等）</w:t>
      </w:r>
      <w:r>
        <w:rPr>
          <w:rFonts w:hint="eastAsia" w:ascii="宋体" w:hAnsi="宋体" w:eastAsia="宋体" w:cs="宋体"/>
          <w:bCs/>
          <w:szCs w:val="21"/>
          <w:u w:val="single"/>
        </w:rPr>
        <w:t xml:space="preserve">          </w:t>
      </w:r>
    </w:p>
    <w:p>
      <w:pPr>
        <w:numPr>
          <w:ilvl w:val="0"/>
          <w:numId w:val="10"/>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pPr>
        <w:adjustRightInd w:val="0"/>
        <w:snapToGrid w:val="0"/>
        <w:spacing w:before="0" w:beforeLines="0" w:line="400" w:lineRule="exact"/>
        <w:ind w:firstLine="420" w:firstLineChars="200"/>
        <w:rPr>
          <w:rFonts w:hint="eastAsia" w:ascii="宋体" w:hAnsi="宋体" w:eastAsia="宋体"/>
          <w:color w:val="auto"/>
          <w:szCs w:val="21"/>
          <w:lang w:eastAsia="zh-CN"/>
        </w:rPr>
      </w:pPr>
      <w:r>
        <w:rPr>
          <w:rFonts w:hint="eastAsia" w:ascii="宋体" w:hAnsi="宋体" w:eastAsia="宋体"/>
          <w:color w:val="auto"/>
          <w:szCs w:val="21"/>
        </w:rPr>
        <w:t>（1）</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2</w:t>
      </w:r>
      <w:r>
        <w:rPr>
          <w:rFonts w:hint="eastAsia" w:ascii="宋体" w:hAnsi="宋体" w:eastAsia="宋体"/>
          <w:szCs w:val="21"/>
        </w:rPr>
        <w:t>）政府采购合同专用条款</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3</w:t>
      </w:r>
      <w:r>
        <w:rPr>
          <w:rFonts w:hint="eastAsia" w:ascii="宋体" w:hAnsi="宋体" w:eastAsia="宋体"/>
          <w:szCs w:val="21"/>
        </w:rPr>
        <w:t>）政府采购合同通用条款</w:t>
      </w:r>
    </w:p>
    <w:p>
      <w:pPr>
        <w:adjustRightInd w:val="0"/>
        <w:snapToGrid w:val="0"/>
        <w:spacing w:before="0" w:beforeLines="0" w:line="400" w:lineRule="exact"/>
        <w:ind w:firstLine="420" w:firstLineChars="200"/>
        <w:rPr>
          <w:rFonts w:ascii="宋体" w:hAnsi="宋体" w:eastAsia="宋体"/>
          <w:color w:val="auto"/>
          <w:szCs w:val="21"/>
        </w:rPr>
      </w:pPr>
      <w:r>
        <w:rPr>
          <w:rFonts w:hint="eastAsia" w:ascii="宋体" w:hAnsi="宋体" w:eastAsia="宋体"/>
          <w:color w:val="auto"/>
          <w:szCs w:val="21"/>
        </w:rPr>
        <w:t>（</w:t>
      </w:r>
      <w:r>
        <w:rPr>
          <w:rFonts w:hint="eastAsia" w:ascii="宋体" w:hAnsi="宋体" w:eastAsia="宋体"/>
          <w:color w:val="auto"/>
          <w:szCs w:val="21"/>
          <w:lang w:val="en-US" w:eastAsia="zh-CN"/>
        </w:rPr>
        <w:t>4</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5</w:t>
      </w:r>
      <w:r>
        <w:rPr>
          <w:rFonts w:hint="eastAsia" w:ascii="宋体" w:hAnsi="宋体" w:eastAsia="宋体"/>
          <w:szCs w:val="21"/>
        </w:rPr>
        <w:t>）投标（响应）文件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（6）采购文件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（7）有关技术文件，图纸</w:t>
      </w:r>
    </w:p>
    <w:p>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pPr>
        <w:numPr>
          <w:ilvl w:val="0"/>
          <w:numId w:val="10"/>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合同生效</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pPr>
        <w:numPr>
          <w:ilvl w:val="0"/>
          <w:numId w:val="10"/>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合同份数</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甲方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乙方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份，均具有同等法律效力。</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pPr>
        <w:adjustRightInd w:val="0"/>
        <w:snapToGrid w:val="0"/>
        <w:spacing w:before="0" w:beforeLines="0" w:line="400" w:lineRule="exact"/>
        <w:ind w:firstLine="420" w:firstLineChars="200"/>
        <w:rPr>
          <w:rFonts w:eastAsia="宋体"/>
        </w:rPr>
      </w:pPr>
      <w:r>
        <w:rPr>
          <w:rFonts w:hint="eastAsia" w:ascii="宋体" w:hAnsi="宋体" w:eastAsia="宋体"/>
          <w:szCs w:val="21"/>
        </w:rPr>
        <w:t>附件：具体标</w:t>
      </w:r>
      <w:r>
        <w:rPr>
          <w:rFonts w:hint="eastAsia" w:ascii="宋体" w:hAnsi="宋体" w:eastAsia="宋体"/>
          <w:szCs w:val="21"/>
          <w:lang w:eastAsia="zh-CN"/>
        </w:rPr>
        <w:t>的及其</w:t>
      </w:r>
      <w:r>
        <w:rPr>
          <w:rFonts w:hint="eastAsia" w:ascii="宋体" w:hAnsi="宋体" w:eastAsia="宋体"/>
          <w:szCs w:val="21"/>
          <w:highlight w:val="none"/>
          <w:u w:val="none"/>
          <w:lang w:val="en-US" w:eastAsia="zh-CN"/>
        </w:rPr>
        <w:t>技术要求和商务要求</w:t>
      </w:r>
      <w:r>
        <w:rPr>
          <w:rFonts w:hint="eastAsia" w:ascii="宋体" w:hAnsi="宋体" w:eastAsia="宋体"/>
          <w:szCs w:val="21"/>
        </w:rPr>
        <w:t>、联合协议、分包</w:t>
      </w:r>
      <w:r>
        <w:rPr>
          <w:rFonts w:hint="eastAsia" w:ascii="宋体" w:hAnsi="宋体" w:eastAsia="宋体"/>
          <w:szCs w:val="21"/>
          <w:lang w:eastAsia="zh-CN"/>
        </w:rPr>
        <w:t>意向</w:t>
      </w:r>
      <w:r>
        <w:rPr>
          <w:rFonts w:hint="eastAsia" w:ascii="宋体" w:hAnsi="宋体" w:eastAsia="宋体"/>
          <w:szCs w:val="21"/>
        </w:rPr>
        <w:t>协议等。</w:t>
      </w:r>
    </w:p>
    <w:p>
      <w:pPr>
        <w:rPr>
          <w:rFonts w:hint="eastAsia" w:eastAsia="宋体"/>
        </w:rPr>
      </w:pPr>
      <w:r>
        <w:rPr>
          <w:rFonts w:hint="eastAsia" w:eastAsia="宋体"/>
        </w:rPr>
        <w:br w:type="page"/>
      </w:r>
    </w:p>
    <w:p>
      <w:pPr>
        <w:widowControl w:val="0"/>
        <w:ind w:firstLine="420" w:firstLineChars="200"/>
        <w:jc w:val="both"/>
        <w:rPr>
          <w:rFonts w:hint="eastAsia" w:ascii="Times New Roman" w:hAnsi="Times New Roman" w:eastAsia="宋体" w:cs="Times New Roman"/>
          <w:kern w:val="2"/>
          <w:sz w:val="21"/>
          <w:szCs w:val="21"/>
          <w:lang w:val="en-US" w:eastAsia="zh-CN" w:bidi="ar-SA"/>
        </w:rPr>
      </w:pPr>
    </w:p>
    <w:tbl>
      <w:tblPr>
        <w:tblStyle w:val="45"/>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拥有者性别</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lang w:eastAsia="zh-CN"/>
              </w:rPr>
              <w:t>通信地址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pPr>
              <w:widowControl w:val="0"/>
              <w:adjustRightInd w:val="0"/>
              <w:snapToGrid w:val="0"/>
              <w:spacing w:before="156" w:beforeLines="50" w:after="0" w:line="360" w:lineRule="auto"/>
              <w:ind w:left="0" w:leftChars="0"/>
              <w:jc w:val="left"/>
              <w:rPr>
                <w:rFonts w:ascii="Times New Roman" w:hAnsi="Times New Roman" w:eastAsia="宋体" w:cs="Times New Roman"/>
                <w:spacing w:val="20"/>
                <w:kern w:val="2"/>
                <w:sz w:val="21"/>
                <w:szCs w:val="21"/>
                <w:lang w:val="en-US" w:eastAsia="zh-CN" w:bidi="ar-SA"/>
              </w:rPr>
            </w:pPr>
            <w:r>
              <w:rPr>
                <w:rFonts w:hint="eastAsia" w:ascii="宋体" w:hAnsi="宋体" w:eastAsia="宋体" w:cs="Times New Roman"/>
                <w:kern w:val="2"/>
                <w:sz w:val="21"/>
                <w:szCs w:val="21"/>
                <w:lang w:val="en-US" w:eastAsia="zh-CN" w:bidi="ar-SA"/>
              </w:rPr>
              <w:t>注：涉及联合体或其他合同主体的信息应按上表格式加列。</w:t>
            </w:r>
          </w:p>
        </w:tc>
      </w:tr>
    </w:tbl>
    <w:p>
      <w:pPr>
        <w:keepNext/>
        <w:keepLines/>
        <w:widowControl w:val="0"/>
        <w:adjustRightInd w:val="0"/>
        <w:snapToGrid w:val="0"/>
        <w:spacing w:before="156" w:beforeLines="50" w:line="360" w:lineRule="auto"/>
        <w:jc w:val="center"/>
        <w:outlineLvl w:val="1"/>
        <w:rPr>
          <w:rFonts w:ascii="黑体" w:hAnsi="黑体" w:eastAsia="黑体" w:cs="Times New Roman"/>
          <w:b/>
          <w:bCs/>
          <w:kern w:val="2"/>
          <w:sz w:val="28"/>
          <w:szCs w:val="28"/>
          <w:lang w:val="en-US" w:eastAsia="zh-CN" w:bidi="ar-SA"/>
        </w:rPr>
      </w:pPr>
      <w:r>
        <w:rPr>
          <w:rFonts w:ascii="宋体" w:hAnsi="宋体" w:eastAsia="宋体" w:cs="Times New Roman"/>
          <w:b/>
          <w:bCs/>
          <w:kern w:val="2"/>
          <w:sz w:val="21"/>
          <w:szCs w:val="21"/>
          <w:u w:val="single"/>
          <w:lang w:val="en-US" w:eastAsia="zh-CN" w:bidi="ar-SA"/>
        </w:rPr>
        <w:br w:type="page"/>
      </w:r>
      <w:bookmarkStart w:id="85" w:name="_Toc27624"/>
      <w:r>
        <w:rPr>
          <w:rFonts w:hint="eastAsia" w:ascii="黑体" w:hAnsi="黑体" w:eastAsia="黑体" w:cs="Times New Roman"/>
          <w:b w:val="0"/>
          <w:bCs w:val="0"/>
          <w:kern w:val="2"/>
          <w:sz w:val="28"/>
          <w:szCs w:val="28"/>
          <w:lang w:val="en-US" w:eastAsia="zh-CN" w:bidi="ar-SA"/>
        </w:rPr>
        <w:t>第二节 政府采购合同通用条款</w:t>
      </w:r>
      <w:bookmarkEnd w:id="85"/>
    </w:p>
    <w:p>
      <w:pPr>
        <w:tabs>
          <w:tab w:val="left" w:pos="8820"/>
          <w:tab w:val="left" w:pos="9345"/>
          <w:tab w:val="left" w:pos="9765"/>
        </w:tabs>
        <w:adjustRightInd w:val="0"/>
        <w:snapToGrid w:val="0"/>
        <w:spacing w:before="0" w:line="400" w:lineRule="exact"/>
        <w:jc w:val="left"/>
        <w:rPr>
          <w:rFonts w:ascii="宋体" w:hAnsi="宋体" w:eastAsia="宋体"/>
          <w:b/>
          <w:bCs/>
          <w:sz w:val="24"/>
        </w:rPr>
      </w:pPr>
      <w:r>
        <w:rPr>
          <w:rFonts w:hint="eastAsia" w:ascii="宋体" w:hAnsi="宋体" w:eastAsia="宋体"/>
          <w:b/>
          <w:sz w:val="24"/>
        </w:rPr>
        <w:t>1.</w:t>
      </w:r>
      <w:r>
        <w:rPr>
          <w:rFonts w:hint="eastAsia" w:ascii="宋体" w:hAnsi="宋体" w:eastAsia="宋体"/>
          <w:b/>
          <w:sz w:val="24"/>
          <w:lang w:val="en-US" w:eastAsia="zh-CN"/>
        </w:rPr>
        <w:t xml:space="preserve"> </w:t>
      </w:r>
      <w:r>
        <w:rPr>
          <w:rFonts w:hint="eastAsia" w:ascii="宋体" w:hAnsi="宋体" w:eastAsia="宋体"/>
          <w:b/>
          <w:bCs/>
          <w:sz w:val="24"/>
        </w:rPr>
        <w:t>定义</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1.1合同当事人</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（1）采购人（以下称甲方）是指使用财政性资金，通过政府采购方式向供应商购买货物</w:t>
      </w:r>
      <w:r>
        <w:rPr>
          <w:rFonts w:hint="eastAsia" w:ascii="宋体" w:hAnsi="宋体" w:eastAsia="宋体"/>
          <w:color w:val="auto"/>
          <w:szCs w:val="21"/>
          <w:highlight w:val="none"/>
          <w:lang w:val="en-US" w:eastAsia="zh-CN"/>
        </w:rPr>
        <w:t>及其相关服务的</w:t>
      </w:r>
      <w:r>
        <w:rPr>
          <w:rFonts w:hint="eastAsia" w:ascii="宋体" w:hAnsi="宋体" w:eastAsia="宋体"/>
          <w:color w:val="auto"/>
          <w:szCs w:val="21"/>
          <w:highlight w:val="none"/>
        </w:rPr>
        <w:t>国家机关、事业单位、团体组织。</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（2）供应商（以下称</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方）是指参加政府采购活动并且中标（成交），向采购人提供</w:t>
      </w:r>
      <w:r>
        <w:rPr>
          <w:rFonts w:hint="eastAsia" w:ascii="宋体" w:hAnsi="宋体" w:eastAsia="宋体"/>
          <w:color w:val="auto"/>
          <w:szCs w:val="21"/>
          <w:highlight w:val="none"/>
          <w:lang w:val="en-US" w:eastAsia="zh-CN"/>
        </w:rPr>
        <w:t>合同约定的货物及其相关服务的法人、非法人组织或者自然人</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1.2本合同下列术语应解释为：</w:t>
      </w:r>
    </w:p>
    <w:p>
      <w:pPr>
        <w:adjustRightInd w:val="0"/>
        <w:snapToGrid w:val="0"/>
        <w:spacing w:before="0" w:beforeLines="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r>
        <w:rPr>
          <w:rFonts w:hint="eastAsia" w:ascii="宋体" w:hAnsi="宋体" w:eastAsia="宋体"/>
          <w:szCs w:val="21"/>
        </w:rPr>
        <w:t>政府采购合同专用条款</w:t>
      </w:r>
      <w:r>
        <w:rPr>
          <w:rFonts w:hint="eastAsia" w:ascii="宋体" w:hAnsi="宋体" w:eastAsia="宋体"/>
          <w:szCs w:val="21"/>
          <w:lang w:eastAsia="zh-CN"/>
        </w:rPr>
        <w:t>，</w:t>
      </w:r>
      <w:r>
        <w:rPr>
          <w:rFonts w:hint="eastAsia" w:ascii="宋体" w:hAnsi="宋体" w:eastAsia="宋体"/>
          <w:szCs w:val="21"/>
        </w:rPr>
        <w:t>政府采购合同通用条款</w:t>
      </w:r>
      <w:r>
        <w:rPr>
          <w:rFonts w:hint="eastAsia" w:ascii="宋体" w:hAnsi="宋体" w:eastAsia="宋体"/>
          <w:szCs w:val="21"/>
          <w:lang w:eastAsia="zh-CN"/>
        </w:rPr>
        <w:t>，</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r>
        <w:rPr>
          <w:rFonts w:hint="eastAsia" w:ascii="宋体" w:hAnsi="宋体" w:eastAsia="宋体"/>
          <w:color w:val="auto"/>
          <w:szCs w:val="21"/>
          <w:lang w:eastAsia="zh-CN"/>
        </w:rPr>
        <w:t>，</w:t>
      </w:r>
      <w:r>
        <w:rPr>
          <w:rFonts w:hint="eastAsia" w:ascii="宋体" w:hAnsi="宋体" w:eastAsia="宋体"/>
          <w:szCs w:val="21"/>
        </w:rPr>
        <w:t>投标（响应）文件</w:t>
      </w:r>
      <w:r>
        <w:rPr>
          <w:rFonts w:hint="eastAsia" w:ascii="宋体" w:hAnsi="宋体" w:eastAsia="宋体"/>
          <w:szCs w:val="21"/>
          <w:lang w:eastAsia="zh-CN"/>
        </w:rPr>
        <w:t>，</w:t>
      </w:r>
      <w:r>
        <w:rPr>
          <w:rFonts w:hint="eastAsia" w:ascii="宋体" w:hAnsi="宋体" w:eastAsia="宋体"/>
          <w:szCs w:val="21"/>
        </w:rPr>
        <w:t>采购文件</w:t>
      </w:r>
      <w:r>
        <w:rPr>
          <w:rFonts w:hint="eastAsia" w:ascii="宋体" w:hAnsi="宋体" w:eastAsia="宋体"/>
          <w:szCs w:val="21"/>
          <w:lang w:eastAsia="zh-CN"/>
        </w:rPr>
        <w:t>，</w:t>
      </w:r>
      <w:r>
        <w:rPr>
          <w:rFonts w:hint="eastAsia" w:ascii="宋体" w:hAnsi="宋体" w:eastAsia="宋体"/>
          <w:szCs w:val="21"/>
        </w:rPr>
        <w:t>有关技术文件</w:t>
      </w:r>
      <w:r>
        <w:rPr>
          <w:rFonts w:hint="eastAsia" w:ascii="宋体" w:hAnsi="宋体" w:eastAsia="宋体"/>
          <w:szCs w:val="21"/>
          <w:lang w:eastAsia="zh-CN"/>
        </w:rPr>
        <w:t>和</w:t>
      </w:r>
      <w:r>
        <w:rPr>
          <w:rFonts w:hint="eastAsia" w:ascii="宋体" w:hAnsi="宋体" w:eastAsia="宋体"/>
          <w:szCs w:val="21"/>
        </w:rPr>
        <w:t>图纸</w:t>
      </w:r>
      <w:r>
        <w:rPr>
          <w:rFonts w:hint="eastAsia" w:ascii="宋体" w:hAnsi="宋体" w:eastAsia="宋体"/>
          <w:szCs w:val="21"/>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）“合同价</w:t>
      </w:r>
      <w:r>
        <w:rPr>
          <w:rFonts w:hint="eastAsia" w:ascii="宋体" w:hAnsi="宋体" w:eastAsia="宋体"/>
          <w:color w:val="auto"/>
          <w:szCs w:val="21"/>
          <w:highlight w:val="none"/>
          <w:lang w:val="en-US" w:eastAsia="zh-CN"/>
        </w:rPr>
        <w:t>款</w:t>
      </w:r>
      <w:r>
        <w:rPr>
          <w:rFonts w:hint="eastAsia" w:ascii="宋体" w:hAnsi="宋体" w:eastAsia="宋体"/>
          <w:color w:val="auto"/>
          <w:szCs w:val="21"/>
          <w:highlight w:val="none"/>
        </w:rPr>
        <w:t>”系指根据本合同规定乙方在全面履行合同义务后甲方应支付给乙方的价款。</w:t>
      </w:r>
    </w:p>
    <w:p>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）“货物”系指乙方根据本合同规定须向甲方提供的各种形态和种类的物品，包括原材料、设备、产品（</w:t>
      </w:r>
      <w:r>
        <w:rPr>
          <w:rFonts w:hint="eastAsia" w:ascii="宋体" w:hAnsi="宋体" w:eastAsia="宋体"/>
          <w:color w:val="000000"/>
          <w:szCs w:val="21"/>
          <w:highlight w:val="none"/>
        </w:rPr>
        <w:t>包括软件）及相关的其备品备件、工具、手册及</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技术资料和材料</w:t>
      </w:r>
      <w:r>
        <w:rPr>
          <w:rFonts w:hint="eastAsia" w:ascii="宋体" w:hAnsi="宋体" w:eastAsia="宋体"/>
          <w:color w:val="000000"/>
          <w:szCs w:val="21"/>
          <w:highlight w:val="none"/>
          <w:lang w:eastAsia="zh-CN"/>
        </w:rPr>
        <w:t>等</w:t>
      </w:r>
      <w:r>
        <w:rPr>
          <w:rFonts w:hint="eastAsia" w:ascii="宋体" w:hAnsi="宋体" w:eastAsia="宋体"/>
          <w:color w:val="000000"/>
          <w:szCs w:val="21"/>
          <w:highlight w:val="none"/>
        </w:rPr>
        <w:t>。</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4</w:t>
      </w:r>
      <w:r>
        <w:rPr>
          <w:rFonts w:hint="eastAsia" w:ascii="宋体" w:hAnsi="宋体" w:eastAsia="宋体"/>
          <w:color w:val="000000"/>
          <w:szCs w:val="21"/>
          <w:highlight w:val="none"/>
        </w:rPr>
        <w:t>）“</w:t>
      </w:r>
      <w:r>
        <w:rPr>
          <w:rFonts w:hint="eastAsia" w:ascii="宋体" w:hAnsi="宋体" w:eastAsia="宋体"/>
          <w:color w:val="auto"/>
          <w:szCs w:val="21"/>
          <w:highlight w:val="none"/>
          <w:lang w:val="en-US" w:eastAsia="zh-CN"/>
        </w:rPr>
        <w:t>相关</w:t>
      </w:r>
      <w:r>
        <w:rPr>
          <w:rFonts w:hint="eastAsia" w:ascii="宋体" w:hAnsi="宋体" w:eastAsia="宋体"/>
          <w:color w:val="000000"/>
          <w:szCs w:val="21"/>
          <w:highlight w:val="none"/>
        </w:rPr>
        <w:t>服务”系指根据合同规定，乙方应提供的</w:t>
      </w:r>
      <w:r>
        <w:rPr>
          <w:rFonts w:hint="eastAsia" w:ascii="宋体" w:hAnsi="宋体" w:eastAsia="宋体"/>
          <w:color w:val="000000"/>
          <w:szCs w:val="21"/>
          <w:highlight w:val="none"/>
          <w:lang w:val="en-US" w:eastAsia="zh-CN"/>
        </w:rPr>
        <w:t>与货物有关的</w:t>
      </w:r>
      <w:r>
        <w:rPr>
          <w:rFonts w:hint="eastAsia" w:ascii="宋体" w:hAnsi="宋体" w:eastAsia="宋体"/>
          <w:color w:val="000000"/>
          <w:szCs w:val="21"/>
          <w:highlight w:val="none"/>
        </w:rPr>
        <w:t>技术、管理和</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服务，包括但不限于：管理和质量保证、运输、保险、检验、现场准备、安装、集成、调试、培训、维修、</w:t>
      </w:r>
      <w:r>
        <w:rPr>
          <w:rFonts w:hint="eastAsia" w:ascii="宋体" w:hAnsi="宋体" w:eastAsia="宋体"/>
          <w:color w:val="000000"/>
          <w:szCs w:val="21"/>
          <w:highlight w:val="none"/>
          <w:lang w:eastAsia="zh-CN"/>
        </w:rPr>
        <w:t>废弃处置、</w:t>
      </w:r>
      <w:r>
        <w:rPr>
          <w:rFonts w:hint="eastAsia" w:ascii="宋体" w:hAnsi="宋体" w:eastAsia="宋体"/>
          <w:color w:val="000000"/>
          <w:szCs w:val="21"/>
          <w:highlight w:val="none"/>
        </w:rPr>
        <w:t>技术支持等以及合同中规定乙方应承担的</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义务。</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5</w:t>
      </w:r>
      <w:r>
        <w:rPr>
          <w:rFonts w:hint="eastAsia" w:ascii="宋体" w:hAnsi="宋体" w:eastAsia="宋体"/>
          <w:color w:val="000000"/>
          <w:szCs w:val="21"/>
          <w:highlight w:val="none"/>
        </w:rPr>
        <w:t>）“分包”系指中标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供应商按采购文件、投标（响应）文件的规定，根据分包意向协议，将中标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项目中的部分履约内容，分给具有相应资质条件的供应商履行合同的行为。</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hint="eastAsia" w:ascii="宋体" w:hAnsi="宋体" w:eastAsia="宋体"/>
          <w:color w:val="000000"/>
          <w:szCs w:val="21"/>
          <w:highlight w:val="none"/>
        </w:rPr>
        <w:t>）</w:t>
      </w:r>
      <w:r>
        <w:rPr>
          <w:rFonts w:hint="eastAsia" w:ascii="宋体" w:hAnsi="宋体" w:eastAsia="宋体"/>
          <w:szCs w:val="21"/>
        </w:rPr>
        <w:t>“联合体”系指</w:t>
      </w:r>
      <w:r>
        <w:rPr>
          <w:rFonts w:hint="eastAsia" w:ascii="宋体" w:hAnsi="宋体" w:eastAsia="宋体"/>
          <w:szCs w:val="21"/>
          <w:lang w:eastAsia="zh-CN"/>
        </w:rPr>
        <w:t>由</w:t>
      </w:r>
      <w:r>
        <w:rPr>
          <w:rFonts w:hint="eastAsia" w:ascii="宋体" w:hAnsi="宋体" w:eastAsia="宋体"/>
          <w:szCs w:val="21"/>
        </w:rPr>
        <w:t>两个以上的自然人、法人或者</w:t>
      </w:r>
      <w:r>
        <w:rPr>
          <w:rFonts w:hint="eastAsia" w:ascii="宋体" w:hAnsi="宋体" w:eastAsia="宋体"/>
          <w:szCs w:val="21"/>
          <w:lang w:val="en-US" w:eastAsia="zh-CN"/>
        </w:rPr>
        <w:t>非法人</w:t>
      </w:r>
      <w:r>
        <w:rPr>
          <w:rFonts w:hint="eastAsia" w:ascii="宋体" w:hAnsi="宋体" w:eastAsia="宋体"/>
          <w:szCs w:val="21"/>
        </w:rPr>
        <w:t>组织组成，</w:t>
      </w:r>
      <w:r>
        <w:rPr>
          <w:rFonts w:hint="eastAsia" w:ascii="宋体" w:hAnsi="宋体" w:eastAsia="宋体"/>
          <w:szCs w:val="21"/>
          <w:lang w:eastAsia="zh-CN"/>
        </w:rPr>
        <w:t>以一个供应商的身份共同参加政府采购的主体</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olor w:val="000000"/>
          <w:szCs w:val="21"/>
          <w:highlight w:val="none"/>
          <w:lang w:eastAsia="zh-CN"/>
        </w:rPr>
        <w:t>甲方</w:t>
      </w:r>
      <w:r>
        <w:rPr>
          <w:rFonts w:hint="eastAsia" w:ascii="宋体" w:hAnsi="宋体" w:eastAsia="宋体"/>
          <w:color w:val="000000"/>
          <w:szCs w:val="21"/>
          <w:highlight w:val="none"/>
        </w:rPr>
        <w:t>承担连带责任。联合体具体要求见【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7</w:t>
      </w:r>
      <w:r>
        <w:rPr>
          <w:rFonts w:hint="eastAsia" w:ascii="宋体" w:hAnsi="宋体" w:eastAsia="宋体"/>
          <w:color w:val="000000"/>
          <w:szCs w:val="21"/>
          <w:highlight w:val="none"/>
        </w:rPr>
        <w:t>）其他术语解释，见【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numPr>
          <w:ilvl w:val="0"/>
          <w:numId w:val="13"/>
        </w:num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color w:val="000000"/>
          <w:sz w:val="24"/>
          <w:highlight w:val="none"/>
        </w:rPr>
        <w:t>合同标的及金额</w:t>
      </w:r>
    </w:p>
    <w:p>
      <w:pPr>
        <w:autoSpaceDE w:val="0"/>
        <w:autoSpaceDN w:val="0"/>
        <w:adjustRightInd w:val="0"/>
        <w:snapToGrid w:val="0"/>
        <w:spacing w:before="0" w:line="400" w:lineRule="exact"/>
        <w:ind w:firstLine="420" w:firstLineChars="200"/>
        <w:jc w:val="left"/>
        <w:rPr>
          <w:rFonts w:ascii="宋体" w:hAnsi="宋体" w:eastAsia="宋体"/>
          <w:b/>
          <w:bCs/>
          <w:i/>
          <w:iCs/>
          <w:color w:val="000000"/>
          <w:szCs w:val="21"/>
          <w:highlight w:val="none"/>
        </w:rPr>
      </w:pPr>
      <w:r>
        <w:rPr>
          <w:rFonts w:hint="eastAsia" w:ascii="宋体" w:hAnsi="宋体" w:eastAsia="宋体"/>
          <w:color w:val="000000"/>
          <w:szCs w:val="21"/>
          <w:highlight w:val="none"/>
          <w:lang w:eastAsia="zh-CN"/>
        </w:rPr>
        <w:t>2</w:t>
      </w:r>
      <w:r>
        <w:rPr>
          <w:rFonts w:hint="eastAsia" w:ascii="宋体" w:hAnsi="宋体" w:eastAsia="宋体"/>
          <w:color w:val="000000"/>
          <w:szCs w:val="21"/>
          <w:highlight w:val="none"/>
        </w:rPr>
        <w:t>.1 合同标的及金额应与中标（成交）结果一致。乙方为履行本合同而发生的所有费用均应包含在合同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中，甲方不再另行支付</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任何费用。</w:t>
      </w:r>
    </w:p>
    <w:p>
      <w:pPr>
        <w:adjustRightInd w:val="0"/>
        <w:snapToGrid w:val="0"/>
        <w:spacing w:before="0" w:line="400" w:lineRule="exact"/>
        <w:jc w:val="left"/>
        <w:rPr>
          <w:rFonts w:ascii="宋体" w:hAnsi="宋体" w:eastAsia="宋体"/>
          <w:b/>
          <w:color w:val="000000"/>
          <w:sz w:val="24"/>
          <w:highlight w:val="none"/>
        </w:rPr>
      </w:pPr>
      <w:r>
        <w:rPr>
          <w:rFonts w:hint="eastAsia" w:ascii="宋体" w:hAnsi="宋体" w:eastAsia="宋体"/>
          <w:b/>
          <w:color w:val="000000"/>
          <w:sz w:val="24"/>
          <w:highlight w:val="none"/>
          <w:lang w:eastAsia="zh-CN"/>
        </w:rPr>
        <w:t>3</w:t>
      </w:r>
      <w:r>
        <w:rPr>
          <w:rFonts w:hint="eastAsia" w:ascii="宋体" w:hAnsi="宋体" w:eastAsia="宋体"/>
          <w:b/>
          <w:color w:val="000000"/>
          <w:sz w:val="24"/>
          <w:highlight w:val="none"/>
          <w:lang w:val="en-US" w:eastAsia="zh-CN"/>
        </w:rPr>
        <w:t xml:space="preserve">. </w:t>
      </w:r>
      <w:r>
        <w:rPr>
          <w:rFonts w:hint="eastAsia" w:ascii="宋体" w:hAnsi="宋体" w:eastAsia="宋体"/>
          <w:b/>
          <w:color w:val="000000"/>
          <w:sz w:val="24"/>
          <w:highlight w:val="none"/>
        </w:rPr>
        <w:t>履行合同的时间、地点和方式</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3</w:t>
      </w:r>
      <w:r>
        <w:rPr>
          <w:rFonts w:hint="eastAsia" w:ascii="宋体" w:hAnsi="宋体" w:eastAsia="宋体"/>
          <w:color w:val="000000"/>
          <w:szCs w:val="21"/>
          <w:highlight w:val="none"/>
        </w:rPr>
        <w:t xml:space="preserve">.1 </w:t>
      </w:r>
      <w:r>
        <w:rPr>
          <w:rFonts w:hint="eastAsia" w:ascii="宋体" w:hAnsi="宋体" w:eastAsia="宋体" w:cs="宋体"/>
          <w:szCs w:val="21"/>
        </w:rPr>
        <w:t>乙方应当在约定的时间、地点</w:t>
      </w:r>
      <w:r>
        <w:rPr>
          <w:rFonts w:hint="eastAsia" w:ascii="宋体" w:hAnsi="宋体" w:eastAsia="宋体" w:cs="宋体"/>
          <w:szCs w:val="21"/>
          <w:lang w:eastAsia="zh-CN"/>
        </w:rPr>
        <w:t>，按照约定</w:t>
      </w:r>
      <w:r>
        <w:rPr>
          <w:rFonts w:hint="eastAsia" w:ascii="宋体" w:hAnsi="宋体" w:eastAsia="宋体" w:cs="宋体"/>
          <w:szCs w:val="21"/>
        </w:rPr>
        <w:t>方式履行合同。</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4</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甲方的权利和义务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.1</w:t>
      </w:r>
      <w:r>
        <w:rPr>
          <w:rFonts w:ascii="宋体" w:hAnsi="宋体" w:eastAsia="宋体"/>
          <w:color w:val="000000"/>
          <w:szCs w:val="21"/>
          <w:highlight w:val="none"/>
        </w:rPr>
        <w:t xml:space="preserve"> 签署合同后，甲方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r>
        <w:rPr>
          <w:rFonts w:hint="eastAsia" w:ascii="宋体" w:hAnsi="宋体" w:eastAsia="宋体"/>
          <w:color w:val="000000"/>
          <w:szCs w:val="21"/>
          <w:highlight w:val="none"/>
        </w:rPr>
        <w:t>甲方有权对乙方的履约行为进行检查，并</w:t>
      </w:r>
      <w:r>
        <w:rPr>
          <w:rFonts w:ascii="宋体" w:hAnsi="宋体" w:eastAsia="宋体"/>
          <w:color w:val="000000"/>
          <w:szCs w:val="21"/>
          <w:highlight w:val="none"/>
        </w:rPr>
        <w:t>及时确认乙方提交的事项</w:t>
      </w:r>
      <w:r>
        <w:rPr>
          <w:rFonts w:hint="eastAsia" w:ascii="宋体" w:hAnsi="宋体" w:eastAsia="宋体"/>
          <w:color w:val="000000"/>
          <w:szCs w:val="21"/>
          <w:highlight w:val="none"/>
        </w:rPr>
        <w:t>。甲方应当</w:t>
      </w:r>
      <w:r>
        <w:rPr>
          <w:rFonts w:ascii="宋体" w:hAnsi="宋体" w:eastAsia="宋体"/>
          <w:color w:val="000000"/>
          <w:szCs w:val="21"/>
          <w:highlight w:val="none"/>
        </w:rPr>
        <w:t>配合乙方完成</w:t>
      </w:r>
      <w:r>
        <w:rPr>
          <w:rFonts w:hint="eastAsia" w:ascii="宋体" w:hAnsi="宋体" w:eastAsia="宋体"/>
          <w:color w:val="000000"/>
          <w:szCs w:val="21"/>
          <w:highlight w:val="none"/>
        </w:rPr>
        <w:t>相关项目</w:t>
      </w:r>
      <w:r>
        <w:rPr>
          <w:rFonts w:ascii="宋体" w:hAnsi="宋体" w:eastAsia="宋体"/>
          <w:color w:val="000000"/>
          <w:szCs w:val="21"/>
          <w:highlight w:val="none"/>
        </w:rPr>
        <w:t>实施工作。</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 xml:space="preserve">.2 </w:t>
      </w:r>
      <w:r>
        <w:rPr>
          <w:rFonts w:ascii="宋体" w:hAnsi="宋体" w:eastAsia="宋体"/>
          <w:color w:val="000000"/>
          <w:szCs w:val="21"/>
          <w:highlight w:val="none"/>
        </w:rPr>
        <w:t>甲方有权要求乙方按时提交各阶段有关</w:t>
      </w:r>
      <w:r>
        <w:rPr>
          <w:rFonts w:hint="eastAsia" w:ascii="宋体" w:hAnsi="宋体" w:eastAsia="宋体"/>
          <w:color w:val="000000"/>
          <w:szCs w:val="21"/>
          <w:highlight w:val="none"/>
        </w:rPr>
        <w:t>安排计划</w:t>
      </w:r>
      <w:r>
        <w:rPr>
          <w:rFonts w:ascii="宋体" w:hAnsi="宋体" w:eastAsia="宋体"/>
          <w:color w:val="000000"/>
          <w:szCs w:val="21"/>
          <w:highlight w:val="none"/>
        </w:rPr>
        <w:t>，并有权</w:t>
      </w:r>
      <w:r>
        <w:rPr>
          <w:rFonts w:hint="eastAsia" w:ascii="宋体" w:hAnsi="宋体" w:eastAsia="宋体"/>
          <w:color w:val="000000"/>
          <w:szCs w:val="21"/>
          <w:highlight w:val="none"/>
        </w:rPr>
        <w:t>定期核对乙方提供货物数量、规格、质量等内容。甲方</w:t>
      </w:r>
      <w:r>
        <w:rPr>
          <w:rFonts w:ascii="宋体" w:hAnsi="宋体" w:eastAsia="宋体"/>
          <w:color w:val="000000"/>
          <w:szCs w:val="21"/>
          <w:highlight w:val="none"/>
        </w:rPr>
        <w:t>有权督促乙方工作并要求乙方</w:t>
      </w:r>
      <w:r>
        <w:rPr>
          <w:rFonts w:hint="eastAsia" w:ascii="宋体" w:hAnsi="宋体" w:eastAsia="宋体"/>
          <w:color w:val="000000"/>
          <w:szCs w:val="21"/>
          <w:highlight w:val="none"/>
        </w:rPr>
        <w:t>更</w:t>
      </w:r>
      <w:r>
        <w:rPr>
          <w:rFonts w:ascii="宋体" w:hAnsi="宋体" w:eastAsia="宋体"/>
          <w:color w:val="000000"/>
          <w:szCs w:val="21"/>
          <w:highlight w:val="none"/>
        </w:rPr>
        <w:t>换不符合要求的</w:t>
      </w:r>
      <w:r>
        <w:rPr>
          <w:rFonts w:hint="eastAsia" w:ascii="宋体" w:hAnsi="宋体" w:eastAsia="宋体"/>
          <w:color w:val="000000"/>
          <w:szCs w:val="21"/>
          <w:highlight w:val="none"/>
        </w:rPr>
        <w:t>货物</w:t>
      </w:r>
      <w:r>
        <w:rPr>
          <w:rFonts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ascii="宋体" w:hAnsi="宋体" w:eastAsia="宋体"/>
          <w:color w:val="000000"/>
          <w:szCs w:val="21"/>
          <w:highlight w:val="none"/>
        </w:rPr>
        <w:t>3</w:t>
      </w:r>
      <w:r>
        <w:rPr>
          <w:rFonts w:hint="eastAsia" w:ascii="宋体" w:hAnsi="宋体" w:eastAsia="宋体"/>
          <w:color w:val="000000"/>
          <w:szCs w:val="21"/>
          <w:highlight w:val="none"/>
        </w:rPr>
        <w:t xml:space="preserve"> </w:t>
      </w:r>
      <w:r>
        <w:rPr>
          <w:rFonts w:ascii="宋体" w:hAnsi="宋体" w:eastAsia="宋体"/>
          <w:color w:val="000000"/>
          <w:szCs w:val="21"/>
          <w:highlight w:val="none"/>
        </w:rPr>
        <w:t>甲方</w:t>
      </w:r>
      <w:r>
        <w:rPr>
          <w:rFonts w:hint="eastAsia" w:ascii="宋体" w:hAnsi="宋体" w:eastAsia="宋体"/>
          <w:color w:val="000000"/>
          <w:szCs w:val="21"/>
          <w:highlight w:val="none"/>
        </w:rPr>
        <w:t>有权要求乙方对缺陷部分予以修复，并按合同约定享有货物保修及其他合同约定的权利。</w:t>
      </w:r>
    </w:p>
    <w:p>
      <w:pPr>
        <w:snapToGrid w:val="0"/>
        <w:spacing w:line="400" w:lineRule="exact"/>
        <w:ind w:firstLine="420" w:firstLineChars="200"/>
        <w:rPr>
          <w:rFonts w:hint="eastAsia" w:eastAsia="华文楷体"/>
          <w:lang w:val="en-US" w:eastAsia="zh-CN"/>
        </w:rPr>
      </w:pPr>
      <w:r>
        <w:rPr>
          <w:rFonts w:hint="default" w:ascii="宋体" w:hAnsi="宋体" w:eastAsia="宋体"/>
          <w:color w:val="000000"/>
          <w:szCs w:val="21"/>
          <w:highlight w:val="none"/>
          <w:lang w:val="en-US" w:eastAsia="zh-CN"/>
        </w:rPr>
        <w:t>4.4 甲方应当按照合同约定及时对交付的货物进行验收</w:t>
      </w:r>
      <w:r>
        <w:rPr>
          <w:rFonts w:hint="eastAsia" w:ascii="宋体" w:hAnsi="宋体" w:eastAsia="宋体"/>
          <w:color w:val="000000"/>
          <w:szCs w:val="21"/>
          <w:highlight w:val="none"/>
          <w:lang w:val="en-US" w:eastAsia="zh-CN"/>
        </w:rPr>
        <w:t>，</w:t>
      </w:r>
      <w:r>
        <w:rPr>
          <w:rFonts w:hint="eastAsia" w:ascii="宋体" w:hAnsi="宋体" w:eastAsia="宋体" w:cs="宋体"/>
          <w:b w:val="0"/>
          <w:bCs w:val="0"/>
          <w:szCs w:val="21"/>
          <w:highlight w:val="none"/>
          <w:lang w:eastAsia="zh-CN"/>
        </w:rPr>
        <w:t>未</w:t>
      </w:r>
      <w:r>
        <w:rPr>
          <w:rFonts w:hint="eastAsia" w:ascii="宋体" w:hAnsi="宋体" w:eastAsia="宋体"/>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olor w:val="000000"/>
          <w:szCs w:val="21"/>
          <w:highlight w:val="none"/>
          <w:lang w:val="en-US" w:eastAsia="zh-CN"/>
        </w:rPr>
        <w:t>视为验收通过。</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highlight w:val="none"/>
        </w:rPr>
      </w:pPr>
      <w:r>
        <w:rPr>
          <w:rFonts w:hint="default"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default" w:ascii="宋体" w:hAnsi="宋体" w:eastAsia="宋体"/>
          <w:color w:val="000000"/>
          <w:szCs w:val="21"/>
          <w:highlight w:val="none"/>
          <w:lang w:val="en-US" w:eastAsia="zh-CN"/>
        </w:rPr>
        <w:t>5</w:t>
      </w:r>
      <w:r>
        <w:rPr>
          <w:rFonts w:ascii="宋体" w:hAnsi="宋体" w:eastAsia="宋体"/>
          <w:color w:val="000000"/>
          <w:szCs w:val="21"/>
          <w:highlight w:val="none"/>
        </w:rPr>
        <w:t xml:space="preserve"> </w:t>
      </w:r>
      <w:r>
        <w:rPr>
          <w:rFonts w:hint="eastAsia" w:ascii="宋体" w:hAnsi="宋体" w:eastAsia="宋体"/>
          <w:color w:val="000000"/>
          <w:szCs w:val="21"/>
          <w:highlight w:val="none"/>
        </w:rPr>
        <w:t>甲方应当根据合同约定</w:t>
      </w:r>
      <w:r>
        <w:rPr>
          <w:rFonts w:hint="eastAsia" w:ascii="宋体" w:hAnsi="宋体" w:eastAsia="宋体"/>
          <w:color w:val="000000"/>
          <w:szCs w:val="21"/>
          <w:highlight w:val="none"/>
          <w:lang w:eastAsia="zh-CN"/>
        </w:rPr>
        <w:t>及</w:t>
      </w:r>
      <w:r>
        <w:rPr>
          <w:rFonts w:hint="eastAsia" w:ascii="宋体" w:hAnsi="宋体" w:eastAsia="宋体"/>
          <w:color w:val="000000"/>
          <w:szCs w:val="21"/>
          <w:highlight w:val="none"/>
        </w:rPr>
        <w:t>时向乙方支付</w:t>
      </w:r>
      <w:r>
        <w:rPr>
          <w:rFonts w:hint="eastAsia" w:ascii="宋体" w:hAnsi="宋体" w:eastAsia="宋体"/>
          <w:color w:val="000000"/>
          <w:szCs w:val="21"/>
          <w:highlight w:val="none"/>
          <w:lang w:eastAsia="zh-CN"/>
        </w:rPr>
        <w:t>合同价款</w:t>
      </w:r>
      <w:r>
        <w:rPr>
          <w:rFonts w:hint="default" w:ascii="宋体" w:hAnsi="宋体" w:eastAsia="宋体"/>
          <w:color w:val="000000"/>
          <w:szCs w:val="21"/>
          <w:highlight w:val="none"/>
          <w:lang w:eastAsia="zh-CN"/>
        </w:rPr>
        <w:t>，不得以内部人员变更、履行内部付款流程等为由，拒绝或迟延支付。</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ascii="宋体" w:hAnsi="宋体" w:eastAsia="宋体"/>
          <w:color w:val="000000"/>
          <w:szCs w:val="21"/>
          <w:highlight w:val="none"/>
        </w:rPr>
        <w:t xml:space="preserve"> </w:t>
      </w:r>
      <w:r>
        <w:rPr>
          <w:rFonts w:hint="eastAsia" w:ascii="宋体" w:hAnsi="宋体" w:eastAsia="宋体"/>
          <w:color w:val="000000"/>
          <w:szCs w:val="21"/>
          <w:highlight w:val="none"/>
        </w:rPr>
        <w:t>国家法律法规规定</w:t>
      </w:r>
      <w:r>
        <w:rPr>
          <w:rFonts w:hint="eastAsia" w:ascii="宋体" w:hAnsi="宋体" w:eastAsia="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lang w:eastAsia="zh-CN"/>
        </w:rPr>
        <w:t>约定应</w:t>
      </w:r>
      <w:r>
        <w:rPr>
          <w:rFonts w:hint="eastAsia" w:ascii="宋体" w:hAnsi="宋体" w:eastAsia="宋体"/>
          <w:color w:val="000000"/>
          <w:szCs w:val="21"/>
          <w:highlight w:val="none"/>
        </w:rPr>
        <w:t>由甲方承担的其他义务和责任。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5</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乙方的权利和义务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 xml:space="preserve">.1 </w:t>
      </w:r>
      <w:r>
        <w:rPr>
          <w:rFonts w:ascii="宋体" w:hAnsi="宋体" w:eastAsia="宋体"/>
          <w:color w:val="000000"/>
          <w:szCs w:val="21"/>
          <w:highlight w:val="none"/>
        </w:rPr>
        <w:t>签署合同后，乙方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w:t>
      </w:r>
      <w:r>
        <w:rPr>
          <w:rFonts w:ascii="宋体" w:hAnsi="宋体" w:eastAsia="宋体"/>
          <w:color w:val="000000"/>
          <w:szCs w:val="21"/>
          <w:highlight w:val="none"/>
        </w:rPr>
        <w:t>2 乙方应按照合同要求</w:t>
      </w:r>
      <w:r>
        <w:rPr>
          <w:rFonts w:hint="eastAsia" w:ascii="宋体" w:hAnsi="宋体" w:eastAsia="宋体"/>
          <w:color w:val="000000"/>
          <w:szCs w:val="21"/>
          <w:highlight w:val="none"/>
        </w:rPr>
        <w:t>履约</w:t>
      </w:r>
      <w:r>
        <w:rPr>
          <w:rFonts w:ascii="宋体" w:hAnsi="宋体" w:eastAsia="宋体"/>
          <w:color w:val="000000"/>
          <w:szCs w:val="21"/>
          <w:highlight w:val="none"/>
        </w:rPr>
        <w:t>，充分合理安排，确保</w:t>
      </w:r>
      <w:r>
        <w:rPr>
          <w:rFonts w:hint="eastAsia" w:ascii="宋体" w:hAnsi="宋体" w:eastAsia="宋体"/>
          <w:color w:val="000000"/>
          <w:szCs w:val="21"/>
          <w:highlight w:val="none"/>
        </w:rPr>
        <w:t>提供的货物</w:t>
      </w:r>
      <w:r>
        <w:rPr>
          <w:rFonts w:hint="eastAsia" w:ascii="宋体" w:hAnsi="宋体" w:eastAsia="宋体"/>
          <w:color w:val="000000"/>
          <w:szCs w:val="21"/>
          <w:highlight w:val="none"/>
          <w:lang w:eastAsia="zh-CN"/>
        </w:rPr>
        <w:t>及相关</w:t>
      </w:r>
      <w:r>
        <w:rPr>
          <w:rFonts w:hint="eastAsia" w:ascii="宋体" w:hAnsi="宋体" w:eastAsia="宋体"/>
          <w:color w:val="000000"/>
          <w:szCs w:val="21"/>
          <w:highlight w:val="none"/>
        </w:rPr>
        <w:t>服务符合合同</w:t>
      </w:r>
      <w:r>
        <w:rPr>
          <w:rFonts w:hint="eastAsia" w:ascii="宋体" w:hAnsi="宋体" w:eastAsia="宋体"/>
          <w:color w:val="000000"/>
          <w:szCs w:val="21"/>
          <w:highlight w:val="none"/>
          <w:lang w:eastAsia="zh-CN"/>
        </w:rPr>
        <w:t>有关</w:t>
      </w:r>
      <w:r>
        <w:rPr>
          <w:rFonts w:ascii="宋体" w:hAnsi="宋体" w:eastAsia="宋体"/>
          <w:color w:val="000000"/>
          <w:szCs w:val="21"/>
          <w:highlight w:val="none"/>
        </w:rPr>
        <w:t>要求</w:t>
      </w:r>
      <w:r>
        <w:rPr>
          <w:rFonts w:hint="eastAsia" w:ascii="宋体" w:hAnsi="宋体" w:eastAsia="宋体"/>
          <w:color w:val="000000"/>
          <w:szCs w:val="21"/>
          <w:highlight w:val="none"/>
        </w:rPr>
        <w:t>。接受项目行业管理部门及政府有关部门的指导，配合甲方的履约检查</w:t>
      </w:r>
      <w:r>
        <w:rPr>
          <w:rFonts w:hint="eastAsia" w:ascii="宋体" w:hAnsi="宋体" w:eastAsia="宋体"/>
          <w:color w:val="000000"/>
          <w:szCs w:val="21"/>
          <w:highlight w:val="none"/>
          <w:lang w:eastAsia="zh-CN"/>
        </w:rPr>
        <w:t>及验收</w:t>
      </w:r>
      <w:r>
        <w:rPr>
          <w:rFonts w:hint="eastAsia" w:ascii="宋体" w:hAnsi="宋体" w:eastAsia="宋体"/>
          <w:color w:val="000000"/>
          <w:szCs w:val="21"/>
          <w:highlight w:val="none"/>
        </w:rPr>
        <w:t>，并</w:t>
      </w:r>
      <w:r>
        <w:rPr>
          <w:rFonts w:ascii="宋体" w:hAnsi="宋体" w:eastAsia="宋体"/>
          <w:color w:val="000000"/>
          <w:szCs w:val="21"/>
          <w:highlight w:val="none"/>
        </w:rPr>
        <w:t>负责项目实施过程中的所有协调工作。</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【政府采购合同专用条款】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pPr>
        <w:numPr>
          <w:ilvl w:val="0"/>
          <w:numId w:val="14"/>
        </w:numPr>
        <w:autoSpaceDE w:val="0"/>
        <w:autoSpaceDN w:val="0"/>
        <w:adjustRightInd w:val="0"/>
        <w:snapToGrid w:val="0"/>
        <w:spacing w:before="0" w:line="400" w:lineRule="exact"/>
        <w:jc w:val="left"/>
        <w:rPr>
          <w:rFonts w:hint="eastAsia" w:ascii="宋体" w:hAnsi="宋体" w:eastAsia="宋体"/>
          <w:b/>
          <w:bCs/>
          <w:color w:val="000000"/>
          <w:sz w:val="24"/>
          <w:highlight w:val="none"/>
        </w:rPr>
      </w:pPr>
      <w:r>
        <w:rPr>
          <w:rFonts w:hint="eastAsia" w:ascii="宋体" w:hAnsi="宋体" w:eastAsia="宋体"/>
          <w:b/>
          <w:bCs/>
          <w:color w:val="000000"/>
          <w:sz w:val="24"/>
          <w:highlight w:val="none"/>
        </w:rPr>
        <w:t>合同履</w:t>
      </w:r>
      <w:r>
        <w:rPr>
          <w:rFonts w:hint="eastAsia" w:ascii="宋体" w:hAnsi="宋体" w:eastAsia="宋体"/>
          <w:b/>
          <w:bCs/>
          <w:color w:val="000000"/>
          <w:sz w:val="24"/>
          <w:highlight w:val="none"/>
          <w:lang w:val="en-US" w:eastAsia="zh-CN"/>
        </w:rPr>
        <w:t>行</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rPr>
        <w:t>约定顺序履行合同义务；如果没有先后顺序的，应当同时履行。</w:t>
      </w:r>
    </w:p>
    <w:p>
      <w:pPr>
        <w:autoSpaceDE w:val="0"/>
        <w:autoSpaceDN w:val="0"/>
        <w:adjustRightInd w:val="0"/>
        <w:snapToGrid w:val="0"/>
        <w:spacing w:before="0" w:line="400" w:lineRule="exact"/>
        <w:ind w:firstLine="420" w:firstLineChars="200"/>
        <w:jc w:val="left"/>
        <w:rPr>
          <w:rFonts w:eastAsia="宋体"/>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7</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货物包装、运输</w:t>
      </w:r>
      <w:r>
        <w:rPr>
          <w:rFonts w:hint="eastAsia" w:ascii="宋体" w:hAnsi="宋体" w:eastAsia="宋体"/>
          <w:b/>
          <w:bCs/>
          <w:color w:val="000000"/>
          <w:sz w:val="24"/>
          <w:highlight w:val="none"/>
          <w:lang w:eastAsia="zh-CN"/>
        </w:rPr>
        <w:t>、</w:t>
      </w:r>
      <w:r>
        <w:rPr>
          <w:rFonts w:hint="eastAsia" w:ascii="宋体" w:hAnsi="宋体" w:eastAsia="宋体"/>
          <w:b/>
          <w:bCs/>
          <w:color w:val="000000"/>
          <w:sz w:val="24"/>
          <w:highlight w:val="none"/>
        </w:rPr>
        <w:t>保险</w:t>
      </w:r>
      <w:r>
        <w:rPr>
          <w:rFonts w:hint="eastAsia" w:ascii="宋体" w:hAnsi="宋体" w:eastAsia="宋体"/>
          <w:b/>
          <w:bCs/>
          <w:color w:val="000000"/>
          <w:sz w:val="24"/>
          <w:highlight w:val="none"/>
          <w:lang w:eastAsia="zh-CN"/>
        </w:rPr>
        <w:t>和交付</w:t>
      </w:r>
      <w:r>
        <w:rPr>
          <w:rFonts w:hint="eastAsia" w:ascii="宋体" w:hAnsi="宋体" w:eastAsia="宋体"/>
          <w:b/>
          <w:bCs/>
          <w:color w:val="000000"/>
          <w:sz w:val="24"/>
          <w:highlight w:val="none"/>
        </w:rPr>
        <w:t>要求</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.1 本合同</w:t>
      </w:r>
      <w:r>
        <w:rPr>
          <w:rFonts w:hint="eastAsia" w:ascii="宋体" w:hAnsi="宋体" w:eastAsia="宋体"/>
          <w:bCs/>
          <w:color w:val="000000"/>
          <w:szCs w:val="21"/>
          <w:highlight w:val="none"/>
        </w:rPr>
        <w:t>涉及商品包装</w:t>
      </w:r>
      <w:r>
        <w:rPr>
          <w:rFonts w:hint="eastAsia" w:ascii="宋体" w:hAnsi="宋体" w:eastAsia="宋体"/>
          <w:bCs/>
          <w:color w:val="000000"/>
          <w:szCs w:val="21"/>
          <w:highlight w:val="none"/>
          <w:lang w:eastAsia="zh-CN"/>
        </w:rPr>
        <w:t>、</w:t>
      </w:r>
      <w:r>
        <w:rPr>
          <w:rFonts w:hint="eastAsia" w:ascii="宋体" w:hAnsi="宋体" w:eastAsia="宋体"/>
          <w:bCs/>
          <w:color w:val="000000"/>
          <w:szCs w:val="21"/>
          <w:highlight w:val="none"/>
        </w:rPr>
        <w:t>快递包装的，</w:t>
      </w:r>
      <w:r>
        <w:rPr>
          <w:rFonts w:hint="eastAsia" w:ascii="宋体" w:hAnsi="宋体" w:eastAsia="宋体"/>
          <w:color w:val="000000"/>
          <w:szCs w:val="21"/>
          <w:highlight w:val="none"/>
        </w:rPr>
        <w:t>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包装应适应远距离运输、防潮、防震、防锈和防野蛮装卸等要求，确保货物安全无损地运抵</w:t>
      </w:r>
      <w:r>
        <w:rPr>
          <w:rFonts w:hint="eastAsia" w:ascii="宋体" w:hAnsi="宋体" w:eastAsia="宋体"/>
          <w:b/>
          <w:color w:val="000000"/>
          <w:szCs w:val="21"/>
          <w:highlight w:val="none"/>
        </w:rPr>
        <w:t>【政府采购合同专用条款】</w:t>
      </w:r>
      <w:r>
        <w:rPr>
          <w:rFonts w:hint="eastAsia" w:ascii="宋体" w:hAnsi="宋体" w:eastAsia="宋体"/>
          <w:b w:val="0"/>
          <w:bCs/>
          <w:color w:val="000000"/>
          <w:szCs w:val="21"/>
          <w:highlight w:val="none"/>
          <w:lang w:eastAsia="zh-CN"/>
        </w:rPr>
        <w:t>约定的</w:t>
      </w:r>
      <w:r>
        <w:rPr>
          <w:rFonts w:hint="eastAsia" w:ascii="宋体" w:hAnsi="宋体" w:eastAsia="宋体"/>
          <w:color w:val="000000"/>
          <w:szCs w:val="21"/>
          <w:highlight w:val="none"/>
        </w:rPr>
        <w:t>指定现场。</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.2 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乙方负责办理将货物运抵本合同规定的交货地点</w:t>
      </w:r>
      <w:r>
        <w:rPr>
          <w:rFonts w:hint="eastAsia" w:ascii="宋体" w:hAnsi="宋体" w:eastAsia="宋体"/>
          <w:color w:val="000000"/>
          <w:szCs w:val="21"/>
          <w:highlight w:val="none"/>
          <w:lang w:eastAsia="zh-CN"/>
        </w:rPr>
        <w:t>，并装卸、交付至甲方</w:t>
      </w:r>
      <w:r>
        <w:rPr>
          <w:rFonts w:hint="eastAsia" w:ascii="宋体" w:hAnsi="宋体" w:eastAsia="宋体"/>
          <w:color w:val="000000"/>
          <w:szCs w:val="21"/>
          <w:highlight w:val="none"/>
        </w:rPr>
        <w:t>的一切运输事项，相关费用应</w:t>
      </w:r>
      <w:r>
        <w:rPr>
          <w:rFonts w:hint="eastAsia" w:ascii="宋体" w:hAnsi="宋体" w:eastAsia="宋体"/>
          <w:color w:val="000000"/>
          <w:szCs w:val="21"/>
          <w:highlight w:val="none"/>
          <w:lang w:eastAsia="zh-CN"/>
        </w:rPr>
        <w:t>包含</w:t>
      </w:r>
      <w:r>
        <w:rPr>
          <w:rFonts w:hint="eastAsia" w:ascii="宋体" w:hAnsi="宋体" w:eastAsia="宋体"/>
          <w:color w:val="000000"/>
          <w:szCs w:val="21"/>
          <w:highlight w:val="none"/>
        </w:rPr>
        <w:t>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.3 货物保险要求按</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规定执行</w:t>
      </w:r>
      <w:r>
        <w:rPr>
          <w:rFonts w:hint="eastAsia"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 xml:space="preserve">.4 </w:t>
      </w:r>
      <w:r>
        <w:rPr>
          <w:rFonts w:hint="eastAsia" w:ascii="宋体" w:hAnsi="宋体" w:eastAsia="宋体"/>
          <w:color w:val="000000"/>
          <w:szCs w:val="21"/>
          <w:highlight w:val="none"/>
          <w:lang w:val="en-US" w:eastAsia="zh-CN"/>
        </w:rPr>
        <w:t>除采购活动</w:t>
      </w:r>
      <w:r>
        <w:rPr>
          <w:rFonts w:hint="eastAsia" w:ascii="宋体" w:hAnsi="宋体" w:eastAsia="宋体"/>
          <w:color w:val="000000"/>
          <w:szCs w:val="21"/>
          <w:highlight w:val="none"/>
        </w:rPr>
        <w:t>对商品包装</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w:t>
      </w:r>
      <w:r>
        <w:rPr>
          <w:rFonts w:hint="eastAsia" w:ascii="宋体" w:hAnsi="宋体" w:eastAsia="宋体"/>
          <w:color w:val="000000"/>
          <w:szCs w:val="21"/>
          <w:highlight w:val="none"/>
          <w:lang w:val="en-US" w:eastAsia="zh-CN"/>
        </w:rPr>
        <w:t>达成具体约定外</w:t>
      </w:r>
      <w:r>
        <w:rPr>
          <w:rFonts w:hint="eastAsia" w:ascii="宋体" w:hAnsi="宋体" w:eastAsia="宋体"/>
          <w:color w:val="000000"/>
          <w:szCs w:val="21"/>
          <w:highlight w:val="none"/>
        </w:rPr>
        <w:t>，乙方提供产品及相关快递服务</w:t>
      </w:r>
      <w:r>
        <w:rPr>
          <w:rFonts w:hint="eastAsia" w:ascii="宋体" w:hAnsi="宋体" w:eastAsia="宋体"/>
          <w:color w:val="000000"/>
          <w:szCs w:val="21"/>
          <w:highlight w:val="none"/>
          <w:lang w:val="en-US" w:eastAsia="zh-CN"/>
        </w:rPr>
        <w:t>涉及到</w:t>
      </w:r>
      <w:r>
        <w:rPr>
          <w:rFonts w:hint="eastAsia" w:ascii="宋体" w:hAnsi="宋体" w:eastAsia="宋体"/>
          <w:color w:val="000000"/>
          <w:szCs w:val="21"/>
          <w:highlight w:val="none"/>
        </w:rPr>
        <w:t>具体包装要求</w:t>
      </w:r>
      <w:r>
        <w:rPr>
          <w:rFonts w:hint="eastAsia" w:ascii="宋体" w:hAnsi="宋体" w:eastAsia="宋体"/>
          <w:color w:val="000000"/>
          <w:szCs w:val="21"/>
          <w:highlight w:val="none"/>
          <w:lang w:val="en-US" w:eastAsia="zh-CN"/>
        </w:rPr>
        <w:t>的，</w:t>
      </w:r>
      <w:r>
        <w:rPr>
          <w:rFonts w:hint="eastAsia" w:ascii="宋体" w:hAnsi="宋体" w:eastAsia="宋体"/>
          <w:color w:val="000000"/>
          <w:szCs w:val="21"/>
          <w:highlight w:val="none"/>
        </w:rPr>
        <w:t>应</w:t>
      </w:r>
      <w:r>
        <w:rPr>
          <w:rFonts w:hint="eastAsia" w:ascii="宋体" w:hAnsi="宋体" w:eastAsia="宋体"/>
          <w:color w:val="000000"/>
          <w:szCs w:val="21"/>
          <w:highlight w:val="none"/>
          <w:lang w:val="en-US" w:eastAsia="zh-CN"/>
        </w:rPr>
        <w:t>不低于</w:t>
      </w:r>
      <w:r>
        <w:rPr>
          <w:rFonts w:hint="eastAsia" w:ascii="宋体" w:hAnsi="宋体" w:eastAsia="宋体"/>
          <w:color w:val="000000"/>
          <w:szCs w:val="21"/>
          <w:highlight w:val="none"/>
        </w:rPr>
        <w:t>《商品包装政府采购需求标准（试行）</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快递包装政府采购需求标准（试行）》</w:t>
      </w:r>
      <w:r>
        <w:rPr>
          <w:rFonts w:hint="eastAsia" w:ascii="宋体" w:hAnsi="宋体" w:eastAsia="宋体"/>
          <w:color w:val="000000"/>
          <w:szCs w:val="21"/>
          <w:highlight w:val="none"/>
          <w:lang w:val="en-US" w:eastAsia="zh-CN"/>
        </w:rPr>
        <w:t>标准</w:t>
      </w:r>
      <w:r>
        <w:rPr>
          <w:rFonts w:hint="eastAsia" w:ascii="宋体" w:hAnsi="宋体" w:eastAsia="宋体"/>
          <w:color w:val="000000"/>
          <w:szCs w:val="21"/>
          <w:highlight w:val="none"/>
        </w:rPr>
        <w:t>，并作为履约验收的内容，必要时甲方可以要求乙方在履约验收环节出具检测报告。</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val="en-US" w:eastAsia="zh-CN"/>
        </w:rPr>
        <w:t xml:space="preserve">7.5 </w:t>
      </w:r>
      <w:r>
        <w:rPr>
          <w:rFonts w:hint="eastAsia" w:ascii="宋体" w:hAnsi="宋体" w:eastAsia="宋体" w:cs="宋体"/>
          <w:color w:val="000000"/>
          <w:szCs w:val="21"/>
        </w:rPr>
        <w:t>乙方在运输到达之前</w:t>
      </w:r>
      <w:r>
        <w:rPr>
          <w:rFonts w:hint="eastAsia" w:ascii="宋体" w:hAnsi="宋体" w:eastAsia="宋体" w:cs="宋体"/>
          <w:color w:val="000000"/>
          <w:szCs w:val="21"/>
          <w:lang w:eastAsia="zh-CN"/>
        </w:rPr>
        <w:t>应</w:t>
      </w:r>
      <w:r>
        <w:rPr>
          <w:rFonts w:hint="eastAsia" w:ascii="宋体" w:hAnsi="宋体" w:eastAsia="宋体" w:cs="宋体"/>
          <w:color w:val="000000"/>
          <w:szCs w:val="21"/>
        </w:rPr>
        <w:t>提前通知</w:t>
      </w:r>
      <w:r>
        <w:rPr>
          <w:rFonts w:hint="eastAsia" w:ascii="宋体" w:hAnsi="宋体" w:eastAsia="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eastAsia="宋体" w:cs="宋体"/>
          <w:color w:val="000000"/>
          <w:szCs w:val="21"/>
          <w:lang w:eastAsia="zh-CN"/>
        </w:rPr>
        <w:t>，甲方配合乙方做好货物的接收工作。</w:t>
      </w:r>
    </w:p>
    <w:p>
      <w:pPr>
        <w:autoSpaceDE w:val="0"/>
        <w:autoSpaceDN w:val="0"/>
        <w:adjustRightInd w:val="0"/>
        <w:spacing w:line="400" w:lineRule="exact"/>
        <w:ind w:firstLine="420" w:firstLineChars="200"/>
        <w:rPr>
          <w:rFonts w:hint="default" w:ascii="华文楷体" w:hAnsi="华文楷体" w:eastAsia="华文楷体" w:cs="华文楷体"/>
          <w:sz w:val="21"/>
          <w:szCs w:val="21"/>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pPr>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000000"/>
          <w:sz w:val="24"/>
          <w:highlight w:val="none"/>
          <w:lang w:eastAsia="zh-CN"/>
        </w:rPr>
        <w:t>8</w:t>
      </w:r>
      <w:r>
        <w:rPr>
          <w:rFonts w:hint="eastAsia" w:ascii="宋体" w:hAnsi="宋体" w:eastAsia="宋体"/>
          <w:b/>
          <w:color w:val="000000"/>
          <w:sz w:val="24"/>
          <w:highlight w:val="none"/>
          <w:lang w:val="en-US" w:eastAsia="zh-CN"/>
        </w:rPr>
        <w:t xml:space="preserve">. </w:t>
      </w:r>
      <w:r>
        <w:rPr>
          <w:rFonts w:hint="eastAsia" w:ascii="宋体" w:hAnsi="宋体" w:eastAsia="宋体"/>
          <w:b/>
          <w:color w:val="auto"/>
          <w:sz w:val="24"/>
          <w:highlight w:val="none"/>
        </w:rPr>
        <w:t>质量标准和保证</w:t>
      </w:r>
    </w:p>
    <w:p>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（1）本合同下</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w:t>
      </w:r>
      <w:r>
        <w:rPr>
          <w:rFonts w:hint="eastAsia" w:ascii="宋体" w:hAnsi="宋体" w:eastAsia="宋体"/>
          <w:color w:val="auto"/>
          <w:szCs w:val="21"/>
          <w:highlight w:val="none"/>
          <w:lang w:eastAsia="zh-CN"/>
        </w:rPr>
        <w:t>合同</w:t>
      </w:r>
      <w:r>
        <w:rPr>
          <w:rFonts w:hint="eastAsia" w:ascii="宋体" w:hAnsi="宋体" w:eastAsia="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eastAsia="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olor w:val="auto"/>
          <w:szCs w:val="21"/>
          <w:highlight w:val="none"/>
          <w:lang w:eastAsia="zh-CN"/>
        </w:rPr>
        <w:t>。</w:t>
      </w:r>
    </w:p>
    <w:p>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的货物应符合国家有关安全、环保、卫生</w:t>
      </w:r>
      <w:r>
        <w:rPr>
          <w:rFonts w:hint="eastAsia" w:ascii="宋体" w:hAnsi="宋体" w:eastAsia="宋体"/>
          <w:color w:val="auto"/>
          <w:szCs w:val="21"/>
          <w:highlight w:val="none"/>
          <w:lang w:eastAsia="zh-CN"/>
        </w:rPr>
        <w:t>的</w:t>
      </w:r>
      <w:r>
        <w:rPr>
          <w:rFonts w:hint="eastAsia" w:ascii="宋体" w:hAnsi="宋体" w:eastAsia="宋体"/>
          <w:color w:val="auto"/>
          <w:szCs w:val="21"/>
          <w:highlight w:val="none"/>
        </w:rPr>
        <w:t>规定。</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（4）乙方应向甲方提交所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货物的技术文件，包括相应的中文技术文件，如：产品目录、图纸、操作手册、使用说明、维护手册或服务指南</w:t>
      </w:r>
      <w:r>
        <w:rPr>
          <w:rFonts w:hint="eastAsia" w:ascii="宋体" w:hAnsi="宋体" w:eastAsia="宋体"/>
          <w:color w:val="auto"/>
          <w:szCs w:val="21"/>
          <w:highlight w:val="none"/>
          <w:lang w:eastAsia="zh-CN"/>
        </w:rPr>
        <w:t>等</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上述</w:t>
      </w:r>
      <w:r>
        <w:rPr>
          <w:rFonts w:hint="eastAsia" w:ascii="宋体" w:hAnsi="宋体" w:eastAsia="宋体"/>
          <w:color w:val="auto"/>
          <w:szCs w:val="21"/>
          <w:highlight w:val="none"/>
        </w:rPr>
        <w:t>文件应包装好随货物一同发运。</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8</w:t>
      </w:r>
      <w:r>
        <w:rPr>
          <w:rFonts w:hint="eastAsia" w:ascii="宋体" w:hAnsi="宋体" w:eastAsia="宋体"/>
          <w:color w:val="auto"/>
          <w:szCs w:val="21"/>
          <w:highlight w:val="none"/>
        </w:rPr>
        <w:t>.2 保证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（1）乙方应保证</w:t>
      </w:r>
      <w:r>
        <w:rPr>
          <w:rFonts w:hint="eastAsia" w:ascii="宋体" w:hAnsi="宋体" w:eastAsia="宋体"/>
          <w:color w:val="auto"/>
          <w:szCs w:val="21"/>
          <w:highlight w:val="none"/>
          <w:lang w:eastAsia="zh-CN"/>
        </w:rPr>
        <w:t>提供的货物</w:t>
      </w:r>
      <w:r>
        <w:rPr>
          <w:rFonts w:hint="eastAsia" w:ascii="宋体" w:hAnsi="宋体" w:eastAsia="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eastAsia="宋体" w:cs="宋体"/>
          <w:szCs w:val="21"/>
          <w:lang w:eastAsia="zh-CN"/>
        </w:rPr>
        <w:t>备合同约定</w:t>
      </w:r>
      <w:r>
        <w:rPr>
          <w:rFonts w:hint="eastAsia" w:ascii="宋体" w:hAnsi="宋体" w:eastAsia="宋体" w:cs="宋体"/>
          <w:szCs w:val="21"/>
        </w:rPr>
        <w:t>的性能</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存在</w:t>
      </w:r>
      <w:r>
        <w:rPr>
          <w:rFonts w:hint="eastAsia" w:ascii="宋体" w:hAnsi="宋体" w:eastAsia="宋体"/>
          <w:color w:val="auto"/>
          <w:szCs w:val="21"/>
          <w:highlight w:val="none"/>
        </w:rPr>
        <w:t>质量保证期的，货物最终交付验收</w:t>
      </w:r>
      <w:r>
        <w:rPr>
          <w:rFonts w:hint="eastAsia" w:ascii="宋体" w:hAnsi="宋体" w:eastAsia="宋体"/>
          <w:color w:val="auto"/>
          <w:szCs w:val="21"/>
          <w:highlight w:val="none"/>
          <w:lang w:eastAsia="zh-CN"/>
        </w:rPr>
        <w:t>合格</w:t>
      </w:r>
      <w:r>
        <w:rPr>
          <w:rFonts w:hint="eastAsia" w:ascii="宋体" w:hAnsi="宋体" w:eastAsia="宋体"/>
          <w:color w:val="auto"/>
          <w:szCs w:val="21"/>
          <w:highlight w:val="none"/>
        </w:rPr>
        <w:t>后</w:t>
      </w:r>
      <w:r>
        <w:rPr>
          <w:rFonts w:hint="eastAsia" w:ascii="宋体" w:hAnsi="宋体" w:eastAsia="宋体"/>
          <w:color w:val="auto"/>
          <w:szCs w:val="21"/>
          <w:highlight w:val="none"/>
          <w:lang w:eastAsia="zh-CN"/>
        </w:rPr>
        <w:t>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规定或乙方</w:t>
      </w:r>
      <w:r>
        <w:rPr>
          <w:rFonts w:hint="eastAsia" w:ascii="宋体" w:hAnsi="宋体" w:eastAsia="宋体"/>
          <w:color w:val="auto"/>
          <w:szCs w:val="21"/>
          <w:highlight w:val="none"/>
          <w:lang w:eastAsia="zh-CN"/>
        </w:rPr>
        <w:t>书面</w:t>
      </w:r>
      <w:r>
        <w:rPr>
          <w:rFonts w:hint="eastAsia" w:ascii="宋体" w:hAnsi="宋体" w:eastAsia="宋体"/>
          <w:color w:val="auto"/>
          <w:szCs w:val="21"/>
          <w:highlight w:val="none"/>
        </w:rPr>
        <w:t>承诺（两者以较长的为准）的质量保证期内，本保证保持有效。</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（2）在质量保证期内所发现的缺陷，甲方应尽快以书面形式通知乙方。</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（3）乙方收到通知后</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应在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规定的响应时间内以合理的速度免费维修或更换有缺陷的货物或部件。</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highlight w:val="none"/>
          <w:lang w:val="en-US" w:eastAsia="zh-CN"/>
        </w:rPr>
        <w:t>5</w:t>
      </w:r>
      <w:r>
        <w:rPr>
          <w:rFonts w:hint="eastAsia" w:ascii="宋体" w:hAnsi="宋体" w:eastAsia="宋体"/>
          <w:color w:val="auto"/>
          <w:szCs w:val="21"/>
          <w:highlight w:val="none"/>
        </w:rPr>
        <w:t>.1条规定以书面形式</w:t>
      </w:r>
      <w:r>
        <w:rPr>
          <w:rFonts w:hint="eastAsia" w:ascii="宋体" w:hAnsi="宋体" w:eastAsia="宋体"/>
          <w:color w:val="000000"/>
          <w:szCs w:val="21"/>
          <w:highlight w:val="none"/>
          <w:lang w:eastAsia="zh-CN"/>
        </w:rPr>
        <w:t>追究</w:t>
      </w:r>
      <w:r>
        <w:rPr>
          <w:rFonts w:hint="eastAsia" w:ascii="宋体" w:hAnsi="宋体" w:eastAsia="宋体"/>
          <w:color w:val="auto"/>
          <w:szCs w:val="21"/>
          <w:highlight w:val="none"/>
        </w:rPr>
        <w:t>乙方</w:t>
      </w:r>
      <w:r>
        <w:rPr>
          <w:rFonts w:hint="eastAsia" w:ascii="宋体" w:hAnsi="宋体" w:eastAsia="宋体"/>
          <w:color w:val="000000"/>
          <w:szCs w:val="21"/>
          <w:highlight w:val="none"/>
          <w:lang w:eastAsia="zh-CN"/>
        </w:rPr>
        <w:t>的违约责任</w:t>
      </w:r>
      <w:r>
        <w:rPr>
          <w:rFonts w:hint="eastAsia" w:ascii="宋体" w:hAnsi="宋体" w:eastAsia="宋体"/>
          <w:color w:val="auto"/>
          <w:szCs w:val="21"/>
          <w:highlight w:val="none"/>
        </w:rPr>
        <w:t>。</w:t>
      </w:r>
    </w:p>
    <w:p>
      <w:pPr>
        <w:adjustRightInd w:val="0"/>
        <w:snapToGrid w:val="0"/>
        <w:spacing w:before="0" w:line="400" w:lineRule="exact"/>
        <w:ind w:firstLine="420" w:firstLineChars="200"/>
        <w:jc w:val="left"/>
        <w:rPr>
          <w:rFonts w:eastAsia="宋体"/>
          <w:color w:val="auto"/>
          <w:highlight w:val="none"/>
        </w:rPr>
      </w:pPr>
      <w:r>
        <w:rPr>
          <w:rFonts w:hint="eastAsia" w:ascii="宋体" w:hAnsi="宋体" w:eastAsia="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对乙方行使的其他权利不受影响。</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000000"/>
          <w:sz w:val="24"/>
          <w:highlight w:val="none"/>
          <w:lang w:eastAsia="zh-CN"/>
        </w:rPr>
        <w:t>9</w:t>
      </w:r>
      <w:r>
        <w:rPr>
          <w:rFonts w:hint="eastAsia" w:ascii="宋体" w:hAnsi="宋体" w:eastAsia="宋体"/>
          <w:b/>
          <w:bCs/>
          <w:color w:val="auto"/>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auto"/>
          <w:sz w:val="24"/>
          <w:highlight w:val="none"/>
        </w:rPr>
        <w:t>权利瑕疵担保</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.1 乙方保证对其出售的货物享有合法的权利。</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 xml:space="preserve">.2 </w:t>
      </w:r>
      <w:r>
        <w:rPr>
          <w:rFonts w:hint="eastAsia" w:ascii="宋体" w:hAnsi="宋体" w:eastAsia="宋体" w:cs="宋体"/>
          <w:szCs w:val="15"/>
        </w:rPr>
        <w:t>乙方保证在交付的货物上不存在抵押权等担保物权。</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.3 如甲方使用</w:t>
      </w:r>
      <w:r>
        <w:rPr>
          <w:rFonts w:hint="eastAsia" w:ascii="宋体" w:hAnsi="宋体" w:eastAsia="宋体"/>
          <w:color w:val="000000"/>
          <w:szCs w:val="21"/>
          <w:highlight w:val="none"/>
          <w:lang w:val="en-US" w:eastAsia="zh-CN"/>
        </w:rPr>
        <w:t>上述</w:t>
      </w:r>
      <w:r>
        <w:rPr>
          <w:rFonts w:hint="eastAsia" w:ascii="宋体" w:hAnsi="宋体" w:eastAsia="宋体"/>
          <w:color w:val="000000"/>
          <w:szCs w:val="21"/>
          <w:highlight w:val="none"/>
        </w:rPr>
        <w:t>货物构成</w:t>
      </w:r>
      <w:r>
        <w:rPr>
          <w:rFonts w:hint="eastAsia" w:ascii="宋体" w:hAnsi="宋体" w:eastAsia="宋体"/>
          <w:color w:val="000000"/>
          <w:szCs w:val="21"/>
          <w:highlight w:val="none"/>
          <w:lang w:val="en-US" w:eastAsia="zh-CN"/>
        </w:rPr>
        <w:t>对第三人</w:t>
      </w:r>
      <w:r>
        <w:rPr>
          <w:rFonts w:hint="eastAsia" w:ascii="宋体" w:hAnsi="宋体" w:eastAsia="宋体"/>
          <w:color w:val="000000"/>
          <w:szCs w:val="21"/>
          <w:highlight w:val="none"/>
        </w:rPr>
        <w:t>侵权的，则由乙方承担全部责任。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rPr>
        <w:t>1</w:t>
      </w:r>
      <w:r>
        <w:rPr>
          <w:rFonts w:hint="eastAsia" w:ascii="宋体" w:hAnsi="宋体" w:eastAsia="宋体"/>
          <w:b/>
          <w:bCs/>
          <w:color w:val="000000"/>
          <w:sz w:val="24"/>
          <w:highlight w:val="none"/>
          <w:lang w:eastAsia="zh-CN"/>
        </w:rPr>
        <w:t>0</w:t>
      </w:r>
      <w:r>
        <w:rPr>
          <w:rFonts w:hint="eastAsia" w:ascii="宋体" w:hAnsi="宋体" w:eastAsia="宋体"/>
          <w:b/>
          <w:bCs/>
          <w:color w:val="000000"/>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知识产权保护</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000000"/>
          <w:szCs w:val="21"/>
          <w:highlight w:val="none"/>
        </w:rPr>
        <w:t>1</w:t>
      </w:r>
      <w:r>
        <w:rPr>
          <w:rFonts w:hint="eastAsia" w:ascii="宋体" w:hAnsi="宋体" w:eastAsia="宋体"/>
          <w:color w:val="000000"/>
          <w:szCs w:val="21"/>
          <w:highlight w:val="none"/>
          <w:lang w:eastAsia="zh-CN"/>
        </w:rPr>
        <w:t>0</w:t>
      </w:r>
      <w:r>
        <w:rPr>
          <w:rFonts w:hint="eastAsia" w:ascii="宋体" w:hAnsi="宋体" w:eastAsia="宋体"/>
          <w:color w:val="000000"/>
          <w:szCs w:val="21"/>
          <w:highlight w:val="none"/>
        </w:rPr>
        <w:t>.1 乙方对其所销售的货物应当享有知识产权或经权利人合法授权，保证没有侵犯任</w:t>
      </w:r>
      <w:r>
        <w:rPr>
          <w:rFonts w:hint="eastAsia" w:ascii="宋体" w:hAnsi="宋体" w:eastAsia="宋体"/>
          <w:color w:val="auto"/>
          <w:szCs w:val="21"/>
          <w:highlight w:val="none"/>
        </w:rPr>
        <w:t>何第三人的知识产权等权利。</w:t>
      </w:r>
      <w:bookmarkStart w:id="86"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86"/>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保密义务</w:t>
      </w:r>
    </w:p>
    <w:p>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eastAsia="宋体" w:cs="宋体"/>
          <w:szCs w:val="15"/>
          <w:lang w:val="en-US" w:eastAsia="zh-CN"/>
        </w:rPr>
        <w:t xml:space="preserve">11.1 </w:t>
      </w:r>
      <w:r>
        <w:rPr>
          <w:rFonts w:hint="eastAsia" w:ascii="宋体" w:hAnsi="宋体" w:eastAsia="宋体" w:cs="宋体"/>
          <w:szCs w:val="15"/>
        </w:rPr>
        <w:t>甲、乙双方</w:t>
      </w:r>
      <w:r>
        <w:rPr>
          <w:rFonts w:hint="eastAsia" w:ascii="宋体" w:hAnsi="宋体" w:eastAsia="宋体" w:cs="宋体"/>
          <w:szCs w:val="15"/>
          <w:lang w:eastAsia="zh-CN"/>
        </w:rPr>
        <w:t>对</w:t>
      </w:r>
      <w:r>
        <w:rPr>
          <w:rFonts w:hint="eastAsia" w:ascii="宋体" w:hAnsi="宋体" w:eastAsia="宋体" w:cs="宋体"/>
          <w:szCs w:val="15"/>
        </w:rPr>
        <w:t>采购和合同履行过程中所获悉的</w:t>
      </w:r>
      <w:r>
        <w:rPr>
          <w:rFonts w:hint="eastAsia" w:ascii="宋体" w:hAnsi="宋体" w:eastAsia="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eastAsia="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eastAsia="宋体" w:cs="宋体"/>
          <w:szCs w:val="15"/>
          <w:lang w:eastAsia="zh-CN"/>
        </w:rPr>
        <w:t>国家秘密、工作秘密、</w:t>
      </w:r>
      <w:r>
        <w:rPr>
          <w:rFonts w:hint="eastAsia" w:ascii="宋体" w:hAnsi="宋体" w:eastAsia="宋体" w:cs="宋体"/>
          <w:szCs w:val="15"/>
        </w:rPr>
        <w:t>商业秘密或者</w:t>
      </w:r>
      <w:r>
        <w:rPr>
          <w:rFonts w:hint="eastAsia" w:ascii="宋体" w:hAnsi="宋体" w:eastAsia="宋体" w:cs="宋体"/>
          <w:szCs w:val="15"/>
          <w:lang w:eastAsia="zh-CN"/>
        </w:rPr>
        <w:t>其他应当保密的</w:t>
      </w:r>
      <w:r>
        <w:rPr>
          <w:rFonts w:hint="eastAsia" w:ascii="宋体" w:hAnsi="宋体" w:eastAsia="宋体" w:cs="宋体"/>
          <w:szCs w:val="15"/>
        </w:rPr>
        <w:t>信息，应当承担</w:t>
      </w:r>
      <w:r>
        <w:rPr>
          <w:rFonts w:hint="eastAsia" w:ascii="宋体" w:hAnsi="宋体" w:eastAsia="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2</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合同价款支付</w:t>
      </w:r>
    </w:p>
    <w:p>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 xml:space="preserve">.1 </w:t>
      </w:r>
      <w:r>
        <w:rPr>
          <w:rFonts w:hint="eastAsia" w:ascii="宋体" w:hAnsi="宋体" w:eastAsia="宋体"/>
          <w:color w:val="auto"/>
          <w:szCs w:val="21"/>
          <w:highlight w:val="none"/>
          <w:lang w:eastAsia="zh-CN"/>
        </w:rPr>
        <w:t>合同价款支付</w:t>
      </w:r>
      <w:r>
        <w:rPr>
          <w:rFonts w:hint="eastAsia" w:ascii="宋体" w:hAnsi="宋体" w:eastAsia="宋体"/>
          <w:color w:val="auto"/>
          <w:szCs w:val="21"/>
          <w:highlight w:val="none"/>
        </w:rPr>
        <w:t>按照国库集中支付</w:t>
      </w:r>
      <w:r>
        <w:rPr>
          <w:rFonts w:hint="eastAsia" w:ascii="宋体" w:hAnsi="宋体" w:eastAsia="宋体"/>
          <w:color w:val="auto"/>
          <w:szCs w:val="21"/>
          <w:highlight w:val="none"/>
          <w:lang w:eastAsia="zh-CN"/>
        </w:rPr>
        <w:t>制度及财政管理相关</w:t>
      </w:r>
      <w:r>
        <w:rPr>
          <w:rFonts w:hint="eastAsia" w:ascii="宋体" w:hAnsi="宋体" w:eastAsia="宋体"/>
          <w:color w:val="auto"/>
          <w:szCs w:val="21"/>
          <w:highlight w:val="none"/>
        </w:rPr>
        <w:t>规定执行。</w:t>
      </w:r>
    </w:p>
    <w:p>
      <w:pPr>
        <w:keepNext/>
        <w:keepLines/>
        <w:widowControl w:val="0"/>
        <w:spacing w:line="400" w:lineRule="exact"/>
        <w:ind w:firstLine="420" w:firstLineChars="200"/>
        <w:jc w:val="both"/>
        <w:outlineLvl w:val="9"/>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pPr>
        <w:widowControl w:val="0"/>
        <w:spacing w:after="0" w:line="400" w:lineRule="exact"/>
        <w:jc w:val="both"/>
        <w:outlineLvl w:val="9"/>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.2 如果乙方</w:t>
      </w:r>
      <w:r>
        <w:rPr>
          <w:rFonts w:hint="eastAsia" w:ascii="宋体" w:hAnsi="宋体" w:eastAsia="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w:t>
      </w:r>
      <w:r>
        <w:rPr>
          <w:rFonts w:hint="eastAsia" w:ascii="宋体" w:hAnsi="宋体" w:eastAsia="宋体" w:cs="宋体"/>
          <w:b w:val="0"/>
          <w:bCs w:val="0"/>
          <w:szCs w:val="15"/>
          <w:lang w:eastAsia="zh-CN"/>
        </w:rPr>
        <w:t>情形的</w:t>
      </w:r>
      <w:r>
        <w:rPr>
          <w:rFonts w:hint="eastAsia" w:ascii="宋体" w:hAnsi="宋体" w:eastAsia="宋体"/>
          <w:color w:val="auto"/>
          <w:szCs w:val="21"/>
          <w:highlight w:val="none"/>
        </w:rPr>
        <w:t>，履约保证金不予退还；如果乙方未能按合同约定全面履行义务，甲方有权从履约保证金中取得补偿或赔偿，</w:t>
      </w:r>
      <w:r>
        <w:rPr>
          <w:rFonts w:hint="eastAsia" w:ascii="宋体" w:hAnsi="宋体" w:eastAsia="宋体"/>
          <w:color w:val="auto"/>
          <w:szCs w:val="21"/>
          <w:highlight w:val="none"/>
          <w:lang w:eastAsia="zh-CN"/>
        </w:rPr>
        <w:t>且</w:t>
      </w:r>
      <w:r>
        <w:rPr>
          <w:rFonts w:hint="eastAsia" w:ascii="宋体" w:hAnsi="宋体" w:eastAsia="宋体"/>
          <w:color w:val="auto"/>
          <w:szCs w:val="21"/>
          <w:highlight w:val="none"/>
        </w:rPr>
        <w:t>不影响甲方要求乙方承担合同约定的超过履约保证金的违约责任的权利。</w:t>
      </w:r>
    </w:p>
    <w:p>
      <w:pPr>
        <w:spacing w:line="400" w:lineRule="exact"/>
        <w:ind w:firstLine="420"/>
        <w:rPr>
          <w:rFonts w:eastAsia="宋体"/>
          <w:color w:val="auto"/>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.3 甲方在项目通过验收后按照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规定的时间内将履约保证金退还乙方；逾期退还的，乙方可要求甲方支付违约金，违约金按照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规定支付。</w:t>
      </w:r>
    </w:p>
    <w:p>
      <w:p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4</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eastAsia="宋体"/>
          <w:b/>
          <w:color w:val="auto"/>
          <w:sz w:val="24"/>
          <w:highlight w:val="none"/>
        </w:rPr>
        <w:t>售后</w:t>
      </w:r>
      <w:r>
        <w:rPr>
          <w:rFonts w:hint="eastAsia" w:ascii="宋体" w:hAnsi="宋体" w:eastAsia="宋体"/>
          <w:b/>
          <w:color w:val="auto"/>
          <w:sz w:val="24"/>
          <w:highlight w:val="none"/>
        </w:rPr>
        <w:t>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4</w:t>
      </w:r>
      <w:r>
        <w:rPr>
          <w:rFonts w:hint="eastAsia" w:ascii="宋体" w:hAnsi="宋体" w:eastAsia="宋体"/>
          <w:color w:val="auto"/>
          <w:szCs w:val="21"/>
          <w:highlight w:val="none"/>
        </w:rPr>
        <w:t>.1 除项目不涉及或采购活动中明确约定无须承担外，乙方还应提供下列服务：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（1）货物的现场移动、安装、调试、启动监督及技术支持；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（2）提供货物组装和维修所需的专用工具和辅助材料；</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的期限内对所有的货物实施运行监督、维修，但前提条件是该服务并不能免除乙方在质量保证期内所承担的义务；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（4）在制造商</w:t>
      </w:r>
      <w:r>
        <w:rPr>
          <w:rFonts w:hint="eastAsia" w:ascii="宋体" w:hAnsi="宋体" w:eastAsia="宋体"/>
          <w:color w:val="auto"/>
          <w:szCs w:val="21"/>
          <w:highlight w:val="none"/>
          <w:lang w:eastAsia="zh-CN"/>
        </w:rPr>
        <w:t>所在地</w:t>
      </w:r>
      <w:r>
        <w:rPr>
          <w:rFonts w:hint="eastAsia" w:ascii="宋体" w:hAnsi="宋体" w:eastAsia="宋体"/>
          <w:color w:val="auto"/>
          <w:szCs w:val="21"/>
          <w:highlight w:val="none"/>
        </w:rPr>
        <w:t>或</w:t>
      </w:r>
      <w:r>
        <w:rPr>
          <w:rFonts w:hint="eastAsia" w:ascii="宋体" w:hAnsi="宋体" w:eastAsia="宋体"/>
          <w:color w:val="auto"/>
          <w:szCs w:val="21"/>
          <w:highlight w:val="none"/>
          <w:lang w:eastAsia="zh-CN"/>
        </w:rPr>
        <w:t>指定</w:t>
      </w:r>
      <w:r>
        <w:rPr>
          <w:rFonts w:hint="eastAsia" w:ascii="宋体" w:hAnsi="宋体" w:eastAsia="宋体"/>
          <w:color w:val="auto"/>
          <w:szCs w:val="21"/>
          <w:highlight w:val="none"/>
        </w:rPr>
        <w:t>现场就货物的安装、启动、运营、维护</w:t>
      </w:r>
      <w:r>
        <w:rPr>
          <w:rFonts w:hint="eastAsia" w:ascii="宋体" w:hAnsi="宋体" w:eastAsia="宋体"/>
          <w:color w:val="auto"/>
          <w:szCs w:val="21"/>
          <w:highlight w:val="none"/>
          <w:lang w:eastAsia="zh-CN"/>
        </w:rPr>
        <w:t>、废弃处置等</w:t>
      </w:r>
      <w:r>
        <w:rPr>
          <w:rFonts w:hint="eastAsia" w:ascii="宋体" w:hAnsi="宋体" w:eastAsia="宋体"/>
          <w:color w:val="auto"/>
          <w:szCs w:val="21"/>
          <w:highlight w:val="none"/>
        </w:rPr>
        <w:t>对甲方操作人员进行培训</w:t>
      </w:r>
      <w:r>
        <w:rPr>
          <w:rFonts w:hint="eastAsia" w:ascii="宋体" w:hAnsi="宋体" w:eastAsia="宋体" w:cs="宋体"/>
          <w:szCs w:val="15"/>
          <w:lang w:eastAsia="zh-CN"/>
        </w:rPr>
        <w:t>；</w:t>
      </w:r>
    </w:p>
    <w:p>
      <w:pPr>
        <w:autoSpaceDE w:val="0"/>
        <w:autoSpaceDN w:val="0"/>
        <w:adjustRightInd w:val="0"/>
        <w:spacing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（5）依照法律、行政法规的规定或者按照</w:t>
      </w:r>
      <w:r>
        <w:rPr>
          <w:rFonts w:hint="eastAsia" w:ascii="宋体" w:hAnsi="宋体" w:eastAsia="宋体" w:cs="宋体"/>
          <w:b/>
          <w:bCs/>
          <w:sz w:val="21"/>
          <w:szCs w:val="21"/>
          <w:lang w:val="en-US" w:eastAsia="zh-CN" w:bidi="ar-SA"/>
        </w:rPr>
        <w:t>【政府采购合同专用条款】</w:t>
      </w:r>
      <w:r>
        <w:rPr>
          <w:rFonts w:hint="eastAsia" w:ascii="宋体" w:hAnsi="宋体" w:eastAsia="宋体" w:cs="宋体"/>
          <w:sz w:val="21"/>
          <w:szCs w:val="21"/>
          <w:lang w:val="en-US" w:eastAsia="zh-CN" w:bidi="ar-SA"/>
        </w:rPr>
        <w:t>约定，货物在有效使用年限届满后应予回收的，乙方负有自行或者委托第三人对货物予以回收的义务；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规定由乙方提供的其他服务。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.2 乙方提供的</w:t>
      </w:r>
      <w:r>
        <w:rPr>
          <w:rFonts w:hint="eastAsia" w:ascii="宋体" w:hAnsi="宋体" w:eastAsia="宋体"/>
          <w:color w:val="auto"/>
          <w:szCs w:val="21"/>
          <w:highlight w:val="none"/>
          <w:lang w:eastAsia="zh-CN"/>
        </w:rPr>
        <w:t>售后</w:t>
      </w:r>
      <w:r>
        <w:rPr>
          <w:rFonts w:hint="eastAsia" w:ascii="宋体" w:hAnsi="宋体" w:eastAsia="宋体"/>
          <w:color w:val="auto"/>
          <w:szCs w:val="21"/>
          <w:highlight w:val="none"/>
        </w:rPr>
        <w:t>服务的费用</w:t>
      </w:r>
      <w:r>
        <w:rPr>
          <w:rFonts w:hint="eastAsia" w:ascii="宋体" w:hAnsi="宋体" w:eastAsia="宋体"/>
          <w:color w:val="auto"/>
          <w:szCs w:val="21"/>
          <w:highlight w:val="none"/>
          <w:lang w:val="en-US" w:eastAsia="zh-CN"/>
        </w:rPr>
        <w:t>已</w:t>
      </w:r>
      <w:r>
        <w:rPr>
          <w:rFonts w:hint="eastAsia" w:ascii="宋体" w:hAnsi="宋体" w:eastAsia="宋体"/>
          <w:color w:val="auto"/>
          <w:szCs w:val="21"/>
          <w:highlight w:val="none"/>
        </w:rPr>
        <w:t>包含在合同价款中，甲方不再另行支付。</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5</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违约责任</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.1质量瑕疵的</w:t>
      </w:r>
      <w:r>
        <w:rPr>
          <w:rFonts w:hint="eastAsia" w:ascii="宋体" w:hAnsi="宋体" w:eastAsia="宋体"/>
          <w:bCs/>
          <w:color w:val="auto"/>
          <w:szCs w:val="21"/>
          <w:highlight w:val="none"/>
          <w:lang w:eastAsia="zh-CN"/>
        </w:rPr>
        <w:t>违约责任</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乙方</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的产品不符合</w:t>
      </w:r>
      <w:r>
        <w:rPr>
          <w:rFonts w:hint="eastAsia" w:ascii="宋体" w:hAnsi="宋体" w:eastAsia="宋体"/>
          <w:color w:val="auto"/>
          <w:szCs w:val="21"/>
          <w:highlight w:val="none"/>
          <w:lang w:eastAsia="zh-CN"/>
        </w:rPr>
        <w:t>合同约定的</w:t>
      </w:r>
      <w:r>
        <w:rPr>
          <w:rFonts w:hint="eastAsia" w:ascii="宋体" w:hAnsi="宋体" w:eastAsia="宋体"/>
          <w:color w:val="auto"/>
          <w:szCs w:val="21"/>
          <w:highlight w:val="none"/>
        </w:rPr>
        <w:t>质量标准或存在产品质量缺陷，</w:t>
      </w:r>
      <w:r>
        <w:rPr>
          <w:rFonts w:hint="eastAsia" w:ascii="宋体" w:hAnsi="宋体" w:eastAsia="宋体"/>
          <w:color w:val="auto"/>
          <w:szCs w:val="21"/>
          <w:highlight w:val="none"/>
          <w:lang w:eastAsia="zh-CN"/>
        </w:rPr>
        <w:t>甲方有权要求乙方根据</w:t>
      </w:r>
      <w:r>
        <w:rPr>
          <w:rFonts w:hint="eastAsia" w:ascii="宋体" w:hAnsi="宋体" w:eastAsia="宋体"/>
          <w:b/>
          <w:color w:val="auto"/>
          <w:szCs w:val="21"/>
          <w:highlight w:val="none"/>
        </w:rPr>
        <w:t>【政府采购合同专用条款】</w:t>
      </w:r>
      <w:r>
        <w:rPr>
          <w:rFonts w:hint="eastAsia" w:ascii="宋体" w:hAnsi="宋体" w:eastAsia="宋体"/>
          <w:b w:val="0"/>
          <w:bCs/>
          <w:color w:val="auto"/>
          <w:szCs w:val="21"/>
          <w:highlight w:val="none"/>
          <w:lang w:eastAsia="zh-CN"/>
        </w:rPr>
        <w:t>要求</w:t>
      </w:r>
      <w:r>
        <w:rPr>
          <w:rFonts w:hint="eastAsia" w:ascii="宋体" w:hAnsi="宋体" w:eastAsia="宋体"/>
          <w:color w:val="auto"/>
          <w:szCs w:val="21"/>
          <w:highlight w:val="none"/>
          <w:lang w:eastAsia="zh-CN"/>
        </w:rPr>
        <w:t>及时修理、重作、更换，并承担由此给甲</w:t>
      </w:r>
      <w:r>
        <w:rPr>
          <w:rFonts w:hint="eastAsia" w:ascii="宋体" w:hAnsi="宋体" w:eastAsia="宋体"/>
          <w:color w:val="auto"/>
          <w:szCs w:val="21"/>
          <w:highlight w:val="none"/>
        </w:rPr>
        <w:t>方</w:t>
      </w:r>
      <w:r>
        <w:rPr>
          <w:rFonts w:hint="eastAsia" w:ascii="宋体" w:hAnsi="宋体" w:eastAsia="宋体"/>
          <w:color w:val="auto"/>
          <w:szCs w:val="21"/>
          <w:highlight w:val="none"/>
          <w:lang w:eastAsia="zh-CN"/>
        </w:rPr>
        <w:t>造成的损失</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.2 迟延交货的违约责任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（1）乙方应按照本合同规定的时间、地点交货和提供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服务。在履行合同过程中，如果乙方遇到可能</w:t>
      </w:r>
      <w:r>
        <w:rPr>
          <w:rFonts w:hint="eastAsia" w:ascii="宋体" w:hAnsi="宋体" w:eastAsia="宋体"/>
          <w:color w:val="auto"/>
          <w:szCs w:val="21"/>
          <w:highlight w:val="none"/>
          <w:lang w:eastAsia="zh-CN"/>
        </w:rPr>
        <w:t>影响</w:t>
      </w:r>
      <w:r>
        <w:rPr>
          <w:rFonts w:hint="eastAsia" w:ascii="宋体" w:hAnsi="宋体" w:eastAsia="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olor w:val="auto"/>
          <w:szCs w:val="21"/>
          <w:highlight w:val="none"/>
          <w:lang w:eastAsia="zh-CN"/>
        </w:rPr>
        <w:t>长</w:t>
      </w:r>
      <w:r>
        <w:rPr>
          <w:rFonts w:hint="eastAsia" w:ascii="宋体" w:hAnsi="宋体" w:eastAsia="宋体"/>
          <w:color w:val="auto"/>
          <w:szCs w:val="21"/>
          <w:highlight w:val="none"/>
        </w:rPr>
        <w:t>交货时间或延期提供服务。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（2）如果乙方没有按照合同规定的时间交货和提供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服务，甲方有权从货款中扣除误期赔偿费而不影响合同项下的其他补救方法，赔偿费按</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规定执行。如果涉及公共利益，且赔偿金额无法弥补公共利益损失，</w:t>
      </w:r>
      <w:r>
        <w:rPr>
          <w:rFonts w:hint="eastAsia" w:ascii="宋体" w:hAnsi="宋体" w:eastAsia="宋体"/>
          <w:color w:val="auto"/>
          <w:szCs w:val="21"/>
          <w:highlight w:val="none"/>
          <w:lang w:eastAsia="zh-CN"/>
        </w:rPr>
        <w:t>甲方</w:t>
      </w:r>
      <w:r>
        <w:rPr>
          <w:rFonts w:hint="eastAsia" w:ascii="宋体" w:hAnsi="宋体" w:eastAsia="宋体"/>
          <w:color w:val="auto"/>
          <w:szCs w:val="21"/>
          <w:highlight w:val="none"/>
        </w:rPr>
        <w:t>可要求继续履行或者</w:t>
      </w:r>
      <w:r>
        <w:rPr>
          <w:rFonts w:hint="eastAsia" w:ascii="宋体" w:hAnsi="宋体" w:eastAsia="宋体"/>
          <w:color w:val="auto"/>
          <w:szCs w:val="21"/>
          <w:highlight w:val="none"/>
          <w:lang w:eastAsia="zh-CN"/>
        </w:rPr>
        <w:t>采取其他补救措施</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5</w:t>
      </w:r>
      <w:r>
        <w:rPr>
          <w:rFonts w:hint="eastAsia" w:ascii="宋体" w:hAnsi="宋体" w:eastAsia="宋体"/>
          <w:color w:val="auto"/>
          <w:szCs w:val="21"/>
          <w:highlight w:val="none"/>
        </w:rPr>
        <w:t>.3 迟延支付的违约责任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甲方存在迟延支付乙方合同款项的，应当承担</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规定的逾期付款利息。</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.4其他违约责任根据项目实际需要按</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规定执行。</w:t>
      </w:r>
    </w:p>
    <w:p>
      <w:pPr>
        <w:numPr>
          <w:ilvl w:val="0"/>
          <w:numId w:val="15"/>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rPr>
        <w:t>合同变更</w:t>
      </w:r>
      <w:r>
        <w:rPr>
          <w:rFonts w:hint="eastAsia" w:ascii="宋体" w:hAnsi="宋体" w:eastAsia="宋体"/>
          <w:b/>
          <w:color w:val="auto"/>
          <w:sz w:val="24"/>
          <w:highlight w:val="none"/>
          <w:lang w:eastAsia="zh-CN"/>
        </w:rPr>
        <w:t>、中止与终止</w:t>
      </w:r>
    </w:p>
    <w:p>
      <w:pPr>
        <w:autoSpaceDE/>
        <w:autoSpaceDN/>
        <w:adjustRightInd w:val="0"/>
        <w:snapToGrid w:val="0"/>
        <w:spacing w:before="0" w:line="400" w:lineRule="exact"/>
        <w:ind w:firstLine="0" w:firstLineChars="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.1合同的</w:t>
      </w:r>
      <w:r>
        <w:rPr>
          <w:rFonts w:hint="eastAsia" w:ascii="宋体" w:hAnsi="宋体" w:eastAsia="宋体"/>
          <w:color w:val="auto"/>
          <w:szCs w:val="21"/>
          <w:highlight w:val="none"/>
          <w:lang w:eastAsia="zh-CN"/>
        </w:rPr>
        <w:t>变更</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政府采购合同履行中，</w:t>
      </w:r>
      <w:r>
        <w:rPr>
          <w:rFonts w:hint="eastAsia" w:ascii="宋体" w:hAnsi="宋体" w:eastAsia="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olor w:val="auto"/>
          <w:szCs w:val="21"/>
          <w:highlight w:val="none"/>
          <w:lang w:eastAsia="zh-CN"/>
        </w:rPr>
        <w:t>一致后</w:t>
      </w:r>
      <w:r>
        <w:rPr>
          <w:rFonts w:hint="eastAsia" w:ascii="宋体" w:hAnsi="宋体" w:eastAsia="宋体"/>
          <w:color w:val="auto"/>
          <w:szCs w:val="21"/>
          <w:highlight w:val="none"/>
        </w:rPr>
        <w:t>签订补充协议。</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合同的中止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（1）合同履行过程中因供应商就采购文件、采购过程或结果提起投诉的，甲方认为有必要的，</w:t>
      </w:r>
      <w:r>
        <w:rPr>
          <w:rFonts w:hint="eastAsia" w:ascii="宋体" w:hAnsi="宋体" w:eastAsia="宋体"/>
          <w:color w:val="auto"/>
          <w:szCs w:val="21"/>
          <w:highlight w:val="none"/>
          <w:lang w:eastAsia="zh-CN"/>
        </w:rPr>
        <w:t>可以</w:t>
      </w:r>
      <w:r>
        <w:rPr>
          <w:rFonts w:hint="eastAsia" w:ascii="宋体" w:hAnsi="宋体" w:eastAsia="宋体"/>
          <w:color w:val="auto"/>
          <w:szCs w:val="21"/>
          <w:highlight w:val="none"/>
        </w:rPr>
        <w:t>中止合同的履行。</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合同履行过程中，</w:t>
      </w:r>
      <w:r>
        <w:rPr>
          <w:rFonts w:hint="eastAsia" w:ascii="宋体" w:hAnsi="宋体" w:eastAsia="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olor w:val="auto"/>
          <w:szCs w:val="21"/>
          <w:highlight w:val="none"/>
          <w:lang w:eastAsia="zh-CN"/>
        </w:rPr>
        <w:t>，乙方有义务及时告知甲方</w:t>
      </w:r>
      <w:r>
        <w:rPr>
          <w:rFonts w:hint="eastAsia" w:ascii="宋体" w:hAnsi="宋体" w:eastAsia="宋体"/>
          <w:color w:val="auto"/>
          <w:szCs w:val="21"/>
          <w:highlight w:val="none"/>
        </w:rPr>
        <w:t>。甲方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以书面形式通知乙方中止合同</w:t>
      </w:r>
      <w:r>
        <w:rPr>
          <w:rFonts w:hint="eastAsia" w:ascii="宋体" w:hAnsi="宋体" w:eastAsia="宋体"/>
          <w:color w:val="auto"/>
          <w:szCs w:val="21"/>
          <w:highlight w:val="none"/>
          <w:lang w:eastAsia="zh-CN"/>
        </w:rPr>
        <w:t>并要求乙方在合理期限内消除相关情形或者提供适当担保。</w:t>
      </w:r>
      <w:r>
        <w:rPr>
          <w:rFonts w:hint="eastAsia" w:ascii="宋体" w:hAnsi="宋体" w:eastAsia="宋体"/>
          <w:color w:val="auto"/>
          <w:szCs w:val="21"/>
          <w:highlight w:val="none"/>
        </w:rPr>
        <w:t>乙方提供适当担保的，</w:t>
      </w:r>
      <w:r>
        <w:rPr>
          <w:rFonts w:hint="eastAsia" w:ascii="宋体" w:hAnsi="宋体" w:eastAsia="宋体"/>
          <w:color w:val="auto"/>
          <w:szCs w:val="21"/>
          <w:highlight w:val="none"/>
          <w:lang w:eastAsia="zh-CN"/>
        </w:rPr>
        <w:t>合同继续</w:t>
      </w:r>
      <w:r>
        <w:rPr>
          <w:rFonts w:hint="eastAsia" w:ascii="宋体" w:hAnsi="宋体" w:eastAsia="宋体"/>
          <w:color w:val="auto"/>
          <w:szCs w:val="21"/>
          <w:highlight w:val="none"/>
        </w:rPr>
        <w:t>履行</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方在合理期限内未恢复履约能力且未提供适当担保的，视为拒绝</w:t>
      </w:r>
      <w:r>
        <w:rPr>
          <w:rFonts w:hint="eastAsia" w:ascii="宋体" w:hAnsi="宋体" w:eastAsia="宋体"/>
          <w:color w:val="auto"/>
          <w:szCs w:val="21"/>
          <w:highlight w:val="none"/>
          <w:lang w:eastAsia="zh-CN"/>
        </w:rPr>
        <w:t>继续</w:t>
      </w:r>
      <w:r>
        <w:rPr>
          <w:rFonts w:hint="eastAsia" w:ascii="宋体" w:hAnsi="宋体" w:eastAsia="宋体"/>
          <w:color w:val="auto"/>
          <w:szCs w:val="21"/>
          <w:highlight w:val="none"/>
        </w:rPr>
        <w:t>履约，甲方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解除合同并要求乙方承担</w:t>
      </w:r>
      <w:r>
        <w:rPr>
          <w:rFonts w:hint="eastAsia" w:ascii="宋体" w:hAnsi="宋体" w:eastAsia="宋体"/>
          <w:color w:val="auto"/>
          <w:szCs w:val="21"/>
          <w:highlight w:val="none"/>
          <w:lang w:eastAsia="zh-CN"/>
        </w:rPr>
        <w:t>由此给甲方造成的损失</w:t>
      </w:r>
      <w:r>
        <w:rPr>
          <w:rFonts w:hint="eastAsia" w:ascii="宋体" w:hAnsi="宋体" w:eastAsia="宋体"/>
          <w:color w:val="auto"/>
          <w:szCs w:val="21"/>
          <w:highlight w:val="none"/>
        </w:rPr>
        <w:t>。</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rFonts w:eastAsia="宋体"/>
          <w:sz w:val="21"/>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）甲方不得以行政区划调整、政府换届、机构或者职能调整以及相关责任人更替为由中止合同。</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合同的终止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（1）合同因有效期限届满而终止；</w:t>
      </w:r>
    </w:p>
    <w:p>
      <w:pPr>
        <w:snapToGrid w:val="0"/>
        <w:spacing w:line="400" w:lineRule="exact"/>
        <w:ind w:firstLine="420" w:firstLineChars="200"/>
        <w:rPr>
          <w:rFonts w:hint="eastAsia" w:ascii="宋体" w:hAnsi="宋体" w:eastAsia="宋体" w:cs="宋体"/>
          <w:szCs w:val="21"/>
          <w:lang w:eastAsia="zh-CN"/>
        </w:rPr>
      </w:pPr>
      <w:r>
        <w:rPr>
          <w:rFonts w:hint="eastAsia" w:ascii="宋体" w:hAnsi="宋体" w:eastAsia="宋体"/>
          <w:color w:val="auto"/>
          <w:szCs w:val="21"/>
          <w:highlight w:val="none"/>
        </w:rPr>
        <w:t>（2）乙方未</w:t>
      </w:r>
      <w:r>
        <w:rPr>
          <w:rFonts w:hint="eastAsia" w:ascii="宋体" w:hAnsi="宋体" w:eastAsia="宋体"/>
          <w:color w:val="auto"/>
          <w:szCs w:val="21"/>
          <w:highlight w:val="none"/>
          <w:lang w:eastAsia="zh-CN"/>
        </w:rPr>
        <w:t>按</w:t>
      </w:r>
      <w:r>
        <w:rPr>
          <w:rFonts w:hint="eastAsia" w:ascii="宋体" w:hAnsi="宋体" w:eastAsia="宋体"/>
          <w:color w:val="auto"/>
          <w:szCs w:val="21"/>
          <w:highlight w:val="none"/>
        </w:rPr>
        <w:t>合同约定履行，构成根本性违约的，甲方有权终止合同</w:t>
      </w:r>
      <w:r>
        <w:rPr>
          <w:rFonts w:hint="eastAsia" w:ascii="宋体" w:hAnsi="宋体" w:eastAsia="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eastAsia="宋体" w:cs="宋体"/>
          <w:szCs w:val="21"/>
          <w:lang w:val="en-US" w:eastAsia="zh-CN"/>
        </w:rPr>
        <w:t>任</w:t>
      </w:r>
      <w:r>
        <w:rPr>
          <w:rFonts w:hint="eastAsia" w:ascii="宋体" w:hAnsi="宋体" w:eastAsia="宋体"/>
          <w:color w:val="auto"/>
          <w:szCs w:val="21"/>
          <w:highlight w:val="none"/>
        </w:rPr>
        <w:t>。</w:t>
      </w:r>
    </w:p>
    <w:p>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政府采购合同继续履行将损害国家利益和社会公共利益的，双方当事人</w:t>
      </w:r>
      <w:r>
        <w:rPr>
          <w:rFonts w:hint="eastAsia" w:ascii="宋体" w:hAnsi="宋体" w:eastAsia="宋体" w:cs="宋体"/>
          <w:sz w:val="21"/>
          <w:szCs w:val="21"/>
          <w:highlight w:val="none"/>
          <w:lang w:val="en-US" w:eastAsia="zh-CN" w:bidi="ar-SA"/>
        </w:rPr>
        <w:t>应当变更、</w:t>
      </w:r>
      <w:r>
        <w:rPr>
          <w:rFonts w:hint="eastAsia" w:ascii="宋体" w:hAnsi="宋体" w:eastAsia="宋体" w:cs="宋体"/>
          <w:sz w:val="21"/>
          <w:szCs w:val="21"/>
          <w:lang w:val="en-US" w:eastAsia="zh-CN" w:bidi="ar-SA"/>
        </w:rPr>
        <w:t>中止或者终止合同。有过错的一方应当承担赔偿责任，双方都有过错的，各自承担相应的责任。</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val="en-US" w:eastAsia="zh-CN"/>
        </w:rPr>
        <w:t>7</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.1 乙方不得</w:t>
      </w:r>
      <w:r>
        <w:rPr>
          <w:rFonts w:hint="eastAsia" w:ascii="宋体" w:hAnsi="宋体" w:eastAsia="宋体"/>
          <w:color w:val="auto"/>
          <w:szCs w:val="21"/>
          <w:highlight w:val="none"/>
          <w:lang w:eastAsia="zh-CN"/>
        </w:rPr>
        <w:t>将合同转包给其他供应商。涉及合同分包的，乙方</w:t>
      </w:r>
      <w:r>
        <w:rPr>
          <w:rFonts w:hint="eastAsia" w:ascii="宋体" w:hAnsi="宋体" w:eastAsia="宋体"/>
          <w:color w:val="auto"/>
          <w:szCs w:val="21"/>
          <w:highlight w:val="none"/>
          <w:lang w:val="en-US" w:eastAsia="zh-CN"/>
        </w:rPr>
        <w:t>应</w:t>
      </w:r>
      <w:r>
        <w:rPr>
          <w:rFonts w:hint="eastAsia" w:ascii="宋体" w:hAnsi="宋体" w:eastAsia="宋体"/>
          <w:color w:val="auto"/>
          <w:szCs w:val="21"/>
          <w:highlight w:val="none"/>
          <w:lang w:eastAsia="zh-CN"/>
        </w:rPr>
        <w:t>根据采购文件和投标（响应）文件规定进行</w:t>
      </w:r>
      <w:r>
        <w:rPr>
          <w:rFonts w:hint="eastAsia" w:ascii="宋体" w:hAnsi="宋体" w:eastAsia="宋体"/>
          <w:color w:val="auto"/>
          <w:szCs w:val="21"/>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.2 乙方执行政府采购政策向中小企业依法分包的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乙方应当按采购文件</w:t>
      </w:r>
      <w:r>
        <w:rPr>
          <w:rFonts w:hint="eastAsia" w:ascii="宋体" w:hAnsi="宋体" w:eastAsia="宋体"/>
          <w:color w:val="auto"/>
          <w:szCs w:val="21"/>
          <w:highlight w:val="none"/>
          <w:lang w:eastAsia="zh-CN"/>
        </w:rPr>
        <w:t>和</w:t>
      </w:r>
      <w:r>
        <w:rPr>
          <w:rFonts w:hint="eastAsia" w:ascii="宋体" w:hAnsi="宋体" w:eastAsia="宋体"/>
          <w:color w:val="auto"/>
          <w:szCs w:val="21"/>
          <w:highlight w:val="none"/>
        </w:rPr>
        <w:t>投标（响应）文件签订分包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协议属于本合同组成部分。</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lang w:val="en-US" w:eastAsia="zh-CN"/>
        </w:rPr>
        <w:t>8</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不可抗力</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.1 不可抗力是指合同双方不能预见、不能避免且不能克服的客观情况。</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.2 任何一方对由于不可抗力造成的部分或全部不能履行合同不承担违约责任。但迟延履行后发生不可抗力的，不能免除责任。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.3 遇有不可抗力的一方，应及时将事件情况以书面形式</w:t>
      </w:r>
      <w:r>
        <w:rPr>
          <w:rFonts w:hint="eastAsia" w:ascii="宋体" w:hAnsi="宋体" w:eastAsia="宋体"/>
          <w:color w:val="auto"/>
          <w:szCs w:val="21"/>
          <w:highlight w:val="none"/>
          <w:lang w:eastAsia="zh-CN"/>
        </w:rPr>
        <w:t>告</w:t>
      </w:r>
      <w:r>
        <w:rPr>
          <w:rFonts w:hint="eastAsia" w:ascii="宋体" w:hAnsi="宋体" w:eastAsia="宋体"/>
          <w:color w:val="auto"/>
          <w:szCs w:val="21"/>
          <w:highlight w:val="none"/>
        </w:rPr>
        <w:t>知另一方，并在事件发生后及时向另一方提交合同不能履行或部分不能履行或需要延期履行</w:t>
      </w:r>
      <w:r>
        <w:rPr>
          <w:rFonts w:hint="eastAsia" w:ascii="宋体" w:hAnsi="宋体" w:eastAsia="宋体"/>
          <w:color w:val="auto"/>
          <w:szCs w:val="21"/>
          <w:highlight w:val="none"/>
          <w:lang w:eastAsia="zh-CN"/>
        </w:rPr>
        <w:t>的详细</w:t>
      </w:r>
      <w:r>
        <w:rPr>
          <w:rFonts w:hint="eastAsia" w:ascii="宋体" w:hAnsi="宋体" w:eastAsia="宋体"/>
          <w:color w:val="auto"/>
          <w:szCs w:val="21"/>
          <w:highlight w:val="none"/>
        </w:rPr>
        <w:t>报告</w:t>
      </w:r>
      <w:r>
        <w:rPr>
          <w:rFonts w:hint="eastAsia" w:ascii="宋体" w:hAnsi="宋体" w:eastAsia="宋体"/>
          <w:color w:val="auto"/>
          <w:szCs w:val="21"/>
          <w:highlight w:val="none"/>
          <w:lang w:eastAsia="zh-CN"/>
        </w:rPr>
        <w:t>，以</w:t>
      </w:r>
      <w:r>
        <w:rPr>
          <w:rFonts w:hint="eastAsia" w:ascii="宋体" w:hAnsi="宋体" w:eastAsia="宋体"/>
          <w:color w:val="auto"/>
          <w:szCs w:val="21"/>
          <w:highlight w:val="none"/>
          <w:lang w:val="en-US" w:eastAsia="zh-CN"/>
        </w:rPr>
        <w:t>及证明不可抗力发生及其持续时间的证据</w:t>
      </w:r>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19</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解决争议的方法</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19.2 选择仲裁的，应在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中进一步约定选择与争议有实际联系的地点的人民法院管辖，但管辖法院的约定不得违反级别管辖和专属管辖的规定。</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19.3 如甲乙双方有争议的事项不影响合同其他部分的履行，在争议解决期间，合同其他部分应当继续履行。</w:t>
      </w:r>
    </w:p>
    <w:p>
      <w:pPr>
        <w:autoSpaceDE w:val="0"/>
        <w:autoSpaceDN w:val="0"/>
        <w:adjustRightInd w:val="0"/>
        <w:snapToGrid w:val="0"/>
        <w:spacing w:before="0" w:line="400" w:lineRule="exact"/>
        <w:jc w:val="left"/>
        <w:rPr>
          <w:rFonts w:ascii="宋体" w:hAnsi="宋体" w:eastAsia="宋体"/>
          <w:color w:val="auto"/>
          <w:sz w:val="24"/>
          <w:highlight w:val="none"/>
        </w:rPr>
      </w:pPr>
      <w:r>
        <w:rPr>
          <w:rFonts w:hint="eastAsia" w:ascii="宋体" w:hAnsi="宋体" w:eastAsia="宋体"/>
          <w:b/>
          <w:color w:val="auto"/>
          <w:sz w:val="24"/>
          <w:highlight w:val="none"/>
          <w:lang w:val="en-US" w:eastAsia="zh-CN"/>
        </w:rPr>
        <w:t>20</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政府采购政策</w:t>
      </w:r>
    </w:p>
    <w:p>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lang w:val="en-US" w:eastAsia="zh-CN"/>
        </w:rPr>
        <w:t>0</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eastAsia="宋体"/>
          <w:color w:val="auto"/>
          <w:szCs w:val="21"/>
          <w:highlight w:val="none"/>
        </w:rPr>
        <w:t>，有过错的一方应当承担赔偿责任，双方都有过错的，各自承担相应的责任。</w:t>
      </w:r>
    </w:p>
    <w:p>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before="0" w:line="400" w:lineRule="exact"/>
        <w:jc w:val="left"/>
        <w:rPr>
          <w:rFonts w:hint="eastAsia"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法律适用</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21.1 本合同的订立、生效、解释、履行及与本合同有关的争议解决，均适用法律、行政法规。</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21.2 本合同条款与法律、行政法规的强制性规定不一致的，双方当事人应按照法律、行政法规的强制性规定修改本合同的相关条款。</w:t>
      </w:r>
    </w:p>
    <w:p>
      <w:pPr>
        <w:numPr>
          <w:ilvl w:val="-1"/>
          <w:numId w:val="0"/>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lang w:val="en-US" w:eastAsia="zh-CN"/>
        </w:rPr>
        <w:t xml:space="preserve">22. </w:t>
      </w:r>
      <w:r>
        <w:rPr>
          <w:rFonts w:hint="eastAsia" w:ascii="宋体" w:hAnsi="宋体" w:eastAsia="宋体"/>
          <w:b/>
          <w:color w:val="auto"/>
          <w:sz w:val="24"/>
          <w:highlight w:val="none"/>
        </w:rPr>
        <w:t>通知</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22.1 本合同任何一方向对方发出的通知、信件、数据电文等，应当发送至本合同第一部分《政府采购合同协议书》所约定的通讯地址、联系人、联系电话或电子邮箱。</w:t>
      </w:r>
    </w:p>
    <w:p>
      <w:pPr>
        <w:autoSpaceDE w:val="0"/>
        <w:autoSpaceDN w:val="0"/>
        <w:adjustRightInd w:val="0"/>
        <w:spacing w:line="400" w:lineRule="exact"/>
        <w:ind w:firstLine="0" w:firstLineChars="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本合同一方给另一方的通知均应采用书面形式，传真或快递送到本合同中规定的对方的地址和办理签收手续。</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通知以送达之日或通知书中规定的生效之日起生效，两者中以较迟之日为准。</w:t>
      </w:r>
    </w:p>
    <w:p>
      <w:pPr>
        <w:numPr>
          <w:ilvl w:val="0"/>
          <w:numId w:val="16"/>
        </w:num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合同未尽事项</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2</w:t>
      </w:r>
      <w:r>
        <w:rPr>
          <w:rFonts w:hint="eastAsia" w:ascii="宋体" w:hAnsi="宋体" w:eastAsia="宋体"/>
          <w:bCs/>
          <w:color w:val="auto"/>
          <w:szCs w:val="21"/>
          <w:highlight w:val="none"/>
          <w:lang w:val="en-US" w:eastAsia="zh-CN"/>
        </w:rPr>
        <w:t>3</w:t>
      </w:r>
      <w:r>
        <w:rPr>
          <w:rFonts w:hint="eastAsia" w:ascii="宋体" w:hAnsi="宋体" w:eastAsia="宋体"/>
          <w:bCs/>
          <w:color w:val="auto"/>
          <w:szCs w:val="21"/>
          <w:highlight w:val="none"/>
        </w:rPr>
        <w:t>.1合同未尽事项见</w:t>
      </w:r>
      <w:r>
        <w:rPr>
          <w:rFonts w:hint="eastAsia" w:ascii="宋体" w:hAnsi="宋体" w:eastAsia="宋体"/>
          <w:b/>
          <w:color w:val="auto"/>
          <w:szCs w:val="21"/>
          <w:highlight w:val="none"/>
        </w:rPr>
        <w:t>【政府采购合同专用条款】</w:t>
      </w:r>
      <w:r>
        <w:rPr>
          <w:rFonts w:hint="eastAsia" w:ascii="宋体" w:hAnsi="宋体" w:eastAsia="宋体"/>
          <w:bCs/>
          <w:color w:val="auto"/>
          <w:szCs w:val="21"/>
          <w:highlight w:val="none"/>
        </w:rPr>
        <w:t>。</w:t>
      </w:r>
    </w:p>
    <w:p>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eastAsia="宋体"/>
          <w:bCs/>
          <w:color w:val="auto"/>
          <w:szCs w:val="21"/>
          <w:highlight w:val="none"/>
          <w:lang w:val="en-US" w:eastAsia="zh-CN"/>
        </w:rPr>
        <w:t xml:space="preserve">    23.2 合同附件与合同正文具有同等的法律效力。</w:t>
      </w:r>
      <w:bookmarkStart w:id="87" w:name="_Toc20313"/>
    </w:p>
    <w:p>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pPr>
        <w:keepNext/>
        <w:keepLines/>
        <w:widowControl w:val="0"/>
        <w:adjustRightInd w:val="0"/>
        <w:snapToGrid w:val="0"/>
        <w:spacing w:line="360" w:lineRule="auto"/>
        <w:jc w:val="center"/>
        <w:outlineLvl w:val="1"/>
        <w:rPr>
          <w:rFonts w:ascii="黑体" w:hAnsi="华文中宋" w:eastAsia="黑体" w:cs="Times New Roman"/>
          <w:b w:val="0"/>
          <w:bCs w:val="0"/>
          <w:kern w:val="2"/>
          <w:sz w:val="28"/>
          <w:szCs w:val="28"/>
          <w:lang w:val="en-US" w:eastAsia="zh-CN" w:bidi="ar-SA"/>
        </w:rPr>
      </w:pPr>
      <w:r>
        <w:rPr>
          <w:rFonts w:hint="eastAsia" w:ascii="黑体" w:hAnsi="华文中宋" w:eastAsia="黑体" w:cs="Times New Roman"/>
          <w:b w:val="0"/>
          <w:bCs w:val="0"/>
          <w:kern w:val="2"/>
          <w:sz w:val="28"/>
          <w:szCs w:val="28"/>
          <w:lang w:val="en-US" w:eastAsia="zh-CN" w:bidi="ar-SA"/>
        </w:rPr>
        <w:t>第三节 政府采购合同专用条款</w:t>
      </w:r>
      <w:bookmarkEnd w:id="87"/>
    </w:p>
    <w:tbl>
      <w:tblPr>
        <w:tblStyle w:val="45"/>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第1.2（</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lang w:eastAsia="zh-CN"/>
              </w:rPr>
              <w:t>联合体具体要求</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eastAsia="宋体"/>
                <w:szCs w:val="21"/>
              </w:rPr>
              <w:t>第1.2（</w:t>
            </w:r>
            <w:r>
              <w:rPr>
                <w:rFonts w:hint="eastAsia" w:ascii="宋体" w:hAnsi="宋体" w:eastAsia="宋体"/>
                <w:szCs w:val="21"/>
                <w:lang w:val="en-US" w:eastAsia="zh-CN"/>
              </w:rPr>
              <w:t>7</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eastAsia="宋体"/>
                <w:szCs w:val="21"/>
              </w:rPr>
              <w:t>其他术语解释</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4.4款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履约验收中甲方提出异议或作出说明的期限</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lang w:eastAsia="zh-CN"/>
              </w:rPr>
              <w:t>第</w:t>
            </w:r>
            <w:r>
              <w:rPr>
                <w:rFonts w:hint="eastAsia" w:ascii="宋体" w:hAnsi="宋体" w:eastAsia="宋体"/>
                <w:szCs w:val="21"/>
                <w:lang w:val="en-US" w:eastAsia="zh-CN"/>
              </w:rPr>
              <w:t>4.6款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约定甲方承担的其他义务和责任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default" w:eastAsia="宋体"/>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5.4款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约定乙方承担的其他义务和责任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eastAsia" w:ascii="宋体" w:hAnsi="宋体" w:eastAsia="宋体"/>
                <w:szCs w:val="21"/>
                <w:lang w:eastAsia="zh-CN"/>
              </w:rPr>
            </w:pPr>
            <w:r>
              <w:rPr>
                <w:rFonts w:hint="eastAsia" w:ascii="宋体" w:hAnsi="宋体" w:eastAsia="宋体"/>
                <w:szCs w:val="21"/>
                <w:lang w:eastAsia="zh-CN"/>
              </w:rPr>
              <w:t>第</w:t>
            </w:r>
            <w:r>
              <w:rPr>
                <w:rFonts w:hint="eastAsia" w:ascii="宋体" w:hAnsi="宋体" w:eastAsia="宋体"/>
                <w:szCs w:val="21"/>
                <w:lang w:val="en-US" w:eastAsia="zh-CN"/>
              </w:rPr>
              <w:t>6.1款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履行合同义务的顺序</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.1</w:t>
            </w:r>
            <w:r>
              <w:rPr>
                <w:rFonts w:hint="eastAsia" w:ascii="宋体" w:hAnsi="宋体" w:eastAsia="宋体"/>
                <w:szCs w:val="21"/>
                <w:lang w:val="en-US"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包装</w:t>
            </w:r>
            <w:r>
              <w:rPr>
                <w:rFonts w:hint="eastAsia" w:ascii="宋体" w:hAnsi="宋体" w:eastAsia="宋体"/>
                <w:szCs w:val="21"/>
                <w:lang w:eastAsia="zh-CN"/>
              </w:rPr>
              <w:t>特殊要求</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eastAsia" w:ascii="宋体" w:hAnsi="宋体" w:eastAsia="宋体"/>
                <w:szCs w:val="21"/>
              </w:rPr>
            </w:pP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指定现场</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.2</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运输特殊要求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.3</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保险要求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.2（1）项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质量保证期</w:t>
            </w:r>
          </w:p>
        </w:tc>
        <w:tc>
          <w:tcPr>
            <w:tcW w:w="5170" w:type="dxa"/>
            <w:vAlign w:val="center"/>
          </w:tcPr>
          <w:p>
            <w:pPr>
              <w:autoSpaceDE w:val="0"/>
              <w:autoSpaceDN w:val="0"/>
              <w:adjustRightInd w:val="0"/>
              <w:snapToGrid w:val="0"/>
              <w:ind w:firstLine="420" w:firstLineChars="20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.2（3）项</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货物质量缺陷</w:t>
            </w:r>
          </w:p>
          <w:p>
            <w:pPr>
              <w:adjustRightInd w:val="0"/>
              <w:snapToGrid w:val="0"/>
              <w:jc w:val="left"/>
              <w:rPr>
                <w:rFonts w:ascii="宋体" w:hAnsi="宋体" w:eastAsia="宋体"/>
                <w:szCs w:val="21"/>
              </w:rPr>
            </w:pPr>
            <w:r>
              <w:rPr>
                <w:rFonts w:hint="eastAsia" w:ascii="宋体" w:hAnsi="宋体" w:eastAsia="宋体"/>
                <w:szCs w:val="21"/>
              </w:rPr>
              <w:t>响应时间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第二节</w:t>
            </w:r>
          </w:p>
          <w:p>
            <w:pPr>
              <w:autoSpaceDE w:val="0"/>
              <w:autoSpaceDN w:val="0"/>
              <w:adjustRightInd w:val="0"/>
              <w:spacing w:line="400" w:lineRule="exact"/>
              <w:ind w:firstLine="0" w:firstLineChars="0"/>
              <w:jc w:val="center"/>
              <w:rPr>
                <w:rFonts w:hint="default" w:ascii="华文楷体" w:hAnsi="华文楷体" w:eastAsia="华文楷体" w:cs="华文楷体"/>
                <w:sz w:val="22"/>
                <w:szCs w:val="21"/>
                <w:lang w:val="en-US" w:eastAsia="zh-CN" w:bidi="ar-SA"/>
              </w:rPr>
            </w:pPr>
            <w:r>
              <w:rPr>
                <w:rFonts w:hint="eastAsia" w:ascii="宋体" w:hAnsi="宋体" w:eastAsia="宋体" w:cs="宋体"/>
                <w:sz w:val="22"/>
                <w:szCs w:val="21"/>
                <w:lang w:val="en-US" w:eastAsia="zh-CN" w:bidi="ar-SA"/>
              </w:rPr>
              <w:t>第11.1款</w:t>
            </w:r>
          </w:p>
        </w:tc>
        <w:tc>
          <w:tcPr>
            <w:tcW w:w="1742" w:type="dxa"/>
            <w:vAlign w:val="center"/>
          </w:tcPr>
          <w:p>
            <w:pPr>
              <w:adjustRightInd w:val="0"/>
              <w:snapToGrid w:val="0"/>
              <w:jc w:val="both"/>
              <w:rPr>
                <w:rFonts w:hint="default" w:ascii="宋体" w:hAnsi="宋体" w:eastAsia="宋体"/>
                <w:szCs w:val="21"/>
                <w:lang w:val="en-US" w:eastAsia="zh-CN"/>
              </w:rPr>
            </w:pPr>
            <w:r>
              <w:rPr>
                <w:rFonts w:hint="eastAsia" w:ascii="宋体" w:hAnsi="宋体" w:eastAsia="宋体"/>
                <w:szCs w:val="21"/>
                <w:lang w:val="en-US" w:eastAsia="zh-CN"/>
              </w:rPr>
              <w:t>其他应当保密的信息</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2</w:t>
            </w:r>
            <w:r>
              <w:rPr>
                <w:rFonts w:hint="eastAsia" w:ascii="宋体" w:hAnsi="宋体" w:eastAsia="宋体"/>
                <w:szCs w:val="21"/>
              </w:rPr>
              <w:t>.2款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rPr>
              <w:t>合同价款支付</w:t>
            </w:r>
            <w:r>
              <w:rPr>
                <w:rFonts w:hint="eastAsia" w:ascii="宋体" w:hAnsi="宋体" w:eastAsia="宋体"/>
                <w:szCs w:val="21"/>
                <w:lang w:eastAsia="zh-CN"/>
              </w:rPr>
              <w:t>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13.2</w:t>
            </w:r>
            <w:r>
              <w:rPr>
                <w:rFonts w:hint="eastAsia" w:ascii="宋体" w:hAnsi="宋体" w:eastAsia="宋体"/>
                <w:szCs w:val="21"/>
              </w:rPr>
              <w:t>款</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履约保证金不予退还的情形</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13.3</w:t>
            </w:r>
            <w:r>
              <w:rPr>
                <w:rFonts w:hint="eastAsia" w:ascii="宋体" w:hAnsi="宋体" w:eastAsia="宋体"/>
                <w:szCs w:val="21"/>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履约保证金退还时间及</w:t>
            </w:r>
            <w:r>
              <w:rPr>
                <w:rFonts w:hint="eastAsia" w:ascii="宋体" w:hAnsi="宋体" w:eastAsia="宋体"/>
                <w:szCs w:val="21"/>
                <w:lang w:eastAsia="zh-CN"/>
              </w:rPr>
              <w:t>逾期退还的</w:t>
            </w:r>
            <w:r>
              <w:rPr>
                <w:rFonts w:hint="eastAsia" w:ascii="宋体" w:hAnsi="宋体" w:eastAsia="宋体"/>
                <w:szCs w:val="21"/>
              </w:rPr>
              <w:t>违约金</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3</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szCs w:val="21"/>
                <w:lang w:val="en-US" w:eastAsia="zh-CN"/>
              </w:rPr>
            </w:pPr>
            <w:r>
              <w:rPr>
                <w:rFonts w:hint="eastAsia" w:ascii="宋体" w:hAnsi="宋体" w:eastAsia="宋体"/>
                <w:szCs w:val="21"/>
                <w:lang w:val="en-US" w:eastAsia="zh-CN"/>
              </w:rPr>
              <w:t>运行监督、维修期限</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5</w:t>
            </w:r>
            <w:r>
              <w:rPr>
                <w:rFonts w:hint="eastAsia" w:ascii="宋体" w:hAnsi="宋体" w:eastAsia="宋体"/>
                <w:szCs w:val="21"/>
              </w:rPr>
              <w:t>）项</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货物回收的约定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乙方提供的其他服务</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color w:val="auto"/>
                <w:szCs w:val="21"/>
                <w:highlight w:val="none"/>
                <w:lang w:eastAsia="zh-CN"/>
              </w:rPr>
              <w:t>修理、重作、更换相关具体规定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.2（2）项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迟延交货赔偿费</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3款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.4</w:t>
            </w:r>
            <w:r>
              <w:rPr>
                <w:rFonts w:hint="eastAsia" w:ascii="宋体" w:hAnsi="宋体" w:eastAsia="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19</w:t>
            </w:r>
            <w:r>
              <w:rPr>
                <w:rFonts w:hint="eastAsia" w:ascii="宋体" w:hAnsi="宋体" w:eastAsia="宋体"/>
                <w:szCs w:val="21"/>
              </w:rPr>
              <w:t>.2</w:t>
            </w:r>
            <w:r>
              <w:rPr>
                <w:rFonts w:hint="eastAsia" w:ascii="宋体" w:hAnsi="宋体" w:eastAsia="宋体"/>
                <w:szCs w:val="21"/>
                <w:lang w:val="en-US" w:eastAsia="zh-CN"/>
              </w:rPr>
              <w:t>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lang w:val="en-US" w:eastAsia="zh-CN"/>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pPr>
              <w:adjustRightInd w:val="0"/>
              <w:snapToGrid w:val="0"/>
              <w:ind w:firstLine="0" w:firstLineChars="0"/>
              <w:jc w:val="left"/>
              <w:rPr>
                <w:rFonts w:ascii="宋体" w:hAnsi="宋体" w:eastAsia="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第2</w:t>
            </w:r>
            <w:r>
              <w:rPr>
                <w:rFonts w:hint="eastAsia" w:ascii="宋体" w:hAnsi="宋体" w:eastAsia="宋体"/>
                <w:szCs w:val="21"/>
                <w:lang w:val="en-US" w:eastAsia="zh-CN"/>
              </w:rPr>
              <w:t>3.1</w:t>
            </w:r>
            <w:r>
              <w:rPr>
                <w:rFonts w:hint="eastAsia" w:ascii="宋体" w:hAnsi="宋体" w:eastAsia="宋体"/>
                <w:szCs w:val="21"/>
                <w:lang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bCs/>
                <w:color w:val="auto"/>
                <w:szCs w:val="21"/>
                <w:highlight w:val="none"/>
                <w:lang w:eastAsia="zh-CN"/>
              </w:rPr>
              <w:t>其他专用条款</w:t>
            </w:r>
          </w:p>
        </w:tc>
        <w:tc>
          <w:tcPr>
            <w:tcW w:w="5170" w:type="dxa"/>
            <w:vAlign w:val="center"/>
          </w:tcPr>
          <w:p>
            <w:pPr>
              <w:adjustRightInd w:val="0"/>
              <w:snapToGrid w:val="0"/>
              <w:jc w:val="left"/>
              <w:rPr>
                <w:rFonts w:hint="default" w:ascii="宋体" w:hAnsi="宋体" w:eastAsia="宋体"/>
                <w:szCs w:val="21"/>
                <w:lang w:val="en-US" w:eastAsia="zh-CN"/>
              </w:rPr>
            </w:pPr>
          </w:p>
        </w:tc>
      </w:tr>
    </w:tbl>
    <w:p>
      <w:pPr>
        <w:rPr>
          <w:rFonts w:eastAsia="宋体"/>
        </w:rPr>
      </w:pPr>
    </w:p>
    <w:p>
      <w:pPr>
        <w:rPr>
          <w:rFonts w:eastAsia="宋体"/>
        </w:rPr>
      </w:pPr>
    </w:p>
    <w:p>
      <w:pPr>
        <w:widowControl/>
        <w:jc w:val="left"/>
        <w:rPr>
          <w:rFonts w:ascii="宋体" w:hAnsi="宋体"/>
          <w:szCs w:val="21"/>
        </w:rPr>
      </w:pPr>
      <w:r>
        <w:rPr>
          <w:rFonts w:ascii="宋体" w:hAnsi="宋体"/>
          <w:szCs w:val="21"/>
        </w:rPr>
        <w:br w:type="page"/>
      </w:r>
    </w:p>
    <w:p>
      <w:pPr>
        <w:widowControl/>
        <w:jc w:val="left"/>
        <w:rPr>
          <w:rFonts w:ascii="宋体" w:hAnsi="宋体"/>
          <w:szCs w:val="21"/>
        </w:rPr>
      </w:pPr>
    </w:p>
    <w:p>
      <w:pPr>
        <w:keepNext/>
        <w:keepLines/>
        <w:widowControl w:val="0"/>
        <w:adjustRightInd w:val="0"/>
        <w:spacing w:before="120" w:beforeLines="50" w:after="120" w:afterLines="50" w:line="240" w:lineRule="auto"/>
        <w:ind w:left="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第二册  通用条款（公开招标）</w:t>
      </w: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88" w:name="_Hlk72399513"/>
      <w:r>
        <w:rPr>
          <w:rFonts w:hint="eastAsia" w:ascii="宋体" w:hAnsi="宋体" w:eastAsia="宋体" w:cs="Times New Roman"/>
          <w:b/>
          <w:bCs/>
          <w:kern w:val="0"/>
          <w:sz w:val="28"/>
          <w:szCs w:val="28"/>
          <w:lang w:val="en-US" w:eastAsia="zh-CN" w:bidi="ar-SA"/>
        </w:rPr>
        <w:t>总则</w:t>
      </w:r>
    </w:p>
    <w:bookmarkEnd w:id="88"/>
    <w:p>
      <w:pPr>
        <w:rPr>
          <w:rFonts w:ascii="黑体" w:hAnsi="宋体" w:eastAsia="黑体" w:cs="Times New Roman"/>
          <w:sz w:val="24"/>
        </w:rPr>
      </w:pPr>
      <w:r>
        <w:rPr>
          <w:rFonts w:hint="eastAsia" w:ascii="黑体" w:hAnsi="宋体" w:eastAsia="黑体" w:cs="Times New Roman"/>
          <w:sz w:val="24"/>
        </w:rPr>
        <w:t>1. 通用条款说明</w:t>
      </w:r>
    </w:p>
    <w:p>
      <w:pPr>
        <w:ind w:firstLine="420" w:firstLineChars="200"/>
        <w:rPr>
          <w:rFonts w:hint="eastAsia" w:ascii="宋体" w:hAnsi="宋体" w:eastAsia="宋体" w:cs="Times New Roman"/>
          <w:szCs w:val="21"/>
        </w:rPr>
      </w:pPr>
      <w:r>
        <w:rPr>
          <w:rFonts w:hint="eastAsia" w:ascii="宋体" w:hAnsi="宋体" w:eastAsia="宋体" w:cs="Times New Roman"/>
          <w:szCs w:val="21"/>
        </w:rPr>
        <w:t>1.1政府集中采购机构发出招标文件通用条款版本，列出深圳市自行采购项目进行招标采购所适用的通用条款内容。</w:t>
      </w:r>
      <w:bookmarkStart w:id="89" w:name="_Hlk72399729"/>
      <w:r>
        <w:rPr>
          <w:rFonts w:hint="eastAsia" w:ascii="宋体" w:hAnsi="宋体" w:eastAsia="宋体" w:cs="Times New Roman"/>
          <w:szCs w:val="21"/>
        </w:rPr>
        <w:t>如有需要，政府集中采购机构可以对通用条款的内容进行补充。</w:t>
      </w:r>
      <w:bookmarkEnd w:id="89"/>
    </w:p>
    <w:p>
      <w:pPr>
        <w:ind w:firstLine="411" w:firstLineChars="196"/>
        <w:rPr>
          <w:rFonts w:ascii="宋体" w:hAnsi="宋体" w:eastAsia="宋体" w:cs="Times New Roman"/>
          <w:szCs w:val="21"/>
        </w:rPr>
      </w:pPr>
      <w:r>
        <w:rPr>
          <w:rFonts w:hint="eastAsia" w:ascii="宋体" w:hAnsi="宋体" w:eastAsia="宋体" w:cs="Times New Roman"/>
          <w:szCs w:val="21"/>
        </w:rPr>
        <w:t>1.2招标文件分为第一册“专用条款”和第二册“通用条款”。</w:t>
      </w:r>
    </w:p>
    <w:p>
      <w:pPr>
        <w:ind w:firstLine="411" w:firstLineChars="196"/>
        <w:rPr>
          <w:rFonts w:ascii="宋体" w:hAnsi="宋体" w:eastAsia="宋体" w:cs="Times New Roman"/>
          <w:szCs w:val="21"/>
        </w:rPr>
      </w:pPr>
      <w:r>
        <w:rPr>
          <w:rFonts w:hint="eastAsia" w:ascii="宋体" w:hAnsi="宋体" w:eastAsia="宋体" w:cs="Times New Roman"/>
          <w:szCs w:val="21"/>
        </w:rPr>
        <w:t>1.3“专用条款”是对本次采购项目的具体要求，包含招标公告、对通用条款的补充内容及其他关键信息、用户需求书、投标文件格式及附件、合同条款及格式等内容。</w:t>
      </w:r>
    </w:p>
    <w:p>
      <w:pPr>
        <w:ind w:firstLine="411" w:firstLineChars="196"/>
        <w:rPr>
          <w:rFonts w:ascii="宋体" w:hAnsi="宋体" w:eastAsia="宋体" w:cs="Times New Roman"/>
          <w:szCs w:val="21"/>
        </w:rPr>
      </w:pPr>
      <w:r>
        <w:rPr>
          <w:rFonts w:hint="eastAsia" w:ascii="宋体" w:hAnsi="宋体" w:eastAsia="宋体" w:cs="Times New Roman"/>
          <w:szCs w:val="21"/>
        </w:rPr>
        <w:t>1.4“通用条款”是适用于自行采购公开招标项目的基础性条款，具有普遍性和通用性。</w:t>
      </w:r>
    </w:p>
    <w:p>
      <w:pPr>
        <w:ind w:firstLine="411" w:firstLineChars="196"/>
        <w:rPr>
          <w:rFonts w:ascii="宋体" w:hAnsi="宋体" w:eastAsia="宋体" w:cs="Times New Roman"/>
          <w:szCs w:val="21"/>
        </w:rPr>
      </w:pPr>
      <w:r>
        <w:rPr>
          <w:rFonts w:hint="eastAsia" w:ascii="宋体" w:hAnsi="宋体" w:eastAsia="宋体" w:cs="Times New Roman"/>
          <w:szCs w:val="21"/>
        </w:rPr>
        <w:t>1.5 “专用条款”和“通用条款”表述不一致或有冲突时，以“专用条款”为准。</w:t>
      </w:r>
    </w:p>
    <w:p>
      <w:pPr>
        <w:rPr>
          <w:rFonts w:ascii="黑体" w:hAnsi="宋体" w:eastAsia="黑体" w:cs="Times New Roman"/>
          <w:sz w:val="24"/>
        </w:rPr>
      </w:pPr>
      <w:r>
        <w:rPr>
          <w:rFonts w:hint="eastAsia" w:ascii="黑体" w:hAnsi="宋体" w:eastAsia="黑体" w:cs="Times New Roman"/>
          <w:sz w:val="24"/>
        </w:rPr>
        <w:t>2</w:t>
      </w:r>
      <w:r>
        <w:rPr>
          <w:rFonts w:ascii="黑体" w:hAnsi="宋体" w:eastAsia="黑体" w:cs="Times New Roman"/>
          <w:sz w:val="24"/>
        </w:rPr>
        <w:t>．</w:t>
      </w:r>
      <w:r>
        <w:rPr>
          <w:rFonts w:hint="eastAsia" w:ascii="黑体" w:hAnsi="宋体" w:eastAsia="黑体" w:cs="Times New Roman"/>
          <w:sz w:val="24"/>
        </w:rPr>
        <w:t>招标说明</w:t>
      </w:r>
    </w:p>
    <w:p>
      <w:pPr>
        <w:ind w:firstLine="422" w:firstLineChars="200"/>
        <w:rPr>
          <w:rFonts w:hint="eastAsia" w:ascii="宋体" w:hAnsi="宋体" w:eastAsia="宋体" w:cs="Times New Roman"/>
          <w:b/>
          <w:bCs/>
          <w:color w:val="FF0000"/>
          <w:szCs w:val="21"/>
        </w:rPr>
      </w:pPr>
      <w:r>
        <w:rPr>
          <w:rFonts w:hint="eastAsia" w:ascii="宋体" w:hAnsi="宋体" w:eastAsia="宋体" w:cs="Times New Roman"/>
          <w:b/>
          <w:bCs/>
          <w:color w:val="FF0000"/>
          <w:szCs w:val="21"/>
        </w:rPr>
        <w:t>本项目为自行采购项目，参照《深圳经济特区政府采购条例》、《深圳经济特区政府采购条例实施细则》及政府采购其他法律法规，通过公开招标方式确定中标供应商。</w:t>
      </w:r>
    </w:p>
    <w:p>
      <w:pPr>
        <w:rPr>
          <w:rFonts w:ascii="黑体" w:hAnsi="宋体" w:eastAsia="黑体" w:cs="Times New Roman"/>
          <w:sz w:val="24"/>
        </w:rPr>
      </w:pPr>
      <w:r>
        <w:rPr>
          <w:rFonts w:hint="eastAsia" w:ascii="黑体" w:hAnsi="宋体" w:eastAsia="黑体" w:cs="Times New Roman"/>
          <w:sz w:val="24"/>
        </w:rPr>
        <w:t>3．定义</w:t>
      </w:r>
    </w:p>
    <w:p>
      <w:pPr>
        <w:ind w:firstLine="420" w:firstLineChars="200"/>
        <w:rPr>
          <w:rFonts w:ascii="宋体" w:hAnsi="宋体" w:eastAsia="宋体" w:cs="Times New Roman"/>
          <w:szCs w:val="21"/>
        </w:rPr>
      </w:pPr>
      <w:r>
        <w:rPr>
          <w:rFonts w:ascii="宋体" w:hAnsi="宋体" w:eastAsia="宋体" w:cs="Times New Roman"/>
          <w:szCs w:val="21"/>
        </w:rPr>
        <w:t>招标文件中下列术语应解释为：</w:t>
      </w:r>
    </w:p>
    <w:p>
      <w:pPr>
        <w:ind w:firstLine="411" w:firstLineChars="196"/>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1</w:t>
      </w:r>
      <w:r>
        <w:rPr>
          <w:rFonts w:hint="eastAsia" w:ascii="宋体" w:hAnsi="宋体" w:eastAsia="宋体" w:cs="Times New Roman"/>
          <w:szCs w:val="21"/>
        </w:rPr>
        <w:t>“采购人”：指利用财政性资金依法进行</w:t>
      </w:r>
      <w:r>
        <w:rPr>
          <w:rFonts w:hint="eastAsia" w:ascii="宋体" w:hAnsi="宋体"/>
          <w:b/>
          <w:bCs/>
          <w:color w:val="FF0000"/>
          <w:szCs w:val="21"/>
        </w:rPr>
        <w:t>自行采购</w:t>
      </w:r>
      <w:r>
        <w:rPr>
          <w:rFonts w:hint="eastAsia" w:ascii="宋体" w:hAnsi="宋体" w:eastAsia="宋体" w:cs="Times New Roman"/>
          <w:szCs w:val="21"/>
        </w:rPr>
        <w:t>的国家机关、事业单位、团体组织；</w:t>
      </w:r>
      <w:r>
        <w:rPr>
          <w:rFonts w:ascii="宋体" w:hAnsi="宋体" w:eastAsia="宋体" w:cs="Times New Roman"/>
          <w:szCs w:val="21"/>
        </w:rPr>
        <w:t xml:space="preserve"> </w:t>
      </w:r>
    </w:p>
    <w:p>
      <w:pPr>
        <w:ind w:firstLine="411" w:firstLineChars="196"/>
        <w:rPr>
          <w:rFonts w:ascii="宋体" w:hAnsi="宋体" w:eastAsia="宋体" w:cs="Times New Roman"/>
          <w:szCs w:val="21"/>
        </w:rPr>
      </w:pPr>
      <w:r>
        <w:rPr>
          <w:rFonts w:hint="eastAsia" w:ascii="宋体" w:hAnsi="宋体" w:eastAsia="宋体" w:cs="Times New Roman"/>
          <w:szCs w:val="21"/>
        </w:rPr>
        <w:t>3.2 “政府集中采购机构”</w:t>
      </w:r>
      <w:r>
        <w:rPr>
          <w:rFonts w:hint="eastAsia" w:ascii="Arial" w:hAnsi="Arial" w:eastAsia="宋体" w:cs="Arial"/>
          <w:szCs w:val="21"/>
          <w:shd w:val="clear" w:color="auto" w:fill="FFFFFF"/>
        </w:rPr>
        <w:t>是指市政府设立的，组织实施采购项目，并对采购活动提供服务的专门机构；</w:t>
      </w:r>
      <w:r>
        <w:rPr>
          <w:rFonts w:hint="eastAsia" w:ascii="宋体" w:hAnsi="宋体" w:eastAsia="宋体" w:cs="Times New Roman"/>
          <w:szCs w:val="21"/>
        </w:rPr>
        <w:t>本文件所述的“政府集中采购机构”</w:t>
      </w:r>
      <w:r>
        <w:rPr>
          <w:rFonts w:ascii="宋体" w:hAnsi="宋体" w:eastAsia="宋体" w:cs="Times New Roman"/>
          <w:szCs w:val="21"/>
        </w:rPr>
        <w:t>指</w:t>
      </w:r>
      <w:r>
        <w:rPr>
          <w:rFonts w:hint="eastAsia" w:ascii="宋体" w:hAnsi="宋体" w:eastAsia="宋体" w:cs="Times New Roman"/>
          <w:b/>
          <w:bCs/>
          <w:szCs w:val="21"/>
        </w:rPr>
        <w:t>深圳公共资源交易中心</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3.3“投标人”，即供应商，指参加投标竞争并愿意按照招标文件要求向采购人提供货物、工程或者服务的依法成立的法人、其他组织或者自然人；</w:t>
      </w:r>
    </w:p>
    <w:p>
      <w:pPr>
        <w:ind w:firstLine="411" w:firstLineChars="196"/>
        <w:rPr>
          <w:rFonts w:ascii="宋体" w:hAnsi="宋体" w:eastAsia="宋体" w:cs="Times New Roman"/>
          <w:szCs w:val="21"/>
        </w:rPr>
      </w:pPr>
      <w:r>
        <w:rPr>
          <w:rFonts w:hint="eastAsia" w:ascii="宋体" w:hAnsi="宋体" w:eastAsia="宋体" w:cs="Times New Roman"/>
          <w:szCs w:val="21"/>
        </w:rPr>
        <w:t>3.4“评审委员会”是</w:t>
      </w:r>
      <w:r>
        <w:rPr>
          <w:rFonts w:hint="eastAsia" w:ascii="宋体" w:hAnsi="宋体" w:eastAsia="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《深圳经济特区政府采购条例》、《深圳经济特区政府采购条例实施细则》等有关规定组建的专门负责本次招标其评审工作的临时性机构；</w:t>
      </w:r>
    </w:p>
    <w:p>
      <w:pPr>
        <w:ind w:firstLine="411" w:firstLineChars="196"/>
        <w:rPr>
          <w:rFonts w:ascii="宋体" w:hAnsi="宋体" w:eastAsia="宋体" w:cs="Times New Roman"/>
          <w:szCs w:val="21"/>
        </w:rPr>
      </w:pPr>
      <w:r>
        <w:rPr>
          <w:rFonts w:hint="eastAsia" w:ascii="宋体" w:hAnsi="宋体" w:eastAsia="宋体" w:cs="Times New Roman"/>
          <w:szCs w:val="21"/>
        </w:rPr>
        <w:t>3.5“日期”</w:t>
      </w:r>
      <w:r>
        <w:rPr>
          <w:rFonts w:ascii="宋体" w:hAnsi="宋体" w:eastAsia="宋体" w:cs="Times New Roman"/>
          <w:szCs w:val="21"/>
        </w:rPr>
        <w:t>指</w:t>
      </w:r>
      <w:r>
        <w:rPr>
          <w:rFonts w:hint="eastAsia" w:ascii="宋体" w:hAnsi="宋体" w:eastAsia="宋体" w:cs="Times New Roman"/>
          <w:szCs w:val="21"/>
        </w:rPr>
        <w:t>公历日；</w:t>
      </w:r>
    </w:p>
    <w:p>
      <w:pPr>
        <w:ind w:firstLine="411" w:firstLineChars="196"/>
        <w:rPr>
          <w:rFonts w:ascii="宋体" w:hAnsi="宋体" w:eastAsia="宋体" w:cs="Times New Roman"/>
          <w:szCs w:val="21"/>
        </w:rPr>
      </w:pPr>
      <w:r>
        <w:rPr>
          <w:rFonts w:hint="eastAsia" w:ascii="宋体" w:hAnsi="宋体" w:eastAsia="宋体" w:cs="Times New Roman"/>
          <w:szCs w:val="21"/>
        </w:rPr>
        <w:t>3.6“合同”指由本次招标所产生的合同或合约文件；</w:t>
      </w:r>
    </w:p>
    <w:p>
      <w:pPr>
        <w:ind w:firstLine="411" w:firstLineChars="196"/>
        <w:rPr>
          <w:rFonts w:ascii="宋体" w:hAnsi="宋体" w:eastAsia="宋体" w:cs="Times New Roman"/>
          <w:szCs w:val="21"/>
        </w:rPr>
      </w:pPr>
      <w:r>
        <w:rPr>
          <w:rFonts w:hint="eastAsia" w:ascii="宋体" w:hAnsi="宋体" w:eastAsia="宋体" w:cs="Times New Roman"/>
          <w:szCs w:val="21"/>
        </w:rPr>
        <w:t>3.7“电子投标文件”指利用</w:t>
      </w:r>
      <w:r>
        <w:rPr>
          <w:rFonts w:hint="eastAsia" w:ascii="宋体" w:hAnsi="宋体" w:eastAsia="宋体" w:cs="Times New Roman"/>
          <w:b/>
          <w:bCs/>
          <w:color w:val="FF0000"/>
          <w:szCs w:val="21"/>
        </w:rPr>
        <w:t>深圳公共资源交易中心（深圳交易集团有限公司</w:t>
      </w:r>
      <w:r>
        <w:rPr>
          <w:rFonts w:hint="eastAsia" w:ascii="宋体" w:hAnsi="宋体" w:cs="Times New Roman"/>
          <w:b/>
          <w:bCs/>
          <w:color w:val="FF0000"/>
          <w:szCs w:val="21"/>
          <w:lang w:val="en-US" w:eastAsia="zh-CN"/>
        </w:rPr>
        <w:t>大鹏分公司</w:t>
      </w:r>
      <w:r>
        <w:rPr>
          <w:rFonts w:hint="eastAsia" w:ascii="宋体" w:hAnsi="宋体" w:eastAsia="宋体" w:cs="Times New Roman"/>
          <w:b/>
          <w:bCs/>
          <w:color w:val="FF0000"/>
          <w:szCs w:val="21"/>
        </w:rPr>
        <w:t>）</w:t>
      </w:r>
      <w:r>
        <w:rPr>
          <w:rFonts w:hint="eastAsia" w:ascii="宋体" w:hAnsi="宋体" w:eastAsia="宋体" w:cs="Times New Roman"/>
          <w:szCs w:val="21"/>
        </w:rPr>
        <w:t>网站提供的深圳市自行采购系统投标文件编制工具（以下简称：投标文件制作软件）制作并加密的投标文件,适用于网上投标；（投标文件制作软件可从“下载地址：https://www.szggzy.com/jyfw/details.html?contentId=2053275”下载）</w:t>
      </w:r>
    </w:p>
    <w:p>
      <w:pPr>
        <w:ind w:firstLine="411" w:firstLineChars="196"/>
        <w:rPr>
          <w:rFonts w:ascii="宋体" w:hAnsi="宋体" w:eastAsia="宋体" w:cs="Times New Roman"/>
          <w:szCs w:val="21"/>
        </w:rPr>
      </w:pPr>
      <w:r>
        <w:rPr>
          <w:rFonts w:hint="eastAsia" w:ascii="宋体" w:hAnsi="宋体" w:eastAsia="宋体" w:cs="Times New Roman"/>
          <w:szCs w:val="21"/>
        </w:rPr>
        <w:t>3.8“网上投标”指通过</w:t>
      </w:r>
      <w:r>
        <w:rPr>
          <w:rFonts w:hint="eastAsia" w:ascii="宋体" w:hAnsi="宋体"/>
          <w:b/>
          <w:bCs/>
          <w:color w:val="FF0000"/>
          <w:szCs w:val="21"/>
        </w:rPr>
        <w:t>深圳政府采购自行采购系统</w:t>
      </w:r>
      <w:r>
        <w:rPr>
          <w:rFonts w:hint="eastAsia" w:ascii="宋体" w:hAnsi="宋体" w:eastAsia="宋体" w:cs="Times New Roman"/>
          <w:szCs w:val="21"/>
        </w:rPr>
        <w:t>网站上传电子投标文件；</w:t>
      </w:r>
    </w:p>
    <w:p>
      <w:pPr>
        <w:ind w:firstLine="411" w:firstLineChars="196"/>
        <w:rPr>
          <w:rFonts w:ascii="宋体" w:hAnsi="宋体" w:eastAsia="宋体" w:cs="Times New Roman"/>
          <w:szCs w:val="21"/>
        </w:rPr>
      </w:pPr>
      <w:r>
        <w:rPr>
          <w:rFonts w:hint="eastAsia" w:ascii="宋体" w:hAnsi="宋体" w:eastAsia="宋体" w:cs="Times New Roman"/>
          <w:szCs w:val="21"/>
        </w:rPr>
        <w:t>3.9招标文件中的标题或题名仅起引导作用，而不应视为对招标文件内容的理解和解释。</w:t>
      </w:r>
    </w:p>
    <w:p>
      <w:pPr>
        <w:rPr>
          <w:rFonts w:ascii="黑体" w:hAnsi="宋体" w:eastAsia="黑体" w:cs="Times New Roman"/>
          <w:sz w:val="24"/>
        </w:rPr>
      </w:pPr>
      <w:r>
        <w:rPr>
          <w:rFonts w:hint="eastAsia" w:ascii="黑体" w:hAnsi="宋体" w:eastAsia="黑体" w:cs="Times New Roman"/>
          <w:sz w:val="24"/>
        </w:rPr>
        <w:t xml:space="preserve">4. </w:t>
      </w:r>
      <w:bookmarkStart w:id="90" w:name="_Hlk72398643"/>
      <w:r>
        <w:rPr>
          <w:rFonts w:hint="eastAsia" w:ascii="黑体" w:hAnsi="宋体" w:eastAsia="黑体" w:cs="Times New Roman"/>
          <w:sz w:val="24"/>
        </w:rPr>
        <w:t>采购供应商责任</w:t>
      </w:r>
    </w:p>
    <w:p>
      <w:pPr>
        <w:ind w:firstLine="411" w:firstLineChars="196"/>
        <w:rPr>
          <w:rFonts w:ascii="宋体" w:hAnsi="宋体" w:eastAsia="宋体" w:cs="Times New Roman"/>
          <w:szCs w:val="21"/>
        </w:rPr>
      </w:pPr>
      <w:r>
        <w:rPr>
          <w:rFonts w:hint="eastAsia" w:ascii="宋体" w:hAnsi="宋体" w:eastAsia="宋体" w:cs="Times New Roman"/>
          <w:szCs w:val="21"/>
        </w:rPr>
        <w:t>4.1欢迎诚信、有实力和有社会责任心的供应商参与</w:t>
      </w:r>
      <w:r>
        <w:rPr>
          <w:rFonts w:hint="eastAsia" w:ascii="宋体" w:hAnsi="宋体" w:cs="Times New Roman"/>
          <w:szCs w:val="21"/>
          <w:lang w:val="en-US" w:eastAsia="zh-CN"/>
        </w:rPr>
        <w:t>自行</w:t>
      </w:r>
      <w:r>
        <w:rPr>
          <w:rFonts w:hint="eastAsia" w:ascii="宋体" w:hAnsi="宋体" w:eastAsia="宋体" w:cs="Times New Roman"/>
          <w:szCs w:val="21"/>
        </w:rPr>
        <w:t>采购事业。</w:t>
      </w:r>
    </w:p>
    <w:p>
      <w:pPr>
        <w:ind w:firstLine="411" w:firstLineChars="196"/>
        <w:rPr>
          <w:rFonts w:ascii="宋体" w:hAnsi="宋体" w:eastAsia="宋体" w:cs="Times New Roman"/>
          <w:szCs w:val="21"/>
        </w:rPr>
      </w:pPr>
      <w:r>
        <w:rPr>
          <w:rFonts w:hint="eastAsia" w:ascii="宋体" w:hAnsi="宋体" w:eastAsia="宋体" w:cs="Times New Roman"/>
          <w:szCs w:val="21"/>
        </w:rPr>
        <w:t>4.2投标人应当遵循公平竞争的原则，不得恶意串通，不得妨碍其他投标人的竞争行为，不得损害采购人或者其他投标人的合法权益。如违反上述要求，经核实后，供应商的投标无效。</w:t>
      </w:r>
    </w:p>
    <w:p>
      <w:pPr>
        <w:rPr>
          <w:rFonts w:ascii="黑体" w:hAnsi="宋体" w:eastAsia="黑体" w:cs="Times New Roman"/>
          <w:sz w:val="24"/>
        </w:rPr>
      </w:pPr>
      <w:r>
        <w:rPr>
          <w:rFonts w:hint="eastAsia" w:ascii="黑体" w:hAnsi="宋体" w:eastAsia="黑体" w:cs="Times New Roman"/>
          <w:sz w:val="24"/>
        </w:rPr>
        <w:t>5．投标人参加</w:t>
      </w:r>
      <w:r>
        <w:rPr>
          <w:rFonts w:hint="eastAsia" w:ascii="黑体" w:hAnsi="宋体" w:eastAsia="黑体" w:cs="Times New Roman"/>
          <w:sz w:val="24"/>
          <w:lang w:val="en-US" w:eastAsia="zh-CN"/>
        </w:rPr>
        <w:t>自行</w:t>
      </w:r>
      <w:r>
        <w:rPr>
          <w:rFonts w:hint="eastAsia" w:ascii="黑体" w:hAnsi="宋体" w:eastAsia="黑体" w:cs="Times New Roman"/>
          <w:sz w:val="24"/>
        </w:rPr>
        <w:t>采购的条件</w:t>
      </w:r>
    </w:p>
    <w:p>
      <w:pPr>
        <w:ind w:firstLine="411" w:firstLineChars="196"/>
        <w:jc w:val="left"/>
        <w:rPr>
          <w:rFonts w:hint="eastAsia" w:ascii="宋体" w:hAnsi="宋体" w:eastAsia="宋体" w:cs="Times New Roman"/>
          <w:szCs w:val="21"/>
          <w:lang w:val="en-US" w:eastAsia="zh-CN"/>
        </w:rPr>
      </w:pPr>
      <w:r>
        <w:rPr>
          <w:rFonts w:hint="eastAsia" w:ascii="宋体" w:hAnsi="宋体" w:eastAsia="宋体" w:cs="Times New Roman"/>
          <w:szCs w:val="21"/>
        </w:rPr>
        <w:t>5.1投标人应在投标前到</w:t>
      </w:r>
      <w:r>
        <w:rPr>
          <w:rFonts w:hint="eastAsia" w:ascii="宋体" w:hAnsi="宋体" w:eastAsia="宋体" w:cs="Times New Roman"/>
          <w:b/>
          <w:bCs/>
          <w:szCs w:val="21"/>
        </w:rPr>
        <w:t>深圳公共资源交易中心（具体在深圳交易集团有限公司政府采购业务分公司进行办理）</w:t>
      </w:r>
      <w:r>
        <w:rPr>
          <w:rFonts w:hint="eastAsia" w:ascii="宋体" w:hAnsi="宋体" w:eastAsia="宋体" w:cs="Times New Roman"/>
          <w:szCs w:val="21"/>
        </w:rPr>
        <w:t>进行注册并办理电子密钥。</w:t>
      </w:r>
      <w:r>
        <w:rPr>
          <w:rFonts w:hint="eastAsia" w:ascii="宋体" w:hAnsi="宋体"/>
          <w:szCs w:val="21"/>
        </w:rPr>
        <w:t>《深圳政府采购自行采购系统用户操作指引（供应商）》详见www.szggzy.com网站“交易服务指南-政府采购-资料下载”</w:t>
      </w:r>
      <w:r>
        <w:rPr>
          <w:rFonts w:hint="eastAsia" w:ascii="宋体" w:hAnsi="宋体" w:eastAsia="宋体" w:cs="Times New Roman"/>
          <w:szCs w:val="21"/>
          <w:lang w:val="en-US" w:eastAsia="zh-CN"/>
        </w:rPr>
        <w:t>。</w:t>
      </w:r>
    </w:p>
    <w:p>
      <w:pPr>
        <w:ind w:firstLine="411" w:firstLineChars="196"/>
        <w:jc w:val="left"/>
        <w:rPr>
          <w:rFonts w:ascii="宋体" w:hAnsi="宋体" w:eastAsia="宋体" w:cs="Times New Roman"/>
          <w:szCs w:val="21"/>
        </w:rPr>
      </w:pPr>
      <w:r>
        <w:rPr>
          <w:rFonts w:hint="eastAsia" w:ascii="宋体" w:hAnsi="宋体" w:eastAsia="宋体" w:cs="Times New Roman"/>
          <w:szCs w:val="21"/>
        </w:rPr>
        <w:t>5.2投标人资格要求</w:t>
      </w:r>
    </w:p>
    <w:p>
      <w:pPr>
        <w:ind w:firstLine="411" w:firstLineChars="196"/>
        <w:rPr>
          <w:rFonts w:ascii="宋体" w:hAnsi="宋体" w:eastAsia="宋体" w:cs="Times New Roman"/>
          <w:szCs w:val="21"/>
        </w:rPr>
      </w:pPr>
      <w:r>
        <w:rPr>
          <w:rFonts w:hint="eastAsia" w:ascii="宋体" w:hAnsi="宋体" w:eastAsia="宋体" w:cs="Times New Roman"/>
          <w:szCs w:val="21"/>
        </w:rPr>
        <w:t>参加本项目的投标人应具备的资格条件详见本项目招标公告中“投标人资格要求”（即申请人的资格要求）的内容。</w:t>
      </w:r>
    </w:p>
    <w:p>
      <w:pPr>
        <w:ind w:firstLine="411" w:firstLineChars="196"/>
        <w:rPr>
          <w:rFonts w:ascii="宋体" w:hAnsi="宋体" w:eastAsia="宋体" w:cs="Times New Roman"/>
          <w:szCs w:val="21"/>
        </w:rPr>
      </w:pPr>
      <w:r>
        <w:rPr>
          <w:rFonts w:hint="eastAsia" w:ascii="宋体" w:hAnsi="宋体" w:eastAsia="宋体" w:cs="Times New Roman"/>
          <w:szCs w:val="21"/>
        </w:rPr>
        <w:t>5.3联合体投标</w:t>
      </w:r>
    </w:p>
    <w:p>
      <w:pPr>
        <w:ind w:firstLine="411" w:firstLineChars="196"/>
        <w:rPr>
          <w:rFonts w:ascii="宋体" w:hAnsi="宋体" w:eastAsia="宋体" w:cs="Times New Roman"/>
          <w:szCs w:val="21"/>
        </w:rPr>
      </w:pPr>
      <w:r>
        <w:rPr>
          <w:rFonts w:hint="eastAsia" w:ascii="宋体" w:hAnsi="宋体" w:eastAsia="宋体" w:cs="Times New Roman"/>
          <w:szCs w:val="21"/>
        </w:rPr>
        <w:t>5.3.1</w:t>
      </w:r>
      <w:r>
        <w:rPr>
          <w:rFonts w:hint="eastAsia" w:ascii="宋体" w:hAnsi="宋体" w:cs="Times New Roman"/>
          <w:szCs w:val="21"/>
          <w:lang w:val="en-US" w:eastAsia="zh-CN"/>
        </w:rPr>
        <w:t xml:space="preserve"> </w:t>
      </w:r>
      <w:r>
        <w:rPr>
          <w:rFonts w:hint="eastAsia" w:ascii="宋体" w:hAnsi="宋体" w:eastAsia="宋体" w:cs="Times New Roman"/>
          <w:szCs w:val="21"/>
        </w:rPr>
        <w:t>以下有关联合体投标的条款仅适用于允许投标人组成联合体投标的项目。</w:t>
      </w:r>
    </w:p>
    <w:p>
      <w:pPr>
        <w:ind w:firstLine="411" w:firstLineChars="196"/>
        <w:rPr>
          <w:rFonts w:ascii="宋体" w:hAnsi="宋体" w:eastAsia="宋体" w:cs="Times New Roman"/>
          <w:szCs w:val="21"/>
        </w:rPr>
      </w:pPr>
      <w:r>
        <w:rPr>
          <w:rFonts w:hint="eastAsia" w:ascii="宋体" w:hAnsi="宋体" w:eastAsia="宋体" w:cs="Times New Roman"/>
          <w:szCs w:val="21"/>
        </w:rPr>
        <w:t>5.3.2 由两个或两个以上的自然人、法人或者其他组织可以组成一个联合体，以一个供应商的身份共同投标时，应符合以下原则：</w:t>
      </w:r>
    </w:p>
    <w:p>
      <w:pPr>
        <w:ind w:firstLine="411" w:firstLineChars="196"/>
        <w:rPr>
          <w:rFonts w:ascii="宋体" w:hAnsi="宋体" w:eastAsia="宋体" w:cs="Times New Roman"/>
        </w:rPr>
      </w:pPr>
      <w:r>
        <w:rPr>
          <w:rFonts w:hint="eastAsia" w:ascii="宋体" w:hAnsi="宋体" w:eastAsia="宋体" w:cs="Times New Roman"/>
        </w:rPr>
        <w:t>（1）投标联合体各方参加采购活动应当具备下列条件：</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1、具有独立承担民事责任的能力；</w:t>
      </w:r>
      <w:r>
        <w:rPr>
          <w:rFonts w:ascii="宋体" w:hAnsi="宋体" w:eastAsia="宋体" w:cs="Times New Roman"/>
        </w:rPr>
        <w:t xml:space="preserve"> </w:t>
      </w:r>
    </w:p>
    <w:p>
      <w:pPr>
        <w:ind w:left="420" w:firstLine="411" w:firstLineChars="196"/>
        <w:rPr>
          <w:rFonts w:ascii="宋体" w:hAnsi="宋体" w:eastAsia="宋体" w:cs="Times New Roman"/>
        </w:rPr>
      </w:pPr>
      <w:r>
        <w:rPr>
          <w:rFonts w:hint="eastAsia" w:ascii="宋体" w:hAnsi="宋体" w:eastAsia="宋体" w:cs="Times New Roman"/>
        </w:rPr>
        <w:t>2、有良好的商业信誉和健全的财务会计制度；</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3、具有履行合同所必需的设备和专业技术能力；</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4、有依法缴纳税收和社会保障资金的良好记录；</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5、参加采购活动前三年内，在经营活动中没有重大违法记录；</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6、法律、行政法规规定的其他条件。</w:t>
      </w:r>
      <w:r>
        <w:rPr>
          <w:rFonts w:ascii="宋体" w:hAnsi="宋体" w:eastAsia="宋体" w:cs="Times New Roman"/>
        </w:rPr>
        <w:t xml:space="preserve"> </w:t>
      </w:r>
    </w:p>
    <w:p>
      <w:pPr>
        <w:ind w:firstLine="411" w:firstLineChars="196"/>
        <w:rPr>
          <w:rFonts w:ascii="宋体" w:hAnsi="宋体" w:eastAsia="宋体" w:cs="Times New Roman"/>
        </w:rPr>
      </w:pPr>
      <w:r>
        <w:rPr>
          <w:rFonts w:hint="eastAsia" w:ascii="宋体" w:hAnsi="宋体" w:eastAsia="宋体" w:cs="Times New Roman"/>
        </w:rPr>
        <w:t>（2）在投标截止前，</w:t>
      </w:r>
      <w:r>
        <w:rPr>
          <w:rFonts w:hint="eastAsia" w:ascii="宋体" w:hAnsi="宋体"/>
          <w:szCs w:val="21"/>
        </w:rPr>
        <w:t>投标联合体各方均应注册成</w:t>
      </w:r>
      <w:r>
        <w:rPr>
          <w:rFonts w:hint="eastAsia" w:ascii="宋体" w:hAnsi="宋体"/>
          <w:b/>
          <w:bCs/>
          <w:color w:val="FF0000"/>
          <w:szCs w:val="21"/>
        </w:rPr>
        <w:t>深圳政府采购自行采购系统</w:t>
      </w:r>
      <w:r>
        <w:rPr>
          <w:rFonts w:hint="eastAsia" w:ascii="宋体" w:hAnsi="宋体"/>
          <w:szCs w:val="21"/>
        </w:rPr>
        <w:t>供应商</w:t>
      </w:r>
      <w:r>
        <w:rPr>
          <w:rFonts w:hint="eastAsia" w:ascii="宋体" w:hAnsi="宋体" w:eastAsia="宋体" w:cs="Times New Roman"/>
        </w:rPr>
        <w:t>；</w:t>
      </w:r>
    </w:p>
    <w:p>
      <w:pPr>
        <w:ind w:firstLine="411" w:firstLineChars="196"/>
        <w:rPr>
          <w:rFonts w:ascii="宋体" w:hAnsi="宋体" w:eastAsia="宋体" w:cs="Times New Roman"/>
        </w:rPr>
      </w:pPr>
      <w:r>
        <w:rPr>
          <w:rFonts w:hint="eastAsia" w:ascii="宋体" w:hAnsi="宋体" w:eastAsia="宋体" w:cs="Times New Roman"/>
        </w:rPr>
        <w:t>（3）联合体中有同类资质的供应商按照联合体分工承担相同工作的，应当按照资质等级较低的供应商确定资质等级；</w:t>
      </w:r>
    </w:p>
    <w:p>
      <w:pPr>
        <w:ind w:firstLine="411" w:firstLineChars="196"/>
        <w:rPr>
          <w:rFonts w:ascii="Times New Roman" w:hAnsi="Times New Roman" w:eastAsia="宋体" w:cs="Times New Roman"/>
        </w:rPr>
      </w:pPr>
      <w:r>
        <w:rPr>
          <w:rFonts w:hint="eastAsia" w:ascii="Times New Roman" w:hAnsi="Times New Roman" w:eastAsia="宋体" w:cs="Times New Roman"/>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ascii="宋体" w:hAnsi="宋体" w:eastAsia="宋体" w:cs="Times New Roman"/>
        </w:rPr>
      </w:pPr>
      <w:r>
        <w:rPr>
          <w:rFonts w:hint="eastAsia" w:ascii="宋体" w:hAnsi="宋体" w:eastAsia="宋体" w:cs="Times New Roman"/>
        </w:rPr>
        <w:t>（5）投标人的投标文件及中标后签署的合同协议对联合体各方均具法律约束力；</w:t>
      </w:r>
    </w:p>
    <w:p>
      <w:pPr>
        <w:ind w:firstLine="411" w:firstLineChars="196"/>
        <w:rPr>
          <w:rFonts w:ascii="宋体" w:hAnsi="宋体" w:eastAsia="宋体" w:cs="Times New Roman"/>
        </w:rPr>
      </w:pPr>
      <w:r>
        <w:rPr>
          <w:rFonts w:hint="eastAsia" w:ascii="宋体" w:hAnsi="宋体" w:eastAsia="宋体" w:cs="Times New Roman"/>
        </w:rPr>
        <w:t>（6）联合体各方应当签订联合体投标协议，明确约定各方拟承担的工作和责任，并将该协议随投标文件一并递交给政府集中采购机构；</w:t>
      </w:r>
    </w:p>
    <w:p>
      <w:pPr>
        <w:ind w:firstLine="411" w:firstLineChars="196"/>
        <w:rPr>
          <w:rFonts w:ascii="宋体" w:hAnsi="宋体" w:eastAsia="宋体" w:cs="Times New Roman"/>
        </w:rPr>
      </w:pPr>
      <w:r>
        <w:rPr>
          <w:rFonts w:hint="eastAsia" w:ascii="宋体" w:hAnsi="宋体" w:eastAsia="宋体" w:cs="Times New Roman"/>
        </w:rPr>
        <w:t>（7）联合体中标后，联合体各方应当共同与采购人签订合同，就中标项目向采购人承担连带责任；</w:t>
      </w:r>
    </w:p>
    <w:p>
      <w:pPr>
        <w:ind w:firstLine="411" w:firstLineChars="196"/>
        <w:rPr>
          <w:rFonts w:ascii="宋体" w:hAnsi="宋体" w:eastAsia="宋体" w:cs="Times New Roman"/>
        </w:rPr>
      </w:pPr>
      <w:r>
        <w:rPr>
          <w:rFonts w:hint="eastAsia" w:ascii="宋体" w:hAnsi="宋体" w:eastAsia="宋体" w:cs="Times New Roman"/>
        </w:rPr>
        <w:t>（8）以联合体形式参加采购活动的，联合体各方不得再单独参加或者与其他供应商另外组成联合体参加同一合同项下的采购活动，出现上述情况者，其投标和与此有关联合体、总包单位的投标将被拒绝；</w:t>
      </w:r>
    </w:p>
    <w:p>
      <w:pPr>
        <w:ind w:firstLine="411" w:firstLineChars="196"/>
        <w:rPr>
          <w:rFonts w:ascii="宋体" w:hAnsi="宋体" w:eastAsia="宋体" w:cs="Times New Roman"/>
          <w:szCs w:val="21"/>
        </w:rPr>
      </w:pPr>
      <w:r>
        <w:rPr>
          <w:rFonts w:hint="eastAsia" w:ascii="宋体" w:hAnsi="宋体" w:eastAsia="宋体" w:cs="Times New Roman"/>
        </w:rPr>
        <w:t>（9）本通用条款中“投标人”一词亦指联合体各方，专用条款另有规定或说明的除外。</w:t>
      </w:r>
    </w:p>
    <w:p>
      <w:pPr>
        <w:rPr>
          <w:rFonts w:ascii="黑体" w:hAnsi="宋体" w:eastAsia="黑体" w:cs="Times New Roman"/>
          <w:sz w:val="24"/>
        </w:rPr>
      </w:pPr>
      <w:r>
        <w:rPr>
          <w:rFonts w:hint="eastAsia" w:ascii="黑体" w:hAnsi="宋体" w:eastAsia="黑体" w:cs="Times New Roman"/>
          <w:sz w:val="24"/>
        </w:rPr>
        <w:t>6．政策导向</w:t>
      </w:r>
    </w:p>
    <w:p>
      <w:pPr>
        <w:ind w:firstLine="411" w:firstLineChars="196"/>
        <w:rPr>
          <w:rFonts w:ascii="宋体" w:hAnsi="宋体" w:eastAsia="宋体" w:cs="Times New Roman"/>
        </w:rPr>
      </w:pPr>
      <w:r>
        <w:rPr>
          <w:rFonts w:hint="eastAsia" w:ascii="宋体" w:hAnsi="宋体" w:eastAsia="宋体" w:cs="Times New Roman"/>
        </w:rPr>
        <w:t>6.1</w:t>
      </w:r>
      <w:r>
        <w:rPr>
          <w:rFonts w:ascii="宋体" w:hAnsi="宋体" w:eastAsia="宋体" w:cs="Times New Roman"/>
        </w:rPr>
        <w:t xml:space="preserve">  </w:t>
      </w:r>
      <w:r>
        <w:rPr>
          <w:rFonts w:hint="eastAsia" w:ascii="宋体" w:hAnsi="宋体" w:eastAsia="宋体" w:cs="Times New Roman"/>
        </w:rPr>
        <w:t>采购支持本国产品、支持中小企业、监狱企业和残疾人福利性单位发展，支持乡村产业振兴，支持创新、节能减排、绿色环保等。</w:t>
      </w:r>
    </w:p>
    <w:p>
      <w:pPr>
        <w:ind w:firstLine="405"/>
        <w:rPr>
          <w:rFonts w:hint="eastAsia" w:ascii="宋体" w:hAnsi="宋体" w:eastAsia="宋体" w:cs="Times New Roman"/>
        </w:rPr>
      </w:pPr>
      <w:r>
        <w:rPr>
          <w:rFonts w:hint="eastAsia" w:ascii="宋体" w:hAnsi="宋体" w:eastAsia="宋体" w:cs="Times New Roman"/>
        </w:rPr>
        <w:t>6.2</w:t>
      </w:r>
      <w:r>
        <w:rPr>
          <w:rFonts w:ascii="宋体" w:hAnsi="宋体" w:eastAsia="宋体" w:cs="Times New Roman"/>
        </w:rPr>
        <w:t xml:space="preserve">  </w:t>
      </w:r>
      <w:r>
        <w:rPr>
          <w:rFonts w:hint="eastAsia" w:ascii="宋体" w:hAnsi="宋体" w:eastAsia="宋体" w:cs="Times New Roman"/>
        </w:rPr>
        <w:t>本项目落实深圳市政府采购供应商诚信管理政策要求。</w:t>
      </w:r>
    </w:p>
    <w:p>
      <w:pPr>
        <w:ind w:firstLine="405"/>
        <w:rPr>
          <w:rFonts w:hint="default" w:ascii="Times New Roman" w:hAnsi="Times New Roman" w:eastAsia="宋体" w:cs="Times New Roman"/>
          <w:lang w:val="en-US" w:eastAsia="zh-CN"/>
        </w:rPr>
      </w:pPr>
      <w:r>
        <w:rPr>
          <w:rFonts w:hint="eastAsia" w:ascii="宋体" w:hAnsi="宋体" w:eastAsia="宋体" w:cs="Times New Roman"/>
          <w:lang w:val="en-US" w:eastAsia="zh-CN"/>
        </w:rPr>
        <w:t>6.3  本项目支持投标人性别平等的相关政策。</w:t>
      </w:r>
    </w:p>
    <w:p>
      <w:pPr>
        <w:rPr>
          <w:rFonts w:ascii="黑体" w:hAnsi="宋体" w:eastAsia="黑体" w:cs="Times New Roman"/>
          <w:sz w:val="24"/>
        </w:rPr>
      </w:pPr>
      <w:r>
        <w:rPr>
          <w:rFonts w:hint="eastAsia" w:ascii="黑体" w:hAnsi="宋体" w:eastAsia="黑体" w:cs="Times New Roman"/>
          <w:sz w:val="24"/>
        </w:rPr>
        <w:t>7. 本项目若涉及采购货物，则合格的货物及相应服务应满足以下要求：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 xml:space="preserve">.1  </w:t>
      </w:r>
      <w:r>
        <w:rPr>
          <w:rFonts w:hint="eastAsia" w:ascii="宋体" w:hAnsi="宋体" w:eastAsia="宋体" w:cs="Times New Roman"/>
        </w:rPr>
        <w:t>必须是全新、未使用过的原装合格正品（包括零部件），如安装或配置了软件的，须为正版软件。</w:t>
      </w:r>
    </w:p>
    <w:p>
      <w:pPr>
        <w:ind w:firstLine="411" w:firstLineChars="196"/>
        <w:rPr>
          <w:rFonts w:ascii="宋体" w:hAnsi="宋体" w:eastAsia="宋体" w:cs="Times New Roman"/>
        </w:rPr>
      </w:pPr>
      <w:r>
        <w:rPr>
          <w:rFonts w:hint="eastAsia" w:ascii="宋体" w:hAnsi="宋体" w:eastAsia="宋体" w:cs="Times New Roman"/>
        </w:rPr>
        <w:t>7.2  国产的货物及其有关服务必须符合中华人民共和国的设计、制造生产标准及行业标准。招标公告有其他要求的，亦应符合其要求。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w:t>
      </w:r>
      <w:r>
        <w:rPr>
          <w:rFonts w:ascii="宋体" w:hAnsi="宋体" w:eastAsia="宋体" w:cs="Times New Roman"/>
        </w:rPr>
        <w:t xml:space="preserve">  </w:t>
      </w:r>
      <w:r>
        <w:rPr>
          <w:rFonts w:hint="eastAsia" w:ascii="宋体" w:hAnsi="宋体" w:eastAsia="宋体" w:cs="Times New Roma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4</w:t>
      </w:r>
      <w:r>
        <w:rPr>
          <w:rFonts w:ascii="宋体" w:hAnsi="宋体" w:eastAsia="宋体" w:cs="Times New Roman"/>
        </w:rPr>
        <w:t xml:space="preserve">  </w:t>
      </w:r>
      <w:r>
        <w:rPr>
          <w:rFonts w:hint="eastAsia" w:ascii="宋体" w:hAnsi="宋体" w:eastAsia="宋体" w:cs="Times New Roman"/>
        </w:rPr>
        <w:t>投标人</w:t>
      </w:r>
      <w:bookmarkStart w:id="91" w:name="_Hlk72152753"/>
      <w:r>
        <w:rPr>
          <w:rFonts w:hint="eastAsia" w:ascii="宋体" w:hAnsi="宋体" w:eastAsia="宋体" w:cs="Times New Roma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91"/>
    </w:p>
    <w:p>
      <w:pPr>
        <w:ind w:firstLine="411" w:firstLineChars="196"/>
        <w:rPr>
          <w:rFonts w:ascii="宋体" w:hAnsi="宋体" w:eastAsia="宋体" w:cs="Times New Roman"/>
        </w:rPr>
      </w:pPr>
      <w:r>
        <w:rPr>
          <w:rFonts w:hint="eastAsia" w:ascii="宋体" w:hAnsi="宋体" w:eastAsia="宋体" w:cs="Times New Roma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ascii="宋体" w:hAnsi="宋体" w:eastAsia="宋体" w:cs="Times New Roman"/>
        </w:rPr>
      </w:pPr>
      <w:r>
        <w:rPr>
          <w:rFonts w:hint="eastAsia" w:ascii="宋体" w:hAnsi="宋体" w:eastAsia="宋体" w:cs="Times New Roman"/>
        </w:rPr>
        <w:t>7.6  工期要求：投标人在投标时对其所投项目应提交交货进度、交货计划等，在合同规定的时间内完成项目实施工作。</w:t>
      </w:r>
    </w:p>
    <w:p>
      <w:pPr>
        <w:ind w:firstLine="411" w:firstLineChars="196"/>
        <w:rPr>
          <w:rFonts w:ascii="宋体" w:hAnsi="宋体" w:eastAsia="宋体" w:cs="Times New Roman"/>
        </w:rPr>
      </w:pPr>
      <w:r>
        <w:rPr>
          <w:rFonts w:hint="eastAsia" w:ascii="宋体" w:hAnsi="宋体" w:eastAsia="宋体" w:cs="Times New Roman"/>
        </w:rPr>
        <w:t>7.7  投标人必须承担的设备运输、安装调试、验收检测和提供设备操作说明书、图纸等其他相关及类似的义务。</w:t>
      </w:r>
    </w:p>
    <w:p>
      <w:pPr>
        <w:rPr>
          <w:rFonts w:ascii="黑体" w:hAnsi="宋体" w:eastAsia="黑体" w:cs="Times New Roman"/>
          <w:sz w:val="24"/>
        </w:rPr>
      </w:pPr>
      <w:r>
        <w:rPr>
          <w:rFonts w:hint="eastAsia" w:ascii="黑体" w:hAnsi="宋体" w:eastAsia="黑体" w:cs="Times New Roman"/>
          <w:sz w:val="24"/>
        </w:rPr>
        <w:t>8．投标费用</w:t>
      </w:r>
    </w:p>
    <w:p>
      <w:pPr>
        <w:ind w:firstLine="411" w:firstLineChars="196"/>
        <w:rPr>
          <w:rFonts w:ascii="宋体" w:hAnsi="宋体" w:eastAsia="宋体" w:cs="Times New Roman"/>
          <w:szCs w:val="21"/>
        </w:rPr>
      </w:pPr>
      <w:r>
        <w:rPr>
          <w:rFonts w:hint="eastAsia" w:ascii="宋体" w:hAnsi="宋体" w:eastAsia="宋体" w:cs="Times New Roman"/>
          <w:szCs w:val="21"/>
        </w:rPr>
        <w:t>不论投标结果如何，投标人应承担其编制投标文件与递交投标文件所涉及的一切费用。</w:t>
      </w:r>
    </w:p>
    <w:p>
      <w:pPr>
        <w:rPr>
          <w:rFonts w:ascii="黑体" w:hAnsi="宋体" w:eastAsia="黑体" w:cs="Times New Roman"/>
          <w:sz w:val="24"/>
        </w:rPr>
      </w:pPr>
      <w:r>
        <w:rPr>
          <w:rFonts w:hint="eastAsia" w:ascii="黑体" w:hAnsi="宋体" w:eastAsia="黑体" w:cs="Times New Roman"/>
          <w:sz w:val="24"/>
        </w:rPr>
        <w:t>9．踏勘现场</w:t>
      </w:r>
    </w:p>
    <w:p>
      <w:pPr>
        <w:ind w:firstLine="411" w:firstLineChars="196"/>
        <w:rPr>
          <w:rFonts w:ascii="宋体" w:hAnsi="宋体" w:eastAsia="宋体" w:cs="Times New Roman"/>
          <w:szCs w:val="21"/>
        </w:rPr>
      </w:pPr>
      <w:r>
        <w:rPr>
          <w:rFonts w:hint="eastAsia" w:ascii="宋体" w:hAnsi="宋体" w:eastAsia="宋体" w:cs="Times New Roman"/>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ascii="宋体" w:hAnsi="宋体" w:eastAsia="宋体" w:cs="Times New Roman"/>
        </w:rPr>
      </w:pPr>
      <w:r>
        <w:rPr>
          <w:rFonts w:hint="eastAsia" w:ascii="宋体" w:hAnsi="宋体" w:eastAsia="宋体" w:cs="Times New Roman"/>
        </w:rPr>
        <w:t>9.2投标人及其人员经过采购人的允许，可以进入采购人的项目现场踏勘。若招标文件要求投标人于统一时间地点踏勘现场的，投标人应当按时前往。</w:t>
      </w:r>
    </w:p>
    <w:p>
      <w:pPr>
        <w:ind w:firstLine="411" w:firstLineChars="196"/>
        <w:rPr>
          <w:rFonts w:ascii="宋体" w:hAnsi="宋体" w:eastAsia="宋体" w:cs="Times New Roman"/>
        </w:rPr>
      </w:pPr>
      <w:r>
        <w:rPr>
          <w:rFonts w:hint="eastAsia" w:ascii="宋体" w:hAnsi="宋体" w:eastAsia="宋体" w:cs="Times New Roman"/>
        </w:rPr>
        <w:t>9.3采购人应当通过政府集中采购机构向投标人提供有关现场的书面资料和数据。</w:t>
      </w:r>
    </w:p>
    <w:p>
      <w:pPr>
        <w:ind w:firstLine="411" w:firstLineChars="196"/>
        <w:rPr>
          <w:rFonts w:ascii="宋体" w:hAnsi="宋体" w:eastAsia="宋体" w:cs="Times New Roman"/>
        </w:rPr>
      </w:pPr>
      <w:r>
        <w:rPr>
          <w:rFonts w:hint="eastAsia" w:ascii="宋体" w:hAnsi="宋体" w:eastAsia="宋体" w:cs="Times New Roman"/>
        </w:rPr>
        <w:t>9.4任何人或任何组织在踏勘现场时向投标人提供的任何书面资料或口头承诺，未经政府集中采购机构在网上发布或书面通知，均作无效处理。</w:t>
      </w:r>
    </w:p>
    <w:p>
      <w:pPr>
        <w:ind w:firstLine="411" w:firstLineChars="196"/>
        <w:rPr>
          <w:rFonts w:ascii="宋体" w:hAnsi="宋体" w:eastAsia="宋体" w:cs="Times New Roman"/>
        </w:rPr>
      </w:pPr>
      <w:r>
        <w:rPr>
          <w:rFonts w:ascii="宋体" w:hAnsi="宋体" w:eastAsia="宋体" w:cs="Times New Roman"/>
          <w:szCs w:val="21"/>
        </w:rPr>
        <w:t>9</w:t>
      </w:r>
      <w:r>
        <w:rPr>
          <w:rFonts w:hint="eastAsia" w:ascii="宋体" w:hAnsi="宋体" w:eastAsia="宋体" w:cs="Times New Roman"/>
          <w:szCs w:val="21"/>
        </w:rPr>
        <w:t>.</w:t>
      </w:r>
      <w:r>
        <w:rPr>
          <w:rFonts w:ascii="宋体" w:hAnsi="宋体" w:eastAsia="宋体" w:cs="Times New Roman"/>
          <w:szCs w:val="21"/>
        </w:rPr>
        <w:t>5</w:t>
      </w:r>
      <w:r>
        <w:rPr>
          <w:rFonts w:hint="eastAsia" w:ascii="宋体" w:hAnsi="宋体" w:eastAsia="宋体" w:cs="Times New Roman"/>
          <w:szCs w:val="21"/>
        </w:rPr>
        <w:t>未参与踏勘现场不作为否定投标人资格的理由。</w:t>
      </w:r>
    </w:p>
    <w:p>
      <w:pPr>
        <w:rPr>
          <w:rFonts w:ascii="宋体" w:hAnsi="宋体" w:eastAsia="宋体" w:cs="Times New Roman"/>
          <w:szCs w:val="21"/>
        </w:rPr>
      </w:pPr>
      <w:r>
        <w:rPr>
          <w:rFonts w:hint="eastAsia" w:ascii="黑体" w:hAnsi="宋体" w:eastAsia="黑体" w:cs="Times New Roman"/>
          <w:sz w:val="24"/>
        </w:rPr>
        <w:t>1</w:t>
      </w:r>
      <w:r>
        <w:rPr>
          <w:rFonts w:ascii="黑体" w:hAnsi="宋体" w:eastAsia="黑体" w:cs="Times New Roman"/>
          <w:sz w:val="24"/>
        </w:rPr>
        <w:t>0</w:t>
      </w:r>
      <w:r>
        <w:rPr>
          <w:rFonts w:hint="eastAsia" w:ascii="黑体" w:hAnsi="宋体" w:eastAsia="黑体" w:cs="Times New Roman"/>
          <w:sz w:val="24"/>
        </w:rPr>
        <w:t>．标前会议</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如采购人或政府集中采购机构认为有必要组织标前会议，投标人应按照招标文件规定的时间或政府集中采购机构另行书面通知（包括网站发布方式，如更正公告等）的时间和地点，参与标前会议。</w:t>
      </w:r>
    </w:p>
    <w:p>
      <w:pPr>
        <w:ind w:firstLine="411" w:firstLineChars="196"/>
        <w:rPr>
          <w:rFonts w:ascii="宋体" w:hAnsi="宋体" w:eastAsia="宋体" w:cs="Times New Roman"/>
          <w:szCs w:val="21"/>
        </w:rPr>
      </w:pPr>
      <w:r>
        <w:rPr>
          <w:rFonts w:ascii="宋体" w:hAnsi="宋体" w:eastAsia="宋体" w:cs="Times New Roman"/>
        </w:rPr>
        <w:t>10</w:t>
      </w:r>
      <w:r>
        <w:rPr>
          <w:rFonts w:hint="eastAsia" w:ascii="宋体" w:hAnsi="宋体" w:eastAsia="宋体" w:cs="Times New Roman"/>
        </w:rPr>
        <w:t>.</w:t>
      </w:r>
      <w:r>
        <w:rPr>
          <w:rFonts w:ascii="宋体" w:hAnsi="宋体" w:eastAsia="宋体" w:cs="Times New Roman"/>
        </w:rPr>
        <w:t>2</w:t>
      </w:r>
      <w:r>
        <w:rPr>
          <w:rFonts w:hint="eastAsia" w:ascii="宋体" w:hAnsi="宋体" w:eastAsia="宋体" w:cs="Times New Roman"/>
        </w:rPr>
        <w:t>任何人或任何组织在标前会议时向投标人提供的任何书面资料或口头承诺，未经政府集中采购机构在网上发布或书面通知，均作无效处理。</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未参与标前会议不作为否定投标人资格的理由。</w:t>
      </w:r>
    </w:p>
    <w:bookmarkEnd w:id="90"/>
    <w:p>
      <w:pPr>
        <w:ind w:firstLine="411" w:firstLineChars="196"/>
        <w:rPr>
          <w:rFonts w:ascii="宋体" w:hAnsi="宋体" w:eastAsia="宋体" w:cs="Times New Roman"/>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招标文件</w:t>
      </w:r>
    </w:p>
    <w:p>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1</w:t>
      </w:r>
      <w:r>
        <w:rPr>
          <w:rFonts w:hint="eastAsia" w:ascii="黑体" w:hAnsi="宋体" w:eastAsia="黑体" w:cs="Times New Roman"/>
          <w:sz w:val="24"/>
        </w:rPr>
        <w:t>．</w:t>
      </w:r>
      <w:bookmarkStart w:id="92" w:name="_Hlk72399819"/>
      <w:r>
        <w:rPr>
          <w:rFonts w:hint="eastAsia" w:ascii="黑体" w:hAnsi="宋体" w:eastAsia="黑体" w:cs="Times New Roman"/>
          <w:sz w:val="24"/>
        </w:rPr>
        <w:t>招标文件的编制与组成</w:t>
      </w:r>
    </w:p>
    <w:p>
      <w:pPr>
        <w:snapToGrid w:val="0"/>
        <w:ind w:firstLine="420" w:firstLineChars="20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.1招标文件除以下内容外，政府集中采购机构在招标期间发出的澄清或修改等相关公告或通知内容，均是招标文件的组成部分，对投标人起约束作用；</w:t>
      </w:r>
    </w:p>
    <w:p>
      <w:pPr>
        <w:ind w:firstLine="411" w:firstLineChars="196"/>
        <w:rPr>
          <w:rFonts w:ascii="宋体" w:hAnsi="宋体" w:eastAsia="宋体" w:cs="Times New Roman"/>
          <w:szCs w:val="21"/>
        </w:rPr>
      </w:pPr>
      <w:r>
        <w:rPr>
          <w:rFonts w:hint="eastAsia" w:ascii="宋体" w:hAnsi="宋体" w:eastAsia="宋体" w:cs="Times New Roman"/>
          <w:szCs w:val="21"/>
        </w:rPr>
        <w:t>招标文件包括下列内容：</w:t>
      </w:r>
    </w:p>
    <w:p>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第一册  专用条款</w:t>
      </w:r>
    </w:p>
    <w:p>
      <w:pPr>
        <w:ind w:left="1079" w:leftChars="514"/>
        <w:rPr>
          <w:rFonts w:ascii="宋体" w:hAnsi="宋体" w:eastAsia="宋体" w:cs="Times New Roman"/>
          <w:b/>
          <w:szCs w:val="21"/>
        </w:rPr>
      </w:pPr>
      <w:r>
        <w:rPr>
          <w:rFonts w:hint="eastAsia" w:ascii="宋体" w:hAnsi="宋体" w:eastAsia="宋体" w:cs="Times New Roman"/>
          <w:b/>
          <w:szCs w:val="21"/>
        </w:rPr>
        <w:t>关键信息</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招标公告</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对通用条款的补充内容及其他关键信息</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用户需求书</w:t>
      </w:r>
    </w:p>
    <w:p>
      <w:pPr>
        <w:ind w:left="630" w:leftChars="300" w:firstLine="411" w:firstLineChars="196"/>
        <w:rPr>
          <w:rFonts w:ascii="宋体" w:hAnsi="宋体" w:eastAsia="宋体" w:cs="Times New Roman"/>
          <w:szCs w:val="21"/>
        </w:rPr>
      </w:pPr>
      <w:r>
        <w:rPr>
          <w:rFonts w:hint="eastAsia" w:ascii="Times New Roman" w:hAnsi="Times New Roman" w:eastAsia="宋体" w:cs="Times New Roman"/>
        </w:rPr>
        <w:t xml:space="preserve">第四章 </w:t>
      </w:r>
      <w:r>
        <w:rPr>
          <w:rFonts w:ascii="Times New Roman" w:hAnsi="Times New Roman" w:eastAsia="宋体" w:cs="Times New Roman"/>
        </w:rPr>
        <w:t xml:space="preserve"> </w:t>
      </w:r>
      <w:r>
        <w:rPr>
          <w:rFonts w:hint="eastAsia" w:ascii="Times New Roman" w:hAnsi="Times New Roman" w:eastAsia="宋体" w:cs="Times New Roman"/>
        </w:rPr>
        <w:t>投标文件格式及附件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合同条款及格式</w:t>
      </w:r>
    </w:p>
    <w:p>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第二册  通用条款</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总则</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招标文件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投标文件的编制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第四章  投标文件的递交</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开标</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第六章  评审要求</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第七章  评审程序及评审方法</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第八章  定标及公示</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第九章  公开招标失败的后续处理</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第十章  合同的授予与备案</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第十一章  质疑处理</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hint="eastAsia" w:ascii="宋体" w:hAnsi="宋体" w:eastAsia="宋体" w:cs="Times New Roman"/>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.3</w:t>
      </w:r>
      <w:r>
        <w:rPr>
          <w:rFonts w:hint="eastAsia" w:ascii="宋体" w:hAnsi="宋体" w:eastAsia="宋体" w:cs="Times New Roma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ind w:firstLine="411" w:firstLineChars="196"/>
        <w:rPr>
          <w:rFonts w:hint="eastAsia" w:ascii="宋体" w:hAnsi="宋体" w:eastAsia="宋体" w:cs="Times New Roman"/>
        </w:rPr>
      </w:pPr>
      <w:r>
        <w:rPr>
          <w:rFonts w:hint="eastAsia" w:ascii="宋体" w:hAnsi="宋体" w:eastAsia="宋体" w:cs="Times New Roman"/>
        </w:rPr>
        <w:t>11.4招标文件所称“原件备查”，是指在项目产生质疑、投诉等阶段，主管部门、采购人、代理机构、评审委员会等可以要求供应商提供原件进行核查。</w:t>
      </w:r>
    </w:p>
    <w:p>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2</w:t>
      </w:r>
      <w:r>
        <w:rPr>
          <w:rFonts w:hint="eastAsia" w:ascii="黑体" w:hAnsi="宋体" w:eastAsia="黑体" w:cs="Times New Roman"/>
          <w:sz w:val="24"/>
        </w:rPr>
        <w:t>．招标文件的澄清</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.1招标文件澄清的目的是澄清、解答投标人在查阅招标文件后或现场踏勘中可能提出的与投标有关的疑问或询问。</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.2投标人如对招标文件内容有疑问，应当在招标公告规定的澄清（提问）截止时间前以网上提问的形式通过网上</w:t>
      </w:r>
      <w:r>
        <w:rPr>
          <w:rFonts w:hint="eastAsia" w:ascii="宋体" w:hAnsi="宋体" w:cs="Times New Roman"/>
          <w:szCs w:val="21"/>
          <w:lang w:val="en-US" w:eastAsia="zh-CN"/>
        </w:rPr>
        <w:t>自行</w:t>
      </w:r>
      <w:r>
        <w:rPr>
          <w:rFonts w:hint="eastAsia" w:ascii="宋体" w:hAnsi="宋体" w:eastAsia="宋体" w:cs="Times New Roman"/>
          <w:szCs w:val="21"/>
        </w:rPr>
        <w:t>采购系统提交政府集中采购机构。</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3不论是政府集中采购机构根据需要主动对招标文件进行必要的澄清或是根据投标人的要求对招标文件做出澄清，政府集中采购机构都将在投标截止日期前以书面形式（包括网站发布方式）答复或发送给所有投标人。答复内容是招标文件的组成部分，对投标人起约束作用，其有效性按照本通用条款第1</w:t>
      </w:r>
      <w:r>
        <w:rPr>
          <w:rFonts w:ascii="宋体" w:hAnsi="宋体" w:eastAsia="宋体" w:cs="Times New Roman"/>
          <w:szCs w:val="21"/>
        </w:rPr>
        <w:t>3.3</w:t>
      </w:r>
      <w:r>
        <w:rPr>
          <w:rFonts w:hint="eastAsia" w:ascii="宋体" w:hAnsi="宋体" w:eastAsia="宋体" w:cs="Times New Roman"/>
          <w:szCs w:val="21"/>
        </w:rPr>
        <w:t>、1</w:t>
      </w:r>
      <w:r>
        <w:rPr>
          <w:rFonts w:ascii="宋体" w:hAnsi="宋体" w:eastAsia="宋体" w:cs="Times New Roman"/>
          <w:szCs w:val="21"/>
        </w:rPr>
        <w:t>3.4</w:t>
      </w:r>
      <w:r>
        <w:rPr>
          <w:rFonts w:hint="eastAsia" w:ascii="宋体" w:hAnsi="宋体" w:eastAsia="宋体" w:cs="Times New Roman"/>
          <w:szCs w:val="21"/>
        </w:rPr>
        <w:t>款规定执行。</w:t>
      </w:r>
    </w:p>
    <w:p>
      <w:pPr>
        <w:rPr>
          <w:rFonts w:ascii="黑体" w:hAnsi="宋体" w:eastAsia="黑体" w:cs="Times New Roman"/>
          <w:sz w:val="24"/>
        </w:rPr>
      </w:pPr>
      <w:r>
        <w:rPr>
          <w:rFonts w:ascii="黑体" w:hAnsi="宋体" w:eastAsia="黑体" w:cs="Times New Roman"/>
          <w:sz w:val="24"/>
        </w:rPr>
        <w:t>1</w:t>
      </w:r>
      <w:r>
        <w:rPr>
          <w:rFonts w:hint="eastAsia" w:ascii="黑体" w:hAnsi="宋体" w:eastAsia="黑体" w:cs="Times New Roman"/>
          <w:sz w:val="24"/>
        </w:rPr>
        <w:t>3．招标文件的修改</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3.1招标文件发出后，在投标截止日期前任何时候，确需要变更招标文件内容的，政府集中采购机构可主动或在解答投标人提出的澄清问题时对招标文件进行修改。</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3.2招标文件的修改以书面形式（包括网站发布方式，如更正公告等）发送给所有投标人，招标文件的修改内容作为招标文件的组成部分，并具有约束力。</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3.3招标文件、招标文件澄清答复内容、招标文件修改补充内容均以书面形式（包括网站公开发布方式，如更正公告等）明确的内容为准。当招标文件、修改补充通知、招标文件澄清答复内容相互矛盾时，以最后发出的内容为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92"/>
    </w:p>
    <w:p>
      <w:pPr>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投标文件的编制</w:t>
      </w:r>
    </w:p>
    <w:p>
      <w:pPr>
        <w:rPr>
          <w:rFonts w:ascii="黑体" w:hAnsi="宋体" w:eastAsia="黑体" w:cs="Times New Roman"/>
          <w:sz w:val="24"/>
        </w:rPr>
      </w:pPr>
      <w:r>
        <w:rPr>
          <w:rFonts w:hint="eastAsia" w:ascii="黑体" w:hAnsi="宋体" w:eastAsia="黑体" w:cs="Times New Roman"/>
          <w:sz w:val="24"/>
        </w:rPr>
        <w:t>14．</w:t>
      </w:r>
      <w:bookmarkStart w:id="93" w:name="_Hlk72400236"/>
      <w:r>
        <w:rPr>
          <w:rFonts w:hint="eastAsia" w:ascii="黑体" w:hAnsi="宋体" w:eastAsia="黑体" w:cs="Times New Roman"/>
          <w:sz w:val="24"/>
        </w:rPr>
        <w:t>投标文件的语言及度量单位</w:t>
      </w:r>
    </w:p>
    <w:p>
      <w:pPr>
        <w:ind w:firstLine="411" w:firstLineChars="196"/>
        <w:rPr>
          <w:rFonts w:ascii="宋体" w:hAnsi="宋体" w:eastAsia="宋体" w:cs="Times New Roman"/>
          <w:szCs w:val="21"/>
        </w:rPr>
      </w:pPr>
      <w:r>
        <w:rPr>
          <w:rFonts w:hint="eastAsia" w:ascii="宋体" w:hAnsi="宋体" w:eastAsia="宋体" w:cs="Times New Roman"/>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ind w:firstLine="411" w:firstLineChars="196"/>
        <w:rPr>
          <w:rFonts w:ascii="宋体" w:hAnsi="宋体" w:eastAsia="宋体" w:cs="Times New Roman"/>
          <w:szCs w:val="21"/>
        </w:rPr>
      </w:pPr>
      <w:r>
        <w:rPr>
          <w:rFonts w:hint="eastAsia" w:ascii="宋体" w:hAnsi="宋体" w:eastAsia="宋体" w:cs="Times New Roman"/>
          <w:szCs w:val="21"/>
        </w:rPr>
        <w:t>14.2 除技术规范另有规定外，投标文件使用的度量单位，均采用中华人民共和国法定计量单位。</w:t>
      </w:r>
    </w:p>
    <w:bookmarkEnd w:id="93"/>
    <w:p>
      <w:pPr>
        <w:rPr>
          <w:rFonts w:ascii="黑体" w:hAnsi="宋体" w:eastAsia="黑体" w:cs="Times New Roman"/>
          <w:sz w:val="24"/>
        </w:rPr>
      </w:pPr>
      <w:r>
        <w:rPr>
          <w:rFonts w:hint="eastAsia" w:ascii="黑体" w:hAnsi="宋体" w:eastAsia="黑体" w:cs="Times New Roman"/>
          <w:sz w:val="24"/>
        </w:rPr>
        <w:t>15．</w:t>
      </w:r>
      <w:bookmarkStart w:id="94" w:name="_Hlk72401567"/>
      <w:r>
        <w:rPr>
          <w:rFonts w:hint="eastAsia" w:ascii="黑体" w:hAnsi="宋体" w:eastAsia="黑体" w:cs="Times New Roman"/>
          <w:sz w:val="24"/>
        </w:rPr>
        <w:t>投标文件的组成</w:t>
      </w:r>
    </w:p>
    <w:p>
      <w:pPr>
        <w:ind w:firstLine="411" w:firstLineChars="196"/>
        <w:rPr>
          <w:rFonts w:ascii="宋体" w:hAnsi="宋体" w:eastAsia="宋体" w:cs="Times New Roman"/>
          <w:szCs w:val="21"/>
        </w:rPr>
      </w:pPr>
      <w:r>
        <w:rPr>
          <w:rFonts w:hint="eastAsia" w:ascii="宋体" w:hAnsi="宋体" w:eastAsia="宋体" w:cs="Times New Roman"/>
          <w:szCs w:val="21"/>
        </w:rPr>
        <w:t>具体内容在招标文件专用条款中进行规定。</w:t>
      </w:r>
    </w:p>
    <w:p>
      <w:pPr>
        <w:rPr>
          <w:rFonts w:ascii="黑体" w:hAnsi="宋体" w:eastAsia="黑体" w:cs="Times New Roman"/>
          <w:sz w:val="24"/>
        </w:rPr>
      </w:pPr>
      <w:r>
        <w:rPr>
          <w:rFonts w:ascii="黑体" w:hAnsi="宋体" w:eastAsia="黑体" w:cs="Times New Roman"/>
          <w:sz w:val="24"/>
        </w:rPr>
        <w:t>16．投标文件格式</w:t>
      </w:r>
    </w:p>
    <w:p>
      <w:pPr>
        <w:ind w:firstLine="411" w:firstLineChars="196"/>
        <w:rPr>
          <w:rFonts w:ascii="宋体" w:hAnsi="宋体" w:eastAsia="宋体" w:cs="Times New Roman"/>
          <w:szCs w:val="21"/>
        </w:rPr>
      </w:pPr>
      <w:r>
        <w:rPr>
          <w:rFonts w:hint="eastAsia" w:ascii="宋体" w:hAnsi="宋体" w:eastAsia="宋体" w:cs="Times New Roman"/>
          <w:szCs w:val="21"/>
        </w:rPr>
        <w:t>投标文件包括本通用条款第</w:t>
      </w:r>
      <w:r>
        <w:rPr>
          <w:rFonts w:ascii="宋体" w:hAnsi="宋体" w:eastAsia="宋体" w:cs="Times New Roman"/>
          <w:szCs w:val="21"/>
        </w:rPr>
        <w:t>15条中规定的内容。如招标文件提供了投标文件格式，则</w:t>
      </w:r>
      <w:r>
        <w:rPr>
          <w:rFonts w:hint="eastAsia" w:ascii="宋体" w:hAnsi="宋体" w:eastAsia="宋体" w:cs="Times New Roman"/>
          <w:b/>
          <w:bCs/>
          <w:szCs w:val="21"/>
        </w:rPr>
        <w:t>投标人提交的投标文件应毫无例外地使用招标文件所提供的相应格式</w:t>
      </w:r>
      <w:r>
        <w:rPr>
          <w:rFonts w:hint="eastAsia" w:ascii="宋体" w:hAnsi="宋体" w:eastAsia="宋体" w:cs="Times New Roman"/>
          <w:szCs w:val="21"/>
        </w:rPr>
        <w:t>（表格均可按同样格式扩展）。</w:t>
      </w:r>
    </w:p>
    <w:p>
      <w:pPr>
        <w:rPr>
          <w:rFonts w:ascii="黑体" w:hAnsi="宋体" w:eastAsia="黑体" w:cs="Times New Roman"/>
          <w:sz w:val="24"/>
        </w:rPr>
      </w:pPr>
      <w:r>
        <w:rPr>
          <w:rFonts w:hint="eastAsia" w:ascii="黑体" w:hAnsi="宋体" w:eastAsia="黑体" w:cs="Times New Roman"/>
          <w:sz w:val="24"/>
        </w:rPr>
        <w:t>17．投标货币</w:t>
      </w:r>
    </w:p>
    <w:p>
      <w:pPr>
        <w:ind w:firstLine="411" w:firstLineChars="196"/>
        <w:rPr>
          <w:rFonts w:ascii="宋体" w:hAnsi="宋体" w:eastAsia="宋体" w:cs="Times New Roman"/>
          <w:szCs w:val="21"/>
        </w:rPr>
      </w:pPr>
      <w:r>
        <w:rPr>
          <w:rFonts w:hint="eastAsia" w:ascii="宋体" w:hAnsi="宋体" w:eastAsia="宋体" w:cs="Times New Roman"/>
          <w:szCs w:val="21"/>
        </w:rPr>
        <w:t>本项目的投标报价应以人民币计。</w:t>
      </w:r>
    </w:p>
    <w:bookmarkEnd w:id="94"/>
    <w:p>
      <w:pPr>
        <w:rPr>
          <w:rFonts w:ascii="黑体" w:hAnsi="宋体" w:eastAsia="黑体" w:cs="Times New Roman"/>
          <w:sz w:val="24"/>
        </w:rPr>
      </w:pPr>
      <w:r>
        <w:rPr>
          <w:rFonts w:hint="eastAsia" w:ascii="黑体" w:hAnsi="宋体" w:eastAsia="黑体" w:cs="Times New Roman"/>
          <w:sz w:val="24"/>
        </w:rPr>
        <w:t>18．</w:t>
      </w:r>
      <w:bookmarkStart w:id="95" w:name="_Hlk72401735"/>
      <w:r>
        <w:rPr>
          <w:rFonts w:hint="eastAsia" w:ascii="黑体" w:hAnsi="宋体" w:eastAsia="黑体" w:cs="Times New Roman"/>
          <w:sz w:val="24"/>
        </w:rPr>
        <w:t>证明投标文件投标技术方案的合格性和符合招标文件规定的文件要求</w:t>
      </w:r>
    </w:p>
    <w:p>
      <w:pPr>
        <w:ind w:firstLine="411" w:firstLineChars="196"/>
        <w:rPr>
          <w:rFonts w:ascii="宋体" w:hAnsi="宋体" w:eastAsia="宋体" w:cs="Times New Roman"/>
          <w:szCs w:val="21"/>
        </w:rPr>
      </w:pPr>
      <w:r>
        <w:rPr>
          <w:rFonts w:hint="eastAsia" w:ascii="宋体" w:hAnsi="宋体" w:eastAsia="宋体" w:cs="Times New Roman"/>
          <w:szCs w:val="21"/>
        </w:rPr>
        <w:t>18</w:t>
      </w:r>
      <w:r>
        <w:rPr>
          <w:rFonts w:ascii="宋体" w:hAnsi="宋体" w:eastAsia="宋体" w:cs="Times New Roman"/>
          <w:szCs w:val="21"/>
        </w:rPr>
        <w:t xml:space="preserve">.1 </w:t>
      </w:r>
      <w:r>
        <w:rPr>
          <w:rFonts w:hint="eastAsia" w:ascii="宋体" w:hAnsi="宋体" w:eastAsia="宋体" w:cs="Times New Roman"/>
          <w:szCs w:val="21"/>
        </w:rPr>
        <w:t>投标人应提交证明文件，证明其投标技术方案项下的货物和服务的合格性符合招标文件规定。该投标技术方案及其证明文件均作为投标文件组成部分。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 xml:space="preserve">.2 </w:t>
      </w:r>
      <w:r>
        <w:rPr>
          <w:rFonts w:hint="eastAsia" w:ascii="宋体" w:hAnsi="宋体" w:eastAsia="宋体" w:cs="Times New Roman"/>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ascii="宋体" w:hAnsi="宋体" w:eastAsia="宋体" w:cs="Times New Roman"/>
          <w:szCs w:val="21"/>
        </w:rPr>
      </w:pPr>
      <w:r>
        <w:rPr>
          <w:rFonts w:hint="eastAsia" w:ascii="宋体" w:hAnsi="宋体" w:eastAsia="宋体" w:cs="Times New Roman"/>
          <w:szCs w:val="21"/>
        </w:rPr>
        <w:t>18.2.1主要技术指标和性能的详细说明。</w:t>
      </w:r>
    </w:p>
    <w:p>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2</w:t>
      </w:r>
      <w:r>
        <w:rPr>
          <w:rFonts w:hint="eastAsia" w:ascii="宋体" w:hAnsi="宋体" w:eastAsia="宋体" w:cs="Times New Roman"/>
          <w:szCs w:val="21"/>
        </w:rPr>
        <w:t>投标产品从采购人开始使用至招标文件中规定的周期内正常、连续地使用所必须的备件和专用工具清单，包括备件和专用工具的货源及现行价格。</w:t>
      </w:r>
    </w:p>
    <w:p>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3</w:t>
      </w:r>
      <w:r>
        <w:rPr>
          <w:rFonts w:hint="eastAsia" w:ascii="宋体" w:hAnsi="宋体" w:eastAsia="宋体" w:cs="Times New Roman"/>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ascii="宋体" w:hAnsi="宋体" w:eastAsia="宋体" w:cs="Times New Roman"/>
          <w:szCs w:val="21"/>
        </w:rPr>
      </w:pPr>
      <w:r>
        <w:rPr>
          <w:rFonts w:hint="eastAsia" w:ascii="宋体" w:hAnsi="宋体" w:eastAsia="宋体" w:cs="Times New Roman"/>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ascii="Times New Roman" w:hAnsi="Times New Roman" w:eastAsia="宋体" w:cs="Times New Roman"/>
        </w:rPr>
        <w:t>清晰度要求能够使用电脑阅读、识别和判断</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ascii="宋体" w:hAnsi="宋体" w:eastAsia="宋体" w:cs="Times New Roman"/>
          <w:szCs w:val="21"/>
        </w:rPr>
      </w:pPr>
      <w:r>
        <w:rPr>
          <w:rFonts w:hint="eastAsia" w:ascii="宋体" w:hAnsi="宋体" w:eastAsia="宋体" w:cs="Times New Roman"/>
          <w:szCs w:val="21"/>
        </w:rPr>
        <w:t>18.3相关资料不符合18.2款要求的，评审委员会有权认定为投标技术方案不合格响应，其相关分数予以扣减或作投标无效处理。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ascii="Times New Roman" w:hAnsi="Times New Roman" w:eastAsia="宋体" w:cs="Times New Roman"/>
        </w:rPr>
        <w:t>满足要求</w:t>
      </w:r>
      <w:r>
        <w:rPr>
          <w:rFonts w:hint="eastAsia" w:ascii="宋体" w:hAnsi="宋体" w:eastAsia="宋体" w:cs="Times New Roman"/>
          <w:szCs w:val="21"/>
        </w:rPr>
        <w:t>，由评审委员会来评判。</w:t>
      </w:r>
    </w:p>
    <w:p>
      <w:pPr>
        <w:ind w:firstLine="411" w:firstLineChars="196"/>
        <w:rPr>
          <w:rFonts w:ascii="宋体" w:hAnsi="宋体" w:eastAsia="宋体" w:cs="Times New Roman"/>
          <w:szCs w:val="21"/>
        </w:rPr>
      </w:pPr>
      <w:r>
        <w:rPr>
          <w:rFonts w:hint="eastAsia" w:ascii="宋体" w:hAnsi="宋体" w:eastAsia="宋体" w:cs="Times New Roman"/>
          <w:szCs w:val="21"/>
        </w:rPr>
        <w:t>18.5除非另有规定或说明，投标人对同一项目投标时，不得同时提供两套或两套以上的投标方案。</w:t>
      </w:r>
    </w:p>
    <w:bookmarkEnd w:id="95"/>
    <w:p>
      <w:pPr>
        <w:rPr>
          <w:rFonts w:ascii="黑体" w:hAnsi="宋体" w:eastAsia="黑体" w:cs="Times New Roman"/>
          <w:sz w:val="24"/>
        </w:rPr>
      </w:pPr>
      <w:r>
        <w:rPr>
          <w:rFonts w:hint="eastAsia" w:ascii="黑体" w:hAnsi="宋体" w:eastAsia="黑体" w:cs="Times New Roman"/>
          <w:sz w:val="24"/>
        </w:rPr>
        <w:t>19．</w:t>
      </w:r>
      <w:bookmarkStart w:id="96" w:name="_Hlk72402034"/>
      <w:r>
        <w:rPr>
          <w:rFonts w:hint="eastAsia" w:ascii="黑体" w:hAnsi="宋体" w:eastAsia="黑体" w:cs="Times New Roman"/>
          <w:sz w:val="24"/>
        </w:rPr>
        <w:t>投标文件其他证明文件的要求</w:t>
      </w:r>
    </w:p>
    <w:p>
      <w:pPr>
        <w:rPr>
          <w:rFonts w:ascii="宋体" w:hAnsi="宋体" w:eastAsia="宋体" w:cs="Times New Roman"/>
          <w:color w:val="FF0000"/>
          <w:szCs w:val="21"/>
        </w:rPr>
      </w:pPr>
      <w:r>
        <w:rPr>
          <w:rFonts w:hint="eastAsia" w:ascii="黑体" w:hAnsi="宋体" w:eastAsia="黑体" w:cs="Times New Roman"/>
          <w:sz w:val="24"/>
        </w:rPr>
        <w:t xml:space="preserve">    </w:t>
      </w:r>
      <w:r>
        <w:rPr>
          <w:rFonts w:hint="eastAsia" w:ascii="宋体" w:hAnsi="宋体" w:eastAsia="宋体" w:cs="Times New Roman"/>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97" w:name="_Hlk71407299"/>
      <w:r>
        <w:rPr>
          <w:rFonts w:hint="eastAsia" w:ascii="宋体" w:hAnsi="宋体" w:eastAsia="宋体" w:cs="Times New Roman"/>
          <w:szCs w:val="21"/>
        </w:rPr>
        <w:t>若投标人未按要求提供证明材料或提供的是部分证明材料或提供不清晰的扫描件（或照片）的，采购人</w:t>
      </w:r>
      <w:r>
        <w:rPr>
          <w:rFonts w:hint="eastAsia" w:ascii="宋体" w:hAnsi="宋体" w:eastAsia="宋体" w:cs="Times New Roman"/>
          <w:szCs w:val="21"/>
          <w:lang w:eastAsia="zh-CN"/>
        </w:rPr>
        <w:t>、</w:t>
      </w:r>
      <w:r>
        <w:rPr>
          <w:rFonts w:hint="eastAsia" w:ascii="宋体" w:hAnsi="宋体" w:eastAsia="宋体" w:cs="Times New Roman"/>
          <w:szCs w:val="21"/>
        </w:rPr>
        <w:t>代理机构</w:t>
      </w:r>
      <w:r>
        <w:rPr>
          <w:rFonts w:hint="eastAsia" w:ascii="宋体" w:hAnsi="宋体" w:eastAsia="宋体" w:cs="Times New Roman"/>
          <w:szCs w:val="21"/>
          <w:lang w:val="en-US" w:eastAsia="zh-CN"/>
        </w:rPr>
        <w:t>及</w:t>
      </w:r>
      <w:r>
        <w:rPr>
          <w:rFonts w:hint="eastAsia" w:ascii="宋体" w:hAnsi="宋体" w:eastAsia="宋体" w:cs="Times New Roman"/>
          <w:szCs w:val="21"/>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97"/>
    <w:p>
      <w:pPr>
        <w:ind w:firstLine="411" w:firstLineChars="196"/>
        <w:rPr>
          <w:rFonts w:ascii="宋体" w:hAnsi="宋体" w:eastAsia="宋体" w:cs="Times New Roman"/>
          <w:szCs w:val="21"/>
        </w:rPr>
      </w:pPr>
      <w:r>
        <w:rPr>
          <w:rFonts w:hint="eastAsia" w:ascii="宋体" w:hAnsi="宋体" w:eastAsia="宋体" w:cs="Times New Roman"/>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cs="Times New Roman"/>
          <w:sz w:val="24"/>
        </w:rPr>
      </w:pPr>
      <w:r>
        <w:rPr>
          <w:rFonts w:hint="eastAsia" w:ascii="黑体" w:hAnsi="宋体" w:eastAsia="黑体" w:cs="Times New Roman"/>
          <w:sz w:val="24"/>
        </w:rPr>
        <w:t>20．投标有效期</w:t>
      </w:r>
    </w:p>
    <w:bookmarkEnd w:id="96"/>
    <w:p>
      <w:pPr>
        <w:ind w:firstLine="411" w:firstLineChars="196"/>
        <w:rPr>
          <w:rFonts w:ascii="宋体" w:hAnsi="宋体" w:eastAsia="宋体" w:cs="Times New Roman"/>
          <w:szCs w:val="21"/>
        </w:rPr>
      </w:pPr>
      <w:bookmarkStart w:id="98" w:name="_Hlk72402214"/>
      <w:r>
        <w:rPr>
          <w:rFonts w:hint="eastAsia" w:ascii="宋体" w:hAnsi="宋体" w:eastAsia="宋体" w:cs="Times New Roman"/>
          <w:szCs w:val="21"/>
        </w:rPr>
        <w:t>20.1 投标有效期为</w:t>
      </w:r>
      <w:r>
        <w:rPr>
          <w:rFonts w:hint="eastAsia" w:ascii="Arial" w:hAnsi="Arial" w:eastAsia="宋体" w:cs="Arial"/>
          <w:szCs w:val="21"/>
        </w:rPr>
        <w:t>从投标截止之日算起的日历天数。</w:t>
      </w:r>
      <w:r>
        <w:rPr>
          <w:rFonts w:hint="eastAsia" w:ascii="宋体" w:hAnsi="宋体" w:eastAsia="宋体" w:cs="Times New Roman"/>
          <w:szCs w:val="21"/>
        </w:rPr>
        <w:t>在此期限内，所有投标文件均保持有效。</w:t>
      </w:r>
    </w:p>
    <w:p>
      <w:pPr>
        <w:ind w:firstLine="411" w:firstLineChars="196"/>
        <w:rPr>
          <w:rFonts w:ascii="宋体" w:hAnsi="宋体" w:eastAsia="宋体" w:cs="Times New Roman"/>
          <w:szCs w:val="21"/>
        </w:rPr>
      </w:pPr>
      <w:r>
        <w:rPr>
          <w:rFonts w:hint="eastAsia" w:ascii="宋体" w:hAnsi="宋体" w:eastAsia="宋体" w:cs="Times New Roman"/>
          <w:szCs w:val="21"/>
        </w:rPr>
        <w:t>20.2 在特殊情况下，政府集中采购机构在原定的投标有效期满之前，政府集中采购机构可以根据需要以书面形式（包括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ascii="宋体" w:hAnsi="宋体" w:eastAsia="宋体" w:cs="Times New Roman"/>
          <w:szCs w:val="21"/>
        </w:rPr>
      </w:pPr>
      <w:r>
        <w:rPr>
          <w:rFonts w:hint="eastAsia" w:ascii="宋体" w:hAnsi="宋体" w:eastAsia="宋体" w:cs="Times New Roman"/>
          <w:szCs w:val="21"/>
        </w:rPr>
        <w:t>20</w:t>
      </w:r>
      <w:r>
        <w:rPr>
          <w:rFonts w:ascii="宋体" w:hAnsi="宋体" w:eastAsia="宋体" w:cs="Times New Roman"/>
          <w:szCs w:val="21"/>
        </w:rPr>
        <w:t>.3</w:t>
      </w:r>
      <w:r>
        <w:rPr>
          <w:rFonts w:hint="eastAsia" w:ascii="宋体" w:hAnsi="宋体" w:eastAsia="宋体" w:cs="Times New Roman"/>
          <w:szCs w:val="21"/>
        </w:rPr>
        <w:t xml:space="preserve"> 中标供应商的投标文件有效期，截止于完成本招标文件规定的全部项目内容，并通过竣工验收及保修期结束。</w:t>
      </w:r>
    </w:p>
    <w:bookmarkEnd w:id="98"/>
    <w:p>
      <w:pPr>
        <w:rPr>
          <w:rFonts w:ascii="黑体" w:hAnsi="宋体" w:eastAsia="黑体" w:cs="Times New Roman"/>
          <w:sz w:val="24"/>
        </w:rPr>
      </w:pPr>
      <w:r>
        <w:rPr>
          <w:rFonts w:hint="eastAsia" w:ascii="黑体" w:hAnsi="宋体" w:eastAsia="黑体" w:cs="Times New Roman"/>
          <w:sz w:val="24"/>
        </w:rPr>
        <w:t>21．</w:t>
      </w:r>
      <w:bookmarkStart w:id="99" w:name="_Hlk72402325"/>
      <w:r>
        <w:rPr>
          <w:rFonts w:hint="eastAsia" w:ascii="黑体" w:hAnsi="宋体" w:eastAsia="黑体" w:cs="Times New Roman"/>
          <w:sz w:val="24"/>
        </w:rPr>
        <w:t xml:space="preserve">关于投标保证金 </w:t>
      </w:r>
    </w:p>
    <w:p>
      <w:pPr>
        <w:rPr>
          <w:rFonts w:ascii="宋体" w:hAnsi="宋体" w:eastAsia="宋体" w:cs="Times New Roman"/>
          <w:szCs w:val="21"/>
        </w:rPr>
      </w:pPr>
      <w:r>
        <w:rPr>
          <w:rFonts w:hint="eastAsia" w:ascii="宋体" w:hAnsi="宋体" w:eastAsia="宋体" w:cs="Times New Roman"/>
          <w:szCs w:val="21"/>
        </w:rPr>
        <w:t xml:space="preserve">    21.1</w:t>
      </w:r>
      <w:r>
        <w:rPr>
          <w:rFonts w:hint="eastAsia" w:cs="Times New Roman"/>
          <w:lang w:val="en-US" w:eastAsia="zh-CN"/>
        </w:rPr>
        <w:t>参照</w:t>
      </w:r>
      <w:r>
        <w:rPr>
          <w:rFonts w:hint="eastAsia" w:ascii="Times New Roman" w:hAnsi="Times New Roman" w:eastAsia="宋体" w:cs="Times New Roman"/>
        </w:rPr>
        <w:t>《深圳市财政局关于调整政府采购投标（响应）保证金管理政策的通知》（深财购〔2021〕51号）文的规定，本项目不收取投标保证金。</w:t>
      </w:r>
    </w:p>
    <w:p>
      <w:pPr>
        <w:rPr>
          <w:rFonts w:ascii="黑体" w:hAnsi="宋体" w:eastAsia="黑体" w:cs="Times New Roman"/>
          <w:sz w:val="24"/>
        </w:rPr>
      </w:pPr>
      <w:r>
        <w:rPr>
          <w:rFonts w:hint="eastAsia" w:ascii="黑体" w:hAnsi="宋体" w:eastAsia="黑体" w:cs="Times New Roman"/>
          <w:sz w:val="24"/>
        </w:rPr>
        <w:t>22．投标人的替代方案</w:t>
      </w:r>
    </w:p>
    <w:p>
      <w:pPr>
        <w:ind w:firstLine="411" w:firstLineChars="196"/>
        <w:rPr>
          <w:rFonts w:ascii="宋体" w:hAnsi="宋体" w:eastAsia="宋体" w:cs="Times New Roman"/>
          <w:szCs w:val="21"/>
        </w:rPr>
      </w:pPr>
      <w:r>
        <w:rPr>
          <w:rFonts w:hint="eastAsia" w:ascii="宋体" w:hAnsi="宋体" w:eastAsia="宋体" w:cs="Times New Roman"/>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ascii="宋体" w:hAnsi="宋体" w:eastAsia="宋体" w:cs="Times New Roman"/>
          <w:szCs w:val="21"/>
        </w:rPr>
      </w:pPr>
      <w:r>
        <w:rPr>
          <w:rFonts w:hint="eastAsia" w:ascii="宋体" w:hAnsi="宋体" w:eastAsia="宋体" w:cs="Times New Roman"/>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99"/>
    <w:p>
      <w:pPr>
        <w:rPr>
          <w:rFonts w:ascii="黑体" w:hAnsi="宋体" w:eastAsia="黑体" w:cs="Times New Roman"/>
          <w:sz w:val="24"/>
        </w:rPr>
      </w:pPr>
      <w:r>
        <w:rPr>
          <w:rFonts w:hint="eastAsia" w:ascii="黑体" w:hAnsi="宋体" w:eastAsia="黑体" w:cs="Times New Roman"/>
          <w:sz w:val="24"/>
        </w:rPr>
        <w:t>23．</w:t>
      </w:r>
      <w:bookmarkStart w:id="100" w:name="_Hlk72402860"/>
      <w:r>
        <w:rPr>
          <w:rFonts w:ascii="黑体" w:hAnsi="宋体" w:eastAsia="黑体" w:cs="Times New Roman"/>
          <w:sz w:val="24"/>
        </w:rPr>
        <w:t>投标文件的</w:t>
      </w:r>
      <w:r>
        <w:rPr>
          <w:rFonts w:hint="eastAsia" w:ascii="黑体" w:hAnsi="宋体" w:eastAsia="黑体" w:cs="Times New Roman"/>
          <w:sz w:val="24"/>
        </w:rPr>
        <w:t>制作</w:t>
      </w:r>
      <w:r>
        <w:rPr>
          <w:rFonts w:ascii="黑体" w:hAnsi="宋体" w:eastAsia="黑体" w:cs="Times New Roman"/>
          <w:sz w:val="24"/>
        </w:rPr>
        <w:t>要求</w:t>
      </w:r>
    </w:p>
    <w:p>
      <w:pPr>
        <w:ind w:firstLine="411" w:firstLineChars="196"/>
        <w:rPr>
          <w:rFonts w:ascii="宋体" w:hAnsi="宋体" w:eastAsia="宋体" w:cs="Times New Roman"/>
        </w:rPr>
      </w:pPr>
      <w:r>
        <w:rPr>
          <w:rFonts w:hint="eastAsia" w:ascii="宋体" w:hAnsi="宋体" w:eastAsia="宋体" w:cs="Times New Roman"/>
        </w:rPr>
        <w:t>23.1投标人应准备所投项目的电子投标文件一份。此电子投标文件须由投标人根据政府集中采购机构提供的后缀名为.TYZB的电子招标文件，下载并使用相应的</w:t>
      </w:r>
      <w:r>
        <w:rPr>
          <w:rFonts w:hint="eastAsia" w:ascii="宋体" w:hAnsi="宋体" w:eastAsia="宋体" w:cs="Times New Roman"/>
          <w:szCs w:val="21"/>
        </w:rPr>
        <w:t>深圳市自行采购系统</w:t>
      </w:r>
      <w:r>
        <w:rPr>
          <w:rFonts w:hint="eastAsia" w:ascii="宋体" w:hAnsi="宋体" w:eastAsia="宋体" w:cs="Times New Roman"/>
        </w:rPr>
        <w:t>投标文件制作专用软件打开招标文件（.TYZB格式）【下载地址：https://www.szggzy.com/jyfw/list.html?id=jyfwzfcg】。</w:t>
      </w:r>
    </w:p>
    <w:p>
      <w:pPr>
        <w:ind w:firstLine="411" w:firstLineChars="196"/>
        <w:rPr>
          <w:rFonts w:ascii="宋体" w:hAnsi="宋体" w:eastAsia="宋体" w:cs="Times New Roman"/>
        </w:rPr>
      </w:pPr>
      <w:r>
        <w:rPr>
          <w:rFonts w:hint="eastAsia" w:ascii="宋体" w:hAnsi="宋体" w:eastAsia="宋体" w:cs="Times New Roman"/>
        </w:rPr>
        <w:t>23.2投标人在使用《投标书编制软件》编制投标书时须注意：</w:t>
      </w:r>
    </w:p>
    <w:p>
      <w:pPr>
        <w:ind w:firstLine="411" w:firstLineChars="196"/>
        <w:rPr>
          <w:rFonts w:ascii="宋体" w:hAnsi="宋体" w:eastAsia="宋体" w:cs="Times New Roman"/>
        </w:rPr>
      </w:pPr>
      <w:r>
        <w:rPr>
          <w:rFonts w:hint="eastAsia" w:ascii="宋体" w:hAnsi="宋体" w:eastAsia="宋体" w:cs="Times New Roman"/>
        </w:rPr>
        <w:t>23.2.1导入《投标书编制软件》的招标文件项目编号、包号应与以此制作的投标文件项目编号、包号一致。例如，不能将甲项目A包的招标书导入《投标书编制软件》，制作乙项目B包的投标书。</w:t>
      </w:r>
    </w:p>
    <w:p>
      <w:pPr>
        <w:ind w:firstLine="411" w:firstLineChars="196"/>
        <w:rPr>
          <w:rFonts w:ascii="宋体" w:hAnsi="宋体" w:eastAsia="宋体" w:cs="Times New Roman"/>
        </w:rPr>
      </w:pPr>
      <w:r>
        <w:rPr>
          <w:rFonts w:hint="eastAsia" w:ascii="宋体" w:hAnsi="宋体" w:eastAsia="宋体" w:cs="Times New Roman"/>
        </w:rPr>
        <w:t>23.2.2不能用非本公司的电子密钥加密本公司的投标文件，或者用其它公司的登录用户上传本公司的投标文件。</w:t>
      </w:r>
    </w:p>
    <w:p>
      <w:pPr>
        <w:ind w:firstLine="411" w:firstLineChars="196"/>
        <w:rPr>
          <w:rFonts w:ascii="宋体" w:hAnsi="宋体" w:eastAsia="宋体" w:cs="Times New Roman"/>
        </w:rPr>
      </w:pPr>
      <w:r>
        <w:rPr>
          <w:rFonts w:hint="eastAsia" w:ascii="宋体" w:hAnsi="宋体" w:eastAsia="宋体" w:cs="Times New Roman"/>
        </w:rPr>
        <w:t>23.2.3要求用《投标书编制软件》编制投标书的包，不能用其它方式编制投标书。编制投标文件时，电脑须连通互联网。</w:t>
      </w:r>
    </w:p>
    <w:p>
      <w:pPr>
        <w:ind w:firstLine="411" w:firstLineChars="196"/>
        <w:rPr>
          <w:rFonts w:ascii="宋体" w:hAnsi="宋体" w:eastAsia="宋体" w:cs="Times New Roman"/>
        </w:rPr>
      </w:pPr>
      <w:r>
        <w:rPr>
          <w:rFonts w:hint="eastAsia" w:ascii="宋体" w:hAnsi="宋体" w:eastAsia="宋体" w:cs="Times New Roman"/>
        </w:rPr>
        <w:t>23.2.4投标文件不能带病毒。政府集中采购机构将用专业杀毒软件对投标文件进行病毒检测，如果这两种软件均报告发现病毒，则政府集中采购机构认为该投标文件带病毒。</w:t>
      </w:r>
    </w:p>
    <w:p>
      <w:pPr>
        <w:ind w:firstLine="411" w:firstLineChars="196"/>
        <w:rPr>
          <w:rFonts w:ascii="宋体" w:hAnsi="宋体" w:eastAsia="宋体" w:cs="Times New Roman"/>
          <w:b/>
        </w:rPr>
      </w:pPr>
      <w:r>
        <w:rPr>
          <w:rFonts w:hint="eastAsia" w:ascii="宋体" w:hAnsi="宋体" w:eastAsia="宋体" w:cs="Times New Roman"/>
        </w:rPr>
        <w:t>23.2.5</w:t>
      </w:r>
      <w:r>
        <w:rPr>
          <w:rFonts w:hint="eastAsia" w:ascii="宋体" w:hAnsi="宋体" w:eastAsia="宋体" w:cs="Times New Roman"/>
          <w:b/>
        </w:rPr>
        <w:t>“</w:t>
      </w:r>
      <w:r>
        <w:rPr>
          <w:rFonts w:hint="eastAsia" w:ascii="宋体" w:hAnsi="宋体" w:cs="Times New Roman"/>
          <w:b/>
          <w:lang w:val="en-US" w:eastAsia="zh-CN"/>
        </w:rPr>
        <w:t>投标信息</w:t>
      </w:r>
      <w:r>
        <w:rPr>
          <w:rFonts w:hint="eastAsia" w:ascii="宋体" w:hAnsi="宋体" w:eastAsia="宋体" w:cs="Times New Roman"/>
          <w:b/>
        </w:rPr>
        <w:t>”中的“投标报价”将作为价格分计算依据；其它信息仅是对投标文件相关内容的概括性表述，不作为评审依据。</w:t>
      </w:r>
    </w:p>
    <w:p>
      <w:pPr>
        <w:ind w:firstLine="411" w:firstLineChars="196"/>
        <w:rPr>
          <w:rFonts w:ascii="宋体" w:hAnsi="宋体" w:eastAsia="宋体" w:cs="Times New Roman"/>
        </w:rPr>
      </w:pPr>
      <w:r>
        <w:rPr>
          <w:rFonts w:hint="eastAsia" w:ascii="宋体" w:hAnsi="宋体" w:eastAsia="宋体" w:cs="Times New Roman"/>
        </w:rPr>
        <w:t>23.2.6投标人在编辑投标文件时，</w:t>
      </w:r>
      <w:r>
        <w:rPr>
          <w:rFonts w:hint="eastAsia" w:ascii="宋体" w:hAnsi="宋体" w:eastAsia="宋体" w:cs="Times New Roman"/>
          <w:b/>
        </w:rPr>
        <w:t>在投标文件目录中属于本节点内容的必须在本节点中填写，填写到其他节点或附件，</w:t>
      </w:r>
      <w:r>
        <w:rPr>
          <w:rFonts w:hint="eastAsia" w:ascii="宋体" w:hAnsi="宋体" w:eastAsia="宋体" w:cs="Times New Roman"/>
        </w:rPr>
        <w:t>一切后果由供应商自行承担。</w:t>
      </w:r>
    </w:p>
    <w:p>
      <w:pPr>
        <w:ind w:firstLine="411" w:firstLineChars="196"/>
        <w:rPr>
          <w:rFonts w:ascii="宋体" w:hAnsi="宋体" w:eastAsia="宋体" w:cs="Times New Roman"/>
        </w:rPr>
      </w:pPr>
      <w:r>
        <w:rPr>
          <w:rFonts w:hint="eastAsia" w:ascii="宋体" w:hAnsi="宋体" w:eastAsia="宋体" w:cs="Times New Roman"/>
        </w:rPr>
        <w:t>23.2.7投标文件编写完成后，</w:t>
      </w:r>
      <w:r>
        <w:rPr>
          <w:rFonts w:hint="eastAsia" w:ascii="宋体" w:hAnsi="宋体" w:eastAsia="宋体" w:cs="Times New Roman"/>
          <w:b/>
          <w:lang w:val="en-US" w:eastAsia="zh-CN"/>
        </w:rPr>
        <w:t>可选择</w:t>
      </w:r>
      <w:r>
        <w:rPr>
          <w:rFonts w:hint="eastAsia" w:ascii="宋体" w:hAnsi="宋体" w:eastAsia="宋体" w:cs="Times New Roman"/>
          <w:b/>
        </w:rPr>
        <w:t>用属于投标人的电子密钥</w:t>
      </w:r>
      <w:r>
        <w:rPr>
          <w:rFonts w:hint="eastAsia" w:ascii="宋体" w:hAnsi="宋体" w:eastAsia="宋体" w:cs="Times New Roman"/>
          <w:b/>
          <w:lang w:val="en-US" w:eastAsia="zh-CN"/>
        </w:rPr>
        <w:t>或电子营业执照</w:t>
      </w:r>
      <w:r>
        <w:rPr>
          <w:rFonts w:hint="eastAsia" w:ascii="宋体" w:hAnsi="宋体" w:eastAsia="宋体" w:cs="Times New Roman"/>
          <w:b/>
        </w:rPr>
        <w:t>进行加密。</w:t>
      </w:r>
    </w:p>
    <w:p>
      <w:pPr>
        <w:ind w:firstLine="411" w:firstLineChars="196"/>
        <w:rPr>
          <w:rFonts w:ascii="宋体" w:hAnsi="宋体" w:eastAsia="宋体" w:cs="Times New Roman"/>
        </w:rPr>
      </w:pPr>
      <w:r>
        <w:rPr>
          <w:rFonts w:hint="eastAsia" w:ascii="宋体" w:hAnsi="宋体" w:eastAsia="宋体" w:cs="Times New Roman"/>
        </w:rPr>
        <w:t>23.2.8政府集中采购机构不接受投标截止时间后递交的纸质、电子、传真等所有形式的投标文件。由于对网上</w:t>
      </w:r>
      <w:r>
        <w:rPr>
          <w:rFonts w:hint="eastAsia" w:ascii="宋体" w:hAnsi="宋体" w:cs="Times New Roman"/>
          <w:lang w:val="en-US" w:eastAsia="zh-CN"/>
        </w:rPr>
        <w:t>自行</w:t>
      </w:r>
      <w:r>
        <w:rPr>
          <w:rFonts w:hint="eastAsia" w:ascii="宋体" w:hAnsi="宋体" w:eastAsia="宋体" w:cs="Times New Roman"/>
        </w:rPr>
        <w:t>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1" w:firstLineChars="196"/>
        <w:rPr>
          <w:rFonts w:ascii="宋体" w:hAnsi="宋体" w:eastAsia="宋体" w:cs="Times New Roman"/>
        </w:rPr>
      </w:pPr>
      <w:r>
        <w:rPr>
          <w:rFonts w:hint="eastAsia" w:ascii="宋体" w:hAnsi="宋体" w:eastAsia="宋体" w:cs="Times New Roman"/>
        </w:rPr>
        <w:t>23.2.9如果开标时出现网络故障、技术故障，影响了采购活动，政府集中采购机构有权采取措施如延期、接受无法从网上上传的投标书等，以保障采购活动的公开、公平和公正。</w:t>
      </w:r>
    </w:p>
    <w:p>
      <w:pPr>
        <w:ind w:firstLine="411" w:firstLineChars="196"/>
        <w:rPr>
          <w:rFonts w:ascii="宋体" w:hAnsi="宋体" w:eastAsia="宋体" w:cs="Times New Roman"/>
        </w:rPr>
      </w:pPr>
      <w:r>
        <w:rPr>
          <w:rFonts w:hint="eastAsia" w:ascii="宋体" w:hAnsi="宋体" w:eastAsia="宋体" w:cs="Times New Roman"/>
        </w:rPr>
        <w:t>23.3电报、电话、传真形式的投标概不接受。</w:t>
      </w:r>
    </w:p>
    <w:p>
      <w:pPr>
        <w:ind w:firstLine="413" w:firstLineChars="196"/>
        <w:rPr>
          <w:rFonts w:ascii="宋体" w:hAnsi="宋体" w:eastAsia="宋体" w:cs="Times New Roman"/>
          <w:b/>
        </w:rPr>
      </w:pPr>
      <w:r>
        <w:rPr>
          <w:rFonts w:hint="eastAsia" w:ascii="宋体" w:hAnsi="宋体" w:eastAsia="宋体" w:cs="Times New Roman"/>
          <w:b/>
        </w:rPr>
        <w:t>23.4经投标人电子密钥</w:t>
      </w:r>
      <w:r>
        <w:rPr>
          <w:rFonts w:hint="eastAsia" w:ascii="宋体" w:hAnsi="宋体" w:eastAsia="宋体" w:cs="Times New Roman"/>
          <w:b/>
          <w:lang w:val="en-US" w:eastAsia="zh-CN"/>
        </w:rPr>
        <w:t>或电子营业执照</w:t>
      </w:r>
      <w:r>
        <w:rPr>
          <w:rFonts w:hint="eastAsia" w:ascii="宋体" w:hAnsi="宋体" w:eastAsia="宋体" w:cs="Times New Roman"/>
          <w:b/>
        </w:rPr>
        <w:t>加密的投标文件无须盖章或签字，</w:t>
      </w:r>
      <w:r>
        <w:rPr>
          <w:rFonts w:hint="eastAsia" w:ascii="宋体" w:hAnsi="宋体" w:eastAsia="宋体" w:cs="Times New Roman"/>
        </w:rPr>
        <w:t>专用条款另有要求的除外。</w:t>
      </w:r>
    </w:p>
    <w:p>
      <w:pPr>
        <w:ind w:firstLine="413" w:firstLineChars="196"/>
        <w:rPr>
          <w:rFonts w:ascii="宋体" w:hAnsi="宋体" w:eastAsia="宋体" w:cs="Times New Roman"/>
        </w:rPr>
      </w:pPr>
      <w:r>
        <w:rPr>
          <w:rFonts w:hint="eastAsia" w:ascii="宋体" w:hAnsi="宋体" w:eastAsia="宋体" w:cs="Times New Roman"/>
          <w:b/>
        </w:rPr>
        <w:t>23.5</w:t>
      </w:r>
      <w:r>
        <w:rPr>
          <w:rFonts w:hint="eastAsia" w:ascii="宋体" w:hAnsi="宋体" w:eastAsia="宋体" w:cs="Times New Roman"/>
        </w:rPr>
        <w:t xml:space="preserve"> 各类资格（资质）文件提供扫描件，专用条款另有要求的除外。</w:t>
      </w:r>
      <w:bookmarkEnd w:id="100"/>
    </w:p>
    <w:p>
      <w:pPr>
        <w:ind w:firstLine="411" w:firstLineChars="196"/>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投标文件的递交</w:t>
      </w:r>
    </w:p>
    <w:p>
      <w:pPr>
        <w:rPr>
          <w:rFonts w:ascii="黑体" w:hAnsi="宋体" w:eastAsia="黑体" w:cs="Times New Roman"/>
          <w:sz w:val="24"/>
        </w:rPr>
      </w:pPr>
      <w:bookmarkStart w:id="101" w:name="_Hlk72405459"/>
      <w:r>
        <w:rPr>
          <w:rFonts w:hint="eastAsia" w:ascii="黑体" w:hAnsi="宋体" w:eastAsia="黑体" w:cs="Times New Roman"/>
          <w:sz w:val="24"/>
        </w:rPr>
        <w:t>24．投标文件的保密</w:t>
      </w:r>
    </w:p>
    <w:p>
      <w:pPr>
        <w:widowControl/>
        <w:spacing w:line="240" w:lineRule="auto"/>
        <w:ind w:firstLine="411" w:firstLineChars="196"/>
        <w:jc w:val="left"/>
        <w:rPr>
          <w:rFonts w:hint="eastAsia" w:ascii="Times New Roman" w:hAnsi="Times New Roman" w:eastAsia="宋体" w:cs="Times New Roman"/>
          <w:color w:val="FF0000"/>
          <w:lang w:eastAsia="zh-CN"/>
        </w:rPr>
      </w:pPr>
      <w:r>
        <w:rPr>
          <w:rFonts w:hint="eastAsia" w:ascii="宋体" w:hAnsi="宋体" w:eastAsia="宋体" w:cs="Times New Roman"/>
        </w:rPr>
        <w:t>24.1</w:t>
      </w:r>
      <w:r>
        <w:rPr>
          <w:rFonts w:hint="eastAsia" w:ascii="Times New Roman" w:hAnsi="Times New Roman" w:eastAsia="宋体" w:cs="Times New Roman"/>
          <w:color w:val="FF0000"/>
          <w:lang w:val="en-US" w:eastAsia="zh-CN"/>
        </w:rPr>
        <w:t>投标文件</w:t>
      </w:r>
      <w:r>
        <w:rPr>
          <w:rFonts w:hint="eastAsia" w:ascii="Times New Roman" w:hAnsi="Times New Roman" w:eastAsia="宋体" w:cs="Times New Roman"/>
          <w:color w:val="FF0000"/>
        </w:rPr>
        <w:t>生成后会选择是否加密投标文件，如不加密则直接点击生成文件即可，如需加密请插入CA锁，点击加密后生成文件，需输入CA锁密码即可加密成功</w:t>
      </w:r>
      <w:r>
        <w:rPr>
          <w:rFonts w:hint="eastAsia" w:ascii="Times New Roman" w:hAnsi="Times New Roman" w:eastAsia="宋体" w:cs="Times New Roman"/>
          <w:color w:val="FF0000"/>
          <w:lang w:eastAsia="zh-CN"/>
        </w:rPr>
        <w:t>。</w:t>
      </w:r>
    </w:p>
    <w:p>
      <w:pPr>
        <w:spacing w:line="360" w:lineRule="auto"/>
        <w:rPr>
          <w:rFonts w:ascii="Times New Roman" w:hAnsi="Times New Roman" w:eastAsia="宋体" w:cs="Times New Roman"/>
        </w:rPr>
      </w:pPr>
      <w:r>
        <w:rPr>
          <w:rFonts w:hint="eastAsia" w:ascii="Times New Roman" w:hAnsi="Times New Roman" w:eastAsia="宋体" w:cs="Times New Roman"/>
        </w:rPr>
        <w:drawing>
          <wp:inline distT="0" distB="0" distL="114300" distR="114300">
            <wp:extent cx="5266690" cy="2126615"/>
            <wp:effectExtent l="0" t="0" r="1016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r:embed="rId8"/>
                    <a:stretch>
                      <a:fillRect/>
                    </a:stretch>
                  </pic:blipFill>
                  <pic:spPr>
                    <a:xfrm>
                      <a:off x="0" y="0"/>
                      <a:ext cx="5266690" cy="2126615"/>
                    </a:xfrm>
                    <a:prstGeom prst="rect">
                      <a:avLst/>
                    </a:prstGeom>
                  </pic:spPr>
                </pic:pic>
              </a:graphicData>
            </a:graphic>
          </wp:inline>
        </w:drawing>
      </w:r>
    </w:p>
    <w:p>
      <w:pPr>
        <w:widowControl w:val="0"/>
        <w:jc w:val="left"/>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加密后会提示文件生成成功！</w:t>
      </w:r>
    </w:p>
    <w:p>
      <w:pPr>
        <w:jc w:val="left"/>
        <w:rPr>
          <w:rFonts w:ascii="Times New Roman" w:hAnsi="Times New Roman" w:eastAsia="宋体" w:cs="Times New Roman"/>
          <w:sz w:val="24"/>
        </w:rPr>
      </w:pPr>
      <w:r>
        <w:rPr>
          <w:rFonts w:hint="eastAsia" w:ascii="Times New Roman" w:hAnsi="Times New Roman" w:eastAsia="宋体" w:cs="Times New Roman"/>
          <w:color w:val="FF0000"/>
          <w:kern w:val="2"/>
          <w:sz w:val="21"/>
          <w:szCs w:val="24"/>
          <w:lang w:val="en-US" w:eastAsia="zh-CN" w:bidi="ar-SA"/>
        </w:rPr>
        <w:t>(注意：</w:t>
      </w:r>
      <w:r>
        <w:rPr>
          <w:rFonts w:hint="eastAsia" w:ascii="Times New Roman" w:hAnsi="Times New Roman" w:eastAsia="宋体" w:cs="Times New Roman"/>
          <w:kern w:val="2"/>
          <w:sz w:val="21"/>
          <w:szCs w:val="24"/>
          <w:lang w:val="en-US" w:eastAsia="zh-CN" w:bidi="ar-SA"/>
        </w:rPr>
        <w:t>加密的投标文件</w:t>
      </w:r>
      <w:r>
        <w:rPr>
          <w:rFonts w:hint="eastAsia" w:ascii="Times New Roman" w:hAnsi="Times New Roman" w:eastAsia="宋体" w:cs="Times New Roman"/>
          <w:color w:val="FF0000"/>
          <w:kern w:val="2"/>
          <w:sz w:val="21"/>
          <w:szCs w:val="24"/>
          <w:lang w:val="en-US" w:eastAsia="zh-CN" w:bidi="ar-SA"/>
        </w:rPr>
        <w:t>开标时须使用加密文件时使用的锁在项目规定时间内解密！</w:t>
      </w:r>
      <w:r>
        <w:rPr>
          <w:rFonts w:hint="eastAsia" w:ascii="Times New Roman" w:hAnsi="Times New Roman" w:eastAsia="宋体" w:cs="Times New Roman"/>
          <w:color w:val="FF0000"/>
        </w:rPr>
        <w:t>)</w:t>
      </w:r>
    </w:p>
    <w:p>
      <w:pPr>
        <w:ind w:firstLine="0" w:firstLineChars="0"/>
        <w:rPr>
          <w:rFonts w:ascii="宋体" w:hAnsi="宋体" w:eastAsia="宋体" w:cs="Times New Roman"/>
          <w:b w:val="0"/>
        </w:rPr>
      </w:pPr>
      <w:r>
        <w:rPr>
          <w:rFonts w:ascii="Times New Roman" w:hAnsi="Times New Roman" w:eastAsia="宋体" w:cs="Times New Roman"/>
        </w:rPr>
        <w:drawing>
          <wp:inline distT="0" distB="0" distL="114300" distR="114300">
            <wp:extent cx="5266690" cy="2185035"/>
            <wp:effectExtent l="0" t="0" r="10160" b="571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9"/>
                    <a:stretch>
                      <a:fillRect/>
                    </a:stretch>
                  </pic:blipFill>
                  <pic:spPr>
                    <a:xfrm>
                      <a:off x="0" y="0"/>
                      <a:ext cx="5266690" cy="2185035"/>
                    </a:xfrm>
                    <a:prstGeom prst="rect">
                      <a:avLst/>
                    </a:prstGeom>
                    <a:noFill/>
                    <a:ln>
                      <a:noFill/>
                    </a:ln>
                  </pic:spPr>
                </pic:pic>
              </a:graphicData>
            </a:graphic>
          </wp:inline>
        </w:drawing>
      </w:r>
    </w:p>
    <w:p>
      <w:pPr>
        <w:rPr>
          <w:rFonts w:hint="eastAsia" w:ascii="黑体" w:hAnsi="宋体" w:eastAsia="黑体" w:cs="Times New Roman"/>
          <w:sz w:val="24"/>
        </w:rPr>
      </w:pPr>
      <w:r>
        <w:rPr>
          <w:rFonts w:hint="eastAsia" w:ascii="黑体" w:hAnsi="宋体" w:eastAsia="黑体" w:cs="Times New Roman"/>
          <w:sz w:val="24"/>
        </w:rPr>
        <w:t>24.2若采购项目出现延期情况</w:t>
      </w:r>
    </w:p>
    <w:p>
      <w:pPr>
        <w:ind w:firstLine="422" w:firstLineChars="200"/>
        <w:rPr>
          <w:rFonts w:ascii="黑体" w:hAnsi="宋体" w:eastAsia="黑体" w:cs="Times New Roman"/>
          <w:b/>
          <w:sz w:val="24"/>
        </w:rPr>
      </w:pPr>
      <w:r>
        <w:rPr>
          <w:rFonts w:hint="eastAsia" w:ascii="宋体" w:hAnsi="宋体" w:eastAsia="宋体" w:cs="Times New Roman"/>
          <w:b/>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pPr>
        <w:rPr>
          <w:rFonts w:ascii="黑体" w:hAnsi="宋体" w:eastAsia="黑体" w:cs="Times New Roman"/>
          <w:sz w:val="24"/>
        </w:rPr>
      </w:pPr>
      <w:r>
        <w:rPr>
          <w:rFonts w:hint="eastAsia" w:ascii="黑体" w:hAnsi="宋体" w:eastAsia="黑体" w:cs="Times New Roman"/>
          <w:sz w:val="24"/>
        </w:rPr>
        <w:t>25．上传投标文件及投标截止日期</w:t>
      </w:r>
    </w:p>
    <w:p>
      <w:pPr>
        <w:keepNext w:val="0"/>
        <w:keepLines w:val="0"/>
        <w:pageBreakBefore w:val="0"/>
        <w:widowControl w:val="0"/>
        <w:kinsoku/>
        <w:wordWrap w:val="0"/>
        <w:overflowPunct/>
        <w:topLinePunct w:val="0"/>
        <w:autoSpaceDE/>
        <w:autoSpaceDN/>
        <w:bidi w:val="0"/>
        <w:adjustRightInd/>
        <w:snapToGrid/>
        <w:ind w:firstLine="411" w:firstLineChars="196"/>
        <w:textAlignment w:val="auto"/>
        <w:rPr>
          <w:rFonts w:hint="eastAsia" w:ascii="宋体" w:hAnsi="宋体" w:eastAsia="宋体" w:cs="Times New Roman"/>
          <w:lang w:eastAsia="zh-C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1实行网上投标，</w:t>
      </w:r>
      <w:r>
        <w:rPr>
          <w:rFonts w:hint="eastAsia" w:ascii="Times New Roman" w:hAnsi="Times New Roman" w:eastAsia="宋体" w:cs="Times New Roman"/>
        </w:rPr>
        <w:t>生成投标文件后供应商需要在投标文件递交截止时间之前递交投标文件，超过规定时间则无法递交</w:t>
      </w:r>
      <w:r>
        <w:rPr>
          <w:rFonts w:hint="eastAsia" w:ascii="宋体" w:hAnsi="宋体" w:eastAsia="宋体" w:cs="Times New Roman"/>
          <w:lang w:eastAsia="zh-CN"/>
        </w:rPr>
        <w:t>。</w:t>
      </w:r>
    </w:p>
    <w:p>
      <w:pPr>
        <w:ind w:firstLine="411" w:firstLineChars="196"/>
        <w:rPr>
          <w:rFonts w:ascii="宋体" w:hAnsi="宋体" w:eastAsia="宋体" w:cs="Times New Roman"/>
        </w:rPr>
      </w:pPr>
      <w:r>
        <w:rPr>
          <w:rFonts w:hint="eastAsia" w:ascii="宋体" w:hAnsi="宋体" w:eastAsia="宋体" w:cs="Times New Roma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ascii="宋体" w:hAnsi="宋体" w:eastAsia="宋体" w:cs="Times New Roma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3投标截止时间以后不得上传投标文件。</w:t>
      </w:r>
    </w:p>
    <w:p>
      <w:pPr>
        <w:ind w:firstLine="411" w:firstLineChars="196"/>
        <w:rPr>
          <w:rFonts w:ascii="宋体" w:hAnsi="宋体" w:eastAsia="宋体" w:cs="Times New Roman"/>
        </w:rPr>
      </w:pPr>
    </w:p>
    <w:bookmarkEnd w:id="101"/>
    <w:p>
      <w:pPr>
        <w:rPr>
          <w:rFonts w:ascii="黑体" w:hAnsi="宋体" w:eastAsia="黑体" w:cs="Times New Roman"/>
          <w:sz w:val="24"/>
        </w:rPr>
      </w:pPr>
      <w:r>
        <w:rPr>
          <w:rFonts w:hint="eastAsia" w:ascii="黑体" w:hAnsi="宋体" w:eastAsia="黑体" w:cs="Times New Roman"/>
          <w:sz w:val="24"/>
        </w:rPr>
        <w:t>26. 样品、现场演示、方案讲解</w:t>
      </w:r>
    </w:p>
    <w:p>
      <w:pPr>
        <w:ind w:firstLine="411" w:firstLineChars="196"/>
        <w:rPr>
          <w:rFonts w:ascii="宋体" w:hAnsi="宋体" w:eastAsia="宋体" w:cs="Times New Roman"/>
          <w:szCs w:val="21"/>
        </w:rPr>
      </w:pPr>
      <w:r>
        <w:rPr>
          <w:rFonts w:hint="eastAsia" w:ascii="宋体" w:hAnsi="宋体" w:eastAsia="宋体" w:cs="Times New Roman"/>
          <w:szCs w:val="21"/>
        </w:rPr>
        <w:t>26.1 样品、现场演示、方案讲解等事项在招标文件专用条款中进行规定。</w:t>
      </w:r>
    </w:p>
    <w:p>
      <w:pPr>
        <w:rPr>
          <w:rFonts w:ascii="黑体" w:hAnsi="宋体" w:eastAsia="黑体" w:cs="Times New Roman"/>
          <w:sz w:val="24"/>
        </w:rPr>
      </w:pPr>
      <w:bookmarkStart w:id="102" w:name="_Hlk72428346"/>
      <w:r>
        <w:rPr>
          <w:rFonts w:ascii="黑体" w:hAnsi="宋体" w:eastAsia="黑体" w:cs="Times New Roman"/>
          <w:sz w:val="24"/>
        </w:rPr>
        <w:t>2</w:t>
      </w:r>
      <w:r>
        <w:rPr>
          <w:rFonts w:hint="eastAsia" w:ascii="黑体" w:hAnsi="宋体" w:eastAsia="黑体" w:cs="Times New Roman"/>
          <w:sz w:val="24"/>
        </w:rPr>
        <w:t>7．</w:t>
      </w:r>
      <w:r>
        <w:rPr>
          <w:rFonts w:ascii="黑体" w:hAnsi="宋体" w:eastAsia="黑体" w:cs="Times New Roman"/>
          <w:sz w:val="24"/>
        </w:rPr>
        <w:t>投标文件的修改和撤销</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1</w:t>
      </w:r>
      <w:r>
        <w:rPr>
          <w:rFonts w:ascii="宋体" w:hAnsi="宋体" w:eastAsia="宋体" w:cs="Times New Roman"/>
        </w:rPr>
        <w:t>投标方在提交投标文件后可对其投标文件进行修改</w:t>
      </w:r>
      <w:r>
        <w:rPr>
          <w:rFonts w:hint="eastAsia" w:ascii="宋体" w:hAnsi="宋体" w:eastAsia="宋体" w:cs="Times New Roman"/>
        </w:rPr>
        <w:t>并重新上传投标文件</w:t>
      </w:r>
      <w:r>
        <w:rPr>
          <w:rFonts w:ascii="宋体" w:hAnsi="宋体" w:eastAsia="宋体" w:cs="Times New Roman"/>
        </w:rPr>
        <w:t>或</w:t>
      </w:r>
      <w:r>
        <w:rPr>
          <w:rFonts w:hint="eastAsia" w:ascii="宋体" w:hAnsi="宋体" w:eastAsia="宋体" w:cs="Times New Roman"/>
        </w:rPr>
        <w:t>在网上进行</w:t>
      </w:r>
      <w:r>
        <w:rPr>
          <w:rFonts w:ascii="宋体" w:hAnsi="宋体" w:eastAsia="宋体" w:cs="Times New Roman"/>
        </w:rPr>
        <w:t>撤销</w:t>
      </w:r>
      <w:r>
        <w:rPr>
          <w:rFonts w:hint="eastAsia" w:ascii="宋体" w:hAnsi="宋体" w:eastAsia="宋体" w:cs="Times New Roman"/>
        </w:rPr>
        <w:t>投标的操作</w:t>
      </w:r>
      <w:r>
        <w:rPr>
          <w:rFonts w:ascii="宋体" w:hAnsi="宋体" w:eastAsia="宋体" w:cs="Times New Roman"/>
        </w:rPr>
        <w:t>。</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2</w:t>
      </w:r>
      <w:r>
        <w:rPr>
          <w:rFonts w:ascii="宋体" w:hAnsi="宋体" w:eastAsia="宋体" w:cs="Times New Roman"/>
        </w:rPr>
        <w:t>投标截止时间以后不得修改投标文件。</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3从投标截止期至投标人在投标文件中确定的投标有效期之间的这段时间内，投标人不得撤回其投标。</w:t>
      </w:r>
    </w:p>
    <w:p>
      <w:pPr>
        <w:ind w:firstLine="411" w:firstLineChars="196"/>
        <w:rPr>
          <w:rFonts w:ascii="宋体" w:hAnsi="宋体" w:eastAsia="宋体" w:cs="Times New Roman"/>
          <w:szCs w:val="21"/>
        </w:rPr>
      </w:pPr>
      <w:r>
        <w:rPr>
          <w:rFonts w:hint="eastAsia" w:ascii="宋体" w:hAnsi="宋体" w:eastAsia="宋体" w:cs="Times New Roman"/>
          <w:szCs w:val="21"/>
        </w:rPr>
        <w:t>27.4政府集中采购机构不退还投标文件，专用条款另有规定的除外。</w:t>
      </w:r>
    </w:p>
    <w:bookmarkEnd w:id="102"/>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开标</w:t>
      </w:r>
    </w:p>
    <w:p>
      <w:pPr>
        <w:rPr>
          <w:rFonts w:ascii="黑体" w:hAnsi="宋体" w:eastAsia="黑体" w:cs="Times New Roman"/>
          <w:sz w:val="24"/>
        </w:rPr>
      </w:pPr>
      <w:r>
        <w:rPr>
          <w:rFonts w:hint="eastAsia" w:ascii="黑体" w:hAnsi="宋体" w:eastAsia="黑体" w:cs="Times New Roman"/>
          <w:sz w:val="24"/>
        </w:rPr>
        <w:t>28．开标</w:t>
      </w:r>
    </w:p>
    <w:p>
      <w:pPr>
        <w:ind w:firstLine="359" w:firstLineChars="171"/>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1</w:t>
      </w:r>
      <w:r>
        <w:rPr>
          <w:rFonts w:hint="eastAsia" w:ascii="Times New Roman" w:hAnsi="Times New Roman" w:eastAsia="宋体" w:cs="Times New Roman"/>
        </w:rPr>
        <w:t>如投标文件为加密，则需插入CA锁点击解密，</w:t>
      </w:r>
      <w:r>
        <w:rPr>
          <w:rFonts w:hint="eastAsia" w:ascii="宋体" w:hAnsi="宋体" w:eastAsia="宋体" w:cs="Times New Roman"/>
          <w:szCs w:val="21"/>
        </w:rPr>
        <w:t>逾期未解密的作无效处理</w:t>
      </w:r>
      <w:r>
        <w:rPr>
          <w:rFonts w:hint="eastAsia" w:ascii="宋体" w:hAnsi="宋体" w:eastAsia="宋体" w:cs="Times New Roman"/>
          <w:szCs w:val="21"/>
          <w:lang w:eastAsia="zh-CN"/>
        </w:rPr>
        <w:t>，</w:t>
      </w:r>
      <w:r>
        <w:rPr>
          <w:rFonts w:hint="eastAsia" w:ascii="Times New Roman" w:hAnsi="Times New Roman" w:eastAsia="宋体" w:cs="Times New Roman"/>
        </w:rPr>
        <w:t>否则无需解密</w:t>
      </w:r>
      <w:r>
        <w:rPr>
          <w:rFonts w:hint="eastAsia" w:ascii="Times New Roman" w:hAnsi="Times New Roman" w:eastAsia="宋体" w:cs="Times New Roman"/>
          <w:lang w:eastAsia="zh-CN"/>
        </w:rPr>
        <w:t>。</w:t>
      </w:r>
    </w:p>
    <w:p>
      <w:pPr>
        <w:ind w:firstLine="0" w:firstLineChars="0"/>
        <w:rPr>
          <w:rFonts w:hint="eastAsia" w:ascii="宋体" w:hAnsi="宋体" w:eastAsia="宋体" w:cs="Times New Roman"/>
          <w:szCs w:val="21"/>
        </w:rPr>
      </w:pPr>
      <w:r>
        <w:rPr>
          <w:rFonts w:ascii="Times New Roman" w:hAnsi="Times New Roman" w:eastAsia="宋体" w:cs="Times New Roman"/>
        </w:rPr>
        <w:drawing>
          <wp:inline distT="0" distB="0" distL="114300" distR="114300">
            <wp:extent cx="5269230" cy="2591435"/>
            <wp:effectExtent l="0" t="0" r="7620" b="1841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10"/>
                    <a:stretch>
                      <a:fillRect/>
                    </a:stretch>
                  </pic:blipFill>
                  <pic:spPr>
                    <a:xfrm>
                      <a:off x="0" y="0"/>
                      <a:ext cx="5269230" cy="2591435"/>
                    </a:xfrm>
                    <a:prstGeom prst="rect">
                      <a:avLst/>
                    </a:prstGeom>
                    <a:noFill/>
                    <a:ln>
                      <a:noFill/>
                    </a:ln>
                  </pic:spPr>
                </pic:pic>
              </a:graphicData>
            </a:graphic>
          </wp:inline>
        </w:drawing>
      </w:r>
    </w:p>
    <w:p>
      <w:pPr>
        <w:ind w:firstLine="315" w:firstLineChars="150"/>
        <w:rPr>
          <w:rFonts w:ascii="宋体" w:hAnsi="宋体" w:eastAsia="宋体" w:cs="Times New Roman"/>
          <w:szCs w:val="21"/>
        </w:rPr>
      </w:pPr>
      <w:r>
        <w:rPr>
          <w:rFonts w:hint="eastAsia" w:ascii="宋体" w:hAnsi="宋体" w:eastAsia="宋体" w:cs="Times New Roman"/>
          <w:szCs w:val="21"/>
        </w:rPr>
        <w:t>28.2政府集中采购机构将在满足开标条件后，对投标文件进行开标。</w:t>
      </w:r>
    </w:p>
    <w:p>
      <w:pPr>
        <w:ind w:firstLine="315" w:firstLineChars="150"/>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评审要求</w:t>
      </w:r>
    </w:p>
    <w:p>
      <w:pPr>
        <w:rPr>
          <w:rFonts w:ascii="黑体" w:hAnsi="宋体" w:eastAsia="黑体" w:cs="Times New Roman"/>
          <w:sz w:val="24"/>
        </w:rPr>
      </w:pPr>
      <w:r>
        <w:rPr>
          <w:rFonts w:hint="eastAsia" w:ascii="黑体" w:hAnsi="宋体" w:eastAsia="黑体" w:cs="Times New Roman"/>
          <w:sz w:val="24"/>
        </w:rPr>
        <w:t>29．评审委员会组成</w:t>
      </w:r>
    </w:p>
    <w:p>
      <w:pPr>
        <w:ind w:firstLine="411" w:firstLineChars="196"/>
        <w:rPr>
          <w:rFonts w:ascii="宋体" w:hAnsi="宋体" w:eastAsia="宋体" w:cs="Times New Roman"/>
        </w:rPr>
      </w:pPr>
      <w:r>
        <w:rPr>
          <w:rFonts w:hint="eastAsia" w:ascii="宋体" w:hAnsi="宋体" w:eastAsia="宋体" w:cs="Times New Roman"/>
        </w:rPr>
        <w:t>29.1网上开标结束后召开评审会议，</w:t>
      </w:r>
      <w:r>
        <w:rPr>
          <w:rFonts w:hint="eastAsia" w:ascii="宋体" w:hAnsi="宋体" w:eastAsia="宋体" w:cs="Times New Roman"/>
          <w:szCs w:val="21"/>
        </w:rPr>
        <w:t>评审委员会</w:t>
      </w:r>
      <w:r>
        <w:rPr>
          <w:rFonts w:hint="eastAsia" w:ascii="宋体" w:hAnsi="宋体" w:eastAsia="宋体" w:cs="Times New Roman"/>
        </w:rPr>
        <w:t>由政府集中采购机构依法组建，负责评审活动。</w:t>
      </w:r>
    </w:p>
    <w:p>
      <w:pPr>
        <w:ind w:firstLine="411" w:firstLineChars="196"/>
        <w:rPr>
          <w:rFonts w:ascii="宋体" w:hAnsi="宋体" w:eastAsia="宋体" w:cs="Times New Roman"/>
        </w:rPr>
      </w:pPr>
      <w:bookmarkStart w:id="103" w:name="_Hlk72436580"/>
      <w:r>
        <w:rPr>
          <w:rFonts w:hint="eastAsia" w:ascii="宋体" w:hAnsi="宋体" w:eastAsia="宋体" w:cs="Times New Roman"/>
        </w:rPr>
        <w:t>评审委员会由采购人代表和评审专家组成。</w:t>
      </w:r>
      <w:bookmarkEnd w:id="103"/>
      <w:r>
        <w:rPr>
          <w:rFonts w:hint="eastAsia" w:ascii="宋体" w:hAnsi="宋体" w:eastAsia="宋体" w:cs="Times New Roman"/>
        </w:rPr>
        <w:t>评定</w:t>
      </w:r>
      <w:r>
        <w:rPr>
          <w:rFonts w:hint="eastAsia" w:ascii="Times New Roman" w:hAnsi="Times New Roman" w:eastAsia="宋体" w:cs="Times New Roman"/>
        </w:rPr>
        <w:t>分离项目</w:t>
      </w:r>
      <w:r>
        <w:rPr>
          <w:rFonts w:ascii="Times New Roman" w:hAnsi="Times New Roman" w:eastAsia="宋体" w:cs="Times New Roman"/>
        </w:rPr>
        <w:t>评审专家</w:t>
      </w:r>
      <w:r>
        <w:rPr>
          <w:rFonts w:hint="eastAsia" w:ascii="Times New Roman" w:hAnsi="Times New Roman" w:eastAsia="宋体" w:cs="Times New Roman"/>
        </w:rPr>
        <w:t>均</w:t>
      </w:r>
      <w:r>
        <w:rPr>
          <w:rFonts w:ascii="Times New Roman" w:hAnsi="Times New Roman" w:eastAsia="宋体" w:cs="Times New Roman"/>
        </w:rPr>
        <w:t>由</w:t>
      </w:r>
      <w:r>
        <w:rPr>
          <w:rFonts w:hint="eastAsia" w:ascii="Times New Roman" w:hAnsi="Times New Roman" w:eastAsia="宋体" w:cs="Times New Roman"/>
        </w:rPr>
        <w:t>评审专家组成。</w:t>
      </w:r>
      <w:r>
        <w:rPr>
          <w:rFonts w:hint="eastAsia" w:ascii="宋体" w:hAnsi="宋体" w:eastAsia="宋体" w:cs="Times New Roman"/>
          <w:szCs w:val="21"/>
        </w:rPr>
        <w:t>评审专家一般是</w:t>
      </w:r>
      <w:r>
        <w:rPr>
          <w:rFonts w:hint="eastAsia" w:ascii="宋体" w:hAnsi="宋体" w:eastAsia="宋体" w:cs="Times New Roman"/>
        </w:rPr>
        <w:t>从深圳市政府采购评审专家库中随机抽取。采购人代表须持本单位签发的《评审授权书》参加评审。</w:t>
      </w:r>
    </w:p>
    <w:p>
      <w:pPr>
        <w:ind w:firstLine="411" w:firstLineChars="196"/>
        <w:rPr>
          <w:rFonts w:ascii="宋体" w:hAnsi="宋体" w:eastAsia="宋体" w:cs="Times New Roman"/>
        </w:rPr>
      </w:pPr>
      <w:r>
        <w:rPr>
          <w:rFonts w:hint="eastAsia" w:ascii="宋体" w:hAnsi="宋体" w:eastAsia="宋体" w:cs="Times New Roman"/>
        </w:rPr>
        <w:t>29.2评审定标应当遵循公平、公正、科学、择优的原则。</w:t>
      </w:r>
    </w:p>
    <w:p>
      <w:pPr>
        <w:ind w:firstLine="411" w:firstLineChars="196"/>
        <w:rPr>
          <w:rFonts w:ascii="宋体" w:hAnsi="宋体" w:eastAsia="宋体" w:cs="Times New Roman"/>
        </w:rPr>
      </w:pPr>
      <w:r>
        <w:rPr>
          <w:rFonts w:hint="eastAsia" w:ascii="宋体" w:hAnsi="宋体" w:eastAsia="宋体" w:cs="Times New Roman"/>
        </w:rPr>
        <w:t>29.3评审活动依法进行，任何单位和个人不得非法干预评标过程和结果。</w:t>
      </w:r>
    </w:p>
    <w:p>
      <w:pPr>
        <w:ind w:firstLine="411" w:firstLineChars="196"/>
        <w:rPr>
          <w:rFonts w:ascii="宋体" w:hAnsi="宋体" w:eastAsia="宋体" w:cs="Times New Roman"/>
        </w:rPr>
      </w:pPr>
      <w:r>
        <w:rPr>
          <w:rFonts w:hint="eastAsia" w:ascii="宋体" w:hAnsi="宋体" w:eastAsia="宋体" w:cs="Times New Roman"/>
        </w:rPr>
        <w:t>29.4评审过程中不允许违背评标程序或采用招标文件未载明的评标方法或评标因素进行评标。</w:t>
      </w:r>
    </w:p>
    <w:p>
      <w:pPr>
        <w:ind w:firstLine="411" w:firstLineChars="196"/>
        <w:rPr>
          <w:rFonts w:ascii="宋体" w:hAnsi="宋体" w:eastAsia="宋体" w:cs="Times New Roman"/>
          <w:bCs/>
        </w:rPr>
      </w:pPr>
      <w:r>
        <w:rPr>
          <w:rFonts w:hint="eastAsia" w:ascii="宋体" w:hAnsi="宋体" w:eastAsia="宋体" w:cs="Times New Roman"/>
          <w:bCs/>
        </w:rPr>
        <w:t>29.5 开标后，直到签订合同为止，凡属于对投标文件的审查、澄清、评价和比较的有关资料以及中标候选人的推荐情况、与评审有关的其他任何情况均严格保密（</w:t>
      </w:r>
      <w:r>
        <w:rPr>
          <w:rFonts w:hint="eastAsia" w:ascii="Times New Roman" w:hAnsi="Times New Roman" w:eastAsia="宋体" w:cs="Times New Roman"/>
        </w:rPr>
        <w:t>信息公开的内容除外</w:t>
      </w:r>
      <w:r>
        <w:rPr>
          <w:rFonts w:hint="eastAsia" w:ascii="宋体" w:hAnsi="宋体" w:eastAsia="宋体" w:cs="Times New Roman"/>
          <w:bCs/>
        </w:rPr>
        <w:t>）。</w:t>
      </w:r>
    </w:p>
    <w:p>
      <w:pPr>
        <w:rPr>
          <w:rFonts w:ascii="黑体" w:hAnsi="宋体" w:eastAsia="黑体" w:cs="Times New Roman"/>
          <w:sz w:val="24"/>
        </w:rPr>
      </w:pPr>
      <w:r>
        <w:rPr>
          <w:rFonts w:hint="eastAsia" w:ascii="黑体" w:hAnsi="宋体" w:eastAsia="黑体" w:cs="Times New Roman"/>
          <w:sz w:val="24"/>
        </w:rPr>
        <w:t>30．向评审委员会提供的资料</w:t>
      </w:r>
    </w:p>
    <w:p>
      <w:pPr>
        <w:ind w:firstLine="411" w:firstLineChars="196"/>
        <w:rPr>
          <w:rFonts w:ascii="宋体" w:hAnsi="宋体" w:eastAsia="宋体" w:cs="Times New Roman"/>
        </w:rPr>
      </w:pPr>
      <w:r>
        <w:rPr>
          <w:rFonts w:hint="eastAsia" w:ascii="宋体" w:hAnsi="宋体" w:eastAsia="宋体" w:cs="Times New Roman"/>
        </w:rPr>
        <w:t>30.1公开发布的招标文件，包括图纸、服务清单、答疑文件等；</w:t>
      </w:r>
    </w:p>
    <w:p>
      <w:pPr>
        <w:ind w:firstLine="411" w:firstLineChars="196"/>
        <w:rPr>
          <w:rFonts w:ascii="宋体" w:hAnsi="宋体" w:eastAsia="宋体" w:cs="Times New Roman"/>
        </w:rPr>
      </w:pPr>
      <w:r>
        <w:rPr>
          <w:rFonts w:hint="eastAsia" w:ascii="宋体" w:hAnsi="宋体" w:eastAsia="宋体" w:cs="Times New Roman"/>
        </w:rPr>
        <w:t>30.2其他评标必须的资料。</w:t>
      </w:r>
    </w:p>
    <w:p>
      <w:pPr>
        <w:ind w:firstLine="411" w:firstLineChars="196"/>
        <w:rPr>
          <w:rFonts w:ascii="宋体" w:hAnsi="宋体" w:eastAsia="宋体" w:cs="Times New Roman"/>
        </w:rPr>
      </w:pPr>
      <w:r>
        <w:rPr>
          <w:rFonts w:hint="eastAsia" w:ascii="宋体" w:hAnsi="宋体" w:eastAsia="宋体" w:cs="Times New Roman"/>
        </w:rPr>
        <w:t>30.3</w:t>
      </w:r>
      <w:r>
        <w:rPr>
          <w:rFonts w:hint="eastAsia" w:ascii="宋体" w:hAnsi="宋体" w:eastAsia="宋体" w:cs="Times New Roman"/>
          <w:szCs w:val="21"/>
        </w:rPr>
        <w:t>评审委员会</w:t>
      </w:r>
      <w:r>
        <w:rPr>
          <w:rFonts w:hint="eastAsia" w:ascii="宋体" w:hAnsi="宋体" w:eastAsia="宋体" w:cs="Times New Roman"/>
        </w:rPr>
        <w:t>应当认真研究招标文件，至少应了解熟悉以下内容：</w:t>
      </w:r>
    </w:p>
    <w:p>
      <w:pPr>
        <w:ind w:firstLine="411" w:firstLineChars="196"/>
        <w:rPr>
          <w:rFonts w:ascii="宋体" w:hAnsi="宋体" w:eastAsia="宋体" w:cs="Times New Roman"/>
        </w:rPr>
      </w:pPr>
      <w:r>
        <w:rPr>
          <w:rFonts w:hint="eastAsia" w:ascii="宋体" w:hAnsi="宋体" w:eastAsia="宋体" w:cs="Times New Roman"/>
        </w:rPr>
        <w:t>（1）招标的目的；</w:t>
      </w:r>
    </w:p>
    <w:p>
      <w:pPr>
        <w:ind w:firstLine="411" w:firstLineChars="196"/>
        <w:rPr>
          <w:rFonts w:ascii="宋体" w:hAnsi="宋体" w:eastAsia="宋体" w:cs="Times New Roman"/>
        </w:rPr>
      </w:pPr>
      <w:r>
        <w:rPr>
          <w:rFonts w:hint="eastAsia" w:ascii="宋体" w:hAnsi="宋体" w:eastAsia="宋体" w:cs="Times New Roman"/>
        </w:rPr>
        <w:t>（2）招标项目需求的范围和性质；</w:t>
      </w:r>
    </w:p>
    <w:p>
      <w:pPr>
        <w:ind w:firstLine="411" w:firstLineChars="196"/>
        <w:rPr>
          <w:rFonts w:ascii="宋体" w:hAnsi="宋体" w:eastAsia="宋体" w:cs="Times New Roman"/>
        </w:rPr>
      </w:pPr>
      <w:r>
        <w:rPr>
          <w:rFonts w:hint="eastAsia" w:ascii="宋体" w:hAnsi="宋体" w:eastAsia="宋体" w:cs="Times New Roman"/>
        </w:rPr>
        <w:t>（3）招标文件规定的投标人的资格、财政预算限额、商务条款；</w:t>
      </w:r>
    </w:p>
    <w:p>
      <w:pPr>
        <w:ind w:firstLine="411" w:firstLineChars="196"/>
        <w:rPr>
          <w:rFonts w:ascii="宋体" w:hAnsi="宋体" w:eastAsia="宋体" w:cs="Times New Roman"/>
        </w:rPr>
      </w:pPr>
      <w:r>
        <w:rPr>
          <w:rFonts w:hint="eastAsia" w:ascii="宋体" w:hAnsi="宋体" w:eastAsia="宋体" w:cs="Times New Roman"/>
        </w:rPr>
        <w:t>（4）招标文件规定的评标程序、评标方法和评标因素；</w:t>
      </w:r>
    </w:p>
    <w:p>
      <w:pPr>
        <w:ind w:firstLine="411" w:firstLineChars="196"/>
        <w:rPr>
          <w:rFonts w:ascii="宋体" w:hAnsi="宋体" w:eastAsia="宋体" w:cs="Times New Roman"/>
        </w:rPr>
      </w:pPr>
      <w:r>
        <w:rPr>
          <w:rFonts w:hint="eastAsia" w:ascii="宋体" w:hAnsi="宋体" w:eastAsia="宋体" w:cs="Times New Roman"/>
        </w:rPr>
        <w:t>（5）招标文件所列示的资格性审查表及符合性审查表。</w:t>
      </w:r>
    </w:p>
    <w:p>
      <w:pPr>
        <w:rPr>
          <w:rFonts w:ascii="黑体" w:hAnsi="宋体" w:eastAsia="黑体" w:cs="Times New Roman"/>
          <w:sz w:val="24"/>
        </w:rPr>
      </w:pPr>
      <w:r>
        <w:rPr>
          <w:rFonts w:hint="eastAsia" w:ascii="黑体" w:hAnsi="宋体" w:eastAsia="黑体" w:cs="Times New Roman"/>
          <w:sz w:val="24"/>
        </w:rPr>
        <w:t>31．独立评审</w:t>
      </w:r>
    </w:p>
    <w:p>
      <w:pPr>
        <w:ind w:firstLine="411" w:firstLineChars="196"/>
        <w:rPr>
          <w:rFonts w:ascii="宋体" w:hAnsi="宋体" w:eastAsia="宋体" w:cs="Times New Roman"/>
          <w:bCs/>
        </w:rPr>
      </w:pPr>
      <w:r>
        <w:rPr>
          <w:rFonts w:hint="eastAsia" w:ascii="宋体" w:hAnsi="宋体" w:eastAsia="宋体" w:cs="Times New Roman"/>
          <w:bCs/>
        </w:rPr>
        <w:t>3</w:t>
      </w:r>
      <w:r>
        <w:rPr>
          <w:rFonts w:ascii="宋体" w:hAnsi="宋体" w:eastAsia="宋体" w:cs="Times New Roman"/>
          <w:bCs/>
        </w:rPr>
        <w:t>1</w:t>
      </w:r>
      <w:r>
        <w:rPr>
          <w:rFonts w:hint="eastAsia" w:ascii="宋体" w:hAnsi="宋体" w:eastAsia="宋体" w:cs="Times New Roman"/>
          <w:bCs/>
        </w:rPr>
        <w:t>.1</w:t>
      </w:r>
      <w:r>
        <w:rPr>
          <w:rFonts w:hint="eastAsia" w:ascii="宋体" w:hAnsi="宋体" w:eastAsia="宋体" w:cs="Times New Roman"/>
          <w:szCs w:val="21"/>
        </w:rPr>
        <w:t>评审委员会</w:t>
      </w:r>
      <w:r>
        <w:rPr>
          <w:rFonts w:hint="eastAsia" w:ascii="宋体" w:hAnsi="宋体" w:eastAsia="宋体" w:cs="Times New Roman"/>
          <w:bCs/>
        </w:rPr>
        <w:t>成员的评标活动应当独立进行，并应遵循投标文件初审、澄清有关问题、比较与评价、确定中标供应商、编写评审报告的工作程序。</w:t>
      </w:r>
    </w:p>
    <w:p>
      <w:pPr>
        <w:ind w:firstLine="411" w:firstLineChars="196"/>
        <w:rPr>
          <w:rFonts w:ascii="宋体" w:hAnsi="宋体" w:eastAsia="宋体" w:cs="Times New Roman"/>
          <w:bCs/>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评审程序及评审方法</w:t>
      </w:r>
    </w:p>
    <w:p>
      <w:pPr>
        <w:rPr>
          <w:rFonts w:ascii="黑体" w:hAnsi="宋体" w:eastAsia="黑体" w:cs="Times New Roman"/>
          <w:sz w:val="24"/>
        </w:rPr>
      </w:pPr>
      <w:r>
        <w:rPr>
          <w:rFonts w:hint="eastAsia" w:ascii="黑体" w:hAnsi="宋体" w:eastAsia="黑体" w:cs="Times New Roman"/>
          <w:sz w:val="24"/>
        </w:rPr>
        <w:t>32．投标文件初审</w:t>
      </w:r>
    </w:p>
    <w:p>
      <w:pPr>
        <w:ind w:firstLine="411" w:firstLineChars="196"/>
        <w:rPr>
          <w:rFonts w:ascii="宋体" w:hAnsi="宋体" w:eastAsia="宋体" w:cs="Times New Roman"/>
        </w:rPr>
      </w:pPr>
      <w:r>
        <w:rPr>
          <w:rFonts w:hint="eastAsia" w:ascii="宋体" w:hAnsi="宋体" w:eastAsia="宋体" w:cs="Times New Roman"/>
        </w:rPr>
        <w:t>32.1投标文件初审包括资格性审查和符合性审查。</w:t>
      </w:r>
    </w:p>
    <w:p>
      <w:pPr>
        <w:ind w:firstLine="411" w:firstLineChars="196"/>
        <w:rPr>
          <w:rFonts w:ascii="宋体" w:hAnsi="宋体" w:eastAsia="宋体" w:cs="Times New Roman"/>
        </w:rPr>
      </w:pPr>
      <w:r>
        <w:rPr>
          <w:rFonts w:hint="eastAsia" w:ascii="宋体" w:hAnsi="宋体" w:eastAsia="宋体" w:cs="Times New Roman"/>
        </w:rPr>
        <w:t>资格性审查：</w:t>
      </w:r>
      <w:r>
        <w:rPr>
          <w:rFonts w:hint="eastAsia" w:ascii="宋体" w:hAnsi="宋体" w:eastAsia="宋体" w:cs="Times New Roman"/>
          <w:b/>
          <w:bCs/>
          <w:color w:val="FF0000"/>
          <w:szCs w:val="21"/>
        </w:rPr>
        <w:t>深圳公共资源交易中心（深圳交易集团有限公司</w:t>
      </w:r>
      <w:r>
        <w:rPr>
          <w:rFonts w:hint="eastAsia" w:ascii="宋体" w:hAnsi="宋体" w:cs="Times New Roman"/>
          <w:b/>
          <w:bCs/>
          <w:color w:val="FF0000"/>
          <w:szCs w:val="21"/>
          <w:lang w:val="en-US" w:eastAsia="zh-CN"/>
        </w:rPr>
        <w:t>大鹏分公司</w:t>
      </w:r>
      <w:r>
        <w:rPr>
          <w:rFonts w:hint="eastAsia" w:ascii="宋体" w:hAnsi="宋体" w:eastAsia="宋体" w:cs="Times New Roman"/>
          <w:b/>
          <w:bCs/>
          <w:color w:val="FF0000"/>
          <w:szCs w:val="21"/>
        </w:rPr>
        <w:t>）</w:t>
      </w:r>
      <w:r>
        <w:rPr>
          <w:rFonts w:hint="eastAsia" w:ascii="宋体" w:hAnsi="宋体" w:eastAsia="宋体" w:cs="Times New Roman"/>
        </w:rPr>
        <w:t>依据法律法规和招标文件的规定，对投标文件中的资格证明等进行审查，以确定投标供应商是否具备投标资格。</w:t>
      </w:r>
    </w:p>
    <w:p>
      <w:pPr>
        <w:ind w:firstLine="411" w:firstLineChars="196"/>
        <w:rPr>
          <w:rFonts w:ascii="宋体" w:hAnsi="宋体" w:eastAsia="宋体" w:cs="Times New Roman"/>
        </w:rPr>
      </w:pPr>
      <w:r>
        <w:rPr>
          <w:rFonts w:hint="eastAsia" w:ascii="宋体" w:hAnsi="宋体" w:eastAsia="宋体" w:cs="Times New Roman"/>
        </w:rPr>
        <w:t>符合性审查：依据招标文件的规定，对投标文件的有效性、完整性和对招标文件的响应程度进行审查，以确定是否满足符合性审查的要求。</w:t>
      </w:r>
    </w:p>
    <w:p>
      <w:pPr>
        <w:ind w:firstLine="411" w:firstLineChars="196"/>
        <w:rPr>
          <w:rFonts w:ascii="宋体" w:hAnsi="宋体" w:eastAsia="宋体" w:cs="Times New Roman"/>
        </w:rPr>
      </w:pPr>
      <w:r>
        <w:rPr>
          <w:rFonts w:hint="eastAsia" w:ascii="宋体" w:hAnsi="宋体" w:eastAsia="宋体" w:cs="Times New Roman"/>
        </w:rPr>
        <w:t>32.2 投标文件初审内容请详见《资格性审查表》和《符合性审查表》部分。投标人若有一条审查不通过则按投标无效处理。</w:t>
      </w:r>
    </w:p>
    <w:p>
      <w:pPr>
        <w:ind w:firstLine="411" w:firstLineChars="196"/>
        <w:rPr>
          <w:rFonts w:ascii="宋体" w:hAnsi="宋体" w:eastAsia="宋体" w:cs="Times New Roman"/>
          <w:bCs/>
        </w:rPr>
      </w:pPr>
      <w:r>
        <w:rPr>
          <w:rFonts w:hint="eastAsia" w:ascii="宋体" w:hAnsi="宋体" w:eastAsia="宋体" w:cs="Times New Roman"/>
          <w:bCs/>
        </w:rPr>
        <w:t>32.3 投标文件初审中关于供应商家数的计算:</w:t>
      </w:r>
    </w:p>
    <w:p>
      <w:pPr>
        <w:ind w:firstLine="411" w:firstLineChars="196"/>
        <w:rPr>
          <w:rFonts w:ascii="宋体" w:hAnsi="宋体" w:eastAsia="宋体" w:cs="Times New Roman"/>
          <w:bCs/>
        </w:rPr>
      </w:pPr>
      <w:r>
        <w:rPr>
          <w:rFonts w:hint="eastAsia" w:ascii="宋体" w:hAnsi="宋体" w:eastAsia="宋体" w:cs="Times New Roman"/>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ascii="宋体" w:hAnsi="宋体" w:eastAsia="宋体" w:cs="Times New Roman"/>
          <w:bCs/>
        </w:rPr>
      </w:pPr>
      <w:r>
        <w:rPr>
          <w:rFonts w:hint="eastAsia" w:ascii="宋体" w:hAnsi="宋体" w:eastAsia="宋体" w:cs="Times New Roman"/>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cs="Times New Roman"/>
          <w:bCs/>
          <w:szCs w:val="21"/>
        </w:rPr>
        <w:t>评审委员会</w:t>
      </w:r>
      <w:r>
        <w:rPr>
          <w:rFonts w:hint="eastAsia" w:ascii="宋体" w:hAnsi="宋体" w:eastAsia="宋体" w:cs="Times New Roman"/>
          <w:bCs/>
        </w:rPr>
        <w:t>按照招标文件规定的方式确定一个投标人获得中标人推荐资格，招标文件未规定的采取随机抽取方式确定，其他同品牌投标人不作为中标候选人。</w:t>
      </w:r>
    </w:p>
    <w:p>
      <w:pPr>
        <w:ind w:firstLine="411" w:firstLineChars="196"/>
        <w:rPr>
          <w:rFonts w:ascii="宋体" w:hAnsi="宋体" w:eastAsia="宋体" w:cs="Times New Roman"/>
          <w:bCs/>
        </w:rPr>
      </w:pPr>
      <w:r>
        <w:rPr>
          <w:rFonts w:hint="eastAsia" w:ascii="宋体" w:hAnsi="宋体" w:eastAsia="宋体" w:cs="Times New Roman"/>
          <w:bCs/>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ascii="宋体" w:hAnsi="宋体" w:eastAsia="宋体" w:cs="Times New Roman"/>
        </w:rPr>
      </w:pPr>
      <w:r>
        <w:rPr>
          <w:rFonts w:hint="eastAsia" w:ascii="宋体" w:hAnsi="宋体" w:eastAsia="宋体" w:cs="Times New Roman"/>
        </w:rPr>
        <w:t>32.4投标人投标文件作无效处理的情形，具体包括但不限于以下：</w:t>
      </w:r>
    </w:p>
    <w:p>
      <w:pPr>
        <w:ind w:firstLine="411" w:firstLineChars="196"/>
        <w:rPr>
          <w:rFonts w:ascii="Times New Roman" w:hAnsi="Times New Roman" w:eastAsia="宋体" w:cs="Times New Roman"/>
        </w:rPr>
      </w:pPr>
      <w:r>
        <w:rPr>
          <w:rFonts w:hint="eastAsia" w:ascii="宋体" w:hAnsi="宋体" w:eastAsia="宋体" w:cs="Times New Roman"/>
        </w:rPr>
        <w:t>32.4.1</w:t>
      </w:r>
      <w:r>
        <w:rPr>
          <w:rFonts w:hint="eastAsia" w:ascii="Times New Roman" w:hAnsi="Times New Roman" w:eastAsia="宋体" w:cs="Times New Roman"/>
        </w:rPr>
        <w:t>不同投标人的投标文件由同一单位或者同一个人编制，或者由同一个人分阶段参与编制；</w:t>
      </w:r>
    </w:p>
    <w:p>
      <w:pPr>
        <w:ind w:firstLine="411" w:firstLineChars="196"/>
        <w:rPr>
          <w:rFonts w:ascii="Times New Roman" w:hAnsi="Times New Roman" w:eastAsia="宋体" w:cs="Times New Roman"/>
        </w:rPr>
      </w:pPr>
      <w:r>
        <w:rPr>
          <w:rFonts w:ascii="宋体" w:hAnsi="宋体" w:eastAsia="宋体" w:cs="Times New Roman"/>
        </w:rPr>
        <w:t>32.4.</w:t>
      </w:r>
      <w:r>
        <w:rPr>
          <w:rFonts w:hint="eastAsia" w:ascii="宋体" w:hAnsi="宋体" w:eastAsia="宋体" w:cs="Times New Roman"/>
        </w:rPr>
        <w:t>2</w:t>
      </w:r>
      <w:r>
        <w:rPr>
          <w:rFonts w:hint="eastAsia" w:ascii="Times New Roman" w:hAnsi="Times New Roman" w:eastAsia="宋体" w:cs="Times New Roman"/>
        </w:rPr>
        <w:t>不同投标人委托同一单位或者个人办理投标事宜；</w:t>
      </w:r>
    </w:p>
    <w:p>
      <w:pPr>
        <w:ind w:firstLine="411" w:firstLineChars="196"/>
        <w:rPr>
          <w:rFonts w:ascii="宋体" w:hAnsi="宋体" w:eastAsia="宋体" w:cs="Times New Roman"/>
        </w:rPr>
      </w:pPr>
      <w:r>
        <w:rPr>
          <w:rFonts w:hint="eastAsia" w:ascii="宋体" w:hAnsi="宋体" w:eastAsia="宋体" w:cs="Times New Roman"/>
        </w:rPr>
        <w:t>32.4.3不同投标人的投标文件载明的项目管理成员或者联系人员为同一人；</w:t>
      </w:r>
    </w:p>
    <w:p>
      <w:pPr>
        <w:ind w:firstLine="411" w:firstLineChars="196"/>
        <w:rPr>
          <w:rFonts w:ascii="宋体" w:hAnsi="宋体" w:eastAsia="宋体" w:cs="Times New Roman"/>
        </w:rPr>
      </w:pPr>
      <w:r>
        <w:rPr>
          <w:rFonts w:hint="eastAsia" w:ascii="宋体" w:hAnsi="宋体" w:eastAsia="宋体" w:cs="Times New Roman"/>
        </w:rPr>
        <w:t>32.4.4不同投标人的投标文件异常一致或者投标报价呈规律性差异；</w:t>
      </w:r>
    </w:p>
    <w:p>
      <w:pPr>
        <w:ind w:firstLine="411" w:firstLineChars="196"/>
        <w:rPr>
          <w:rFonts w:ascii="宋体" w:hAnsi="宋体" w:eastAsia="宋体" w:cs="Times New Roman"/>
        </w:rPr>
      </w:pPr>
      <w:r>
        <w:rPr>
          <w:rFonts w:hint="eastAsia" w:ascii="宋体" w:hAnsi="宋体" w:eastAsia="宋体" w:cs="Times New Roman"/>
        </w:rPr>
        <w:t>32.4.5</w:t>
      </w:r>
      <w:r>
        <w:rPr>
          <w:rFonts w:ascii="宋体" w:hAnsi="宋体" w:eastAsia="宋体" w:cs="Times New Roman"/>
        </w:rPr>
        <w:t>不同投标供应商的投标文件或部分投标文件相互混装</w:t>
      </w:r>
      <w:r>
        <w:rPr>
          <w:rFonts w:hint="eastAsia" w:ascii="宋体" w:hAnsi="宋体" w:eastAsia="宋体" w:cs="Times New Roman"/>
        </w:rPr>
        <w:t>；</w:t>
      </w:r>
    </w:p>
    <w:p>
      <w:pPr>
        <w:ind w:firstLine="411" w:firstLineChars="196"/>
        <w:rPr>
          <w:rFonts w:ascii="宋体" w:hAnsi="宋体" w:eastAsia="宋体" w:cs="Times New Roman"/>
        </w:rPr>
      </w:pPr>
      <w:r>
        <w:rPr>
          <w:rFonts w:hint="eastAsia" w:ascii="宋体" w:hAnsi="宋体" w:eastAsia="宋体" w:cs="Times New Roman"/>
        </w:rPr>
        <w:t>32.4.6投标供应商之间相互约定给予未中标的供应商利益补偿；</w:t>
      </w:r>
    </w:p>
    <w:p>
      <w:pPr>
        <w:ind w:firstLine="411" w:firstLineChars="196"/>
        <w:rPr>
          <w:rFonts w:ascii="宋体" w:hAnsi="宋体" w:eastAsia="宋体" w:cs="Times New Roman"/>
        </w:rPr>
      </w:pPr>
      <w:r>
        <w:rPr>
          <w:rFonts w:hint="eastAsia" w:ascii="宋体" w:hAnsi="宋体" w:eastAsia="宋体" w:cs="Times New Roman"/>
        </w:rPr>
        <w:t>32.4.7不同投标供应商的法定代表人、主要经营负责人、项目投标授权代表人、项目负责人、主要技术人员为同一人、属同一单位或者同一单位缴纳社会保险；</w:t>
      </w:r>
    </w:p>
    <w:p>
      <w:pPr>
        <w:ind w:firstLine="411" w:firstLineChars="196"/>
        <w:rPr>
          <w:rFonts w:ascii="宋体" w:hAnsi="宋体" w:eastAsia="宋体" w:cs="Times New Roman"/>
        </w:rPr>
      </w:pPr>
      <w:r>
        <w:rPr>
          <w:rFonts w:hint="eastAsia" w:ascii="宋体" w:hAnsi="宋体" w:eastAsia="宋体" w:cs="Times New Roman"/>
        </w:rPr>
        <w:t>32.4.8不同投标供应商的投标文件内容存在非正常一致；</w:t>
      </w:r>
    </w:p>
    <w:p>
      <w:pPr>
        <w:ind w:firstLine="411" w:firstLineChars="196"/>
        <w:rPr>
          <w:rFonts w:ascii="宋体" w:hAnsi="宋体" w:eastAsia="宋体" w:cs="Times New Roman"/>
        </w:rPr>
      </w:pPr>
      <w:r>
        <w:rPr>
          <w:rFonts w:hint="eastAsia" w:ascii="宋体" w:hAnsi="宋体" w:eastAsia="宋体" w:cs="Times New Roman"/>
        </w:rPr>
        <w:t>32.4.9在同一单位工作人员为两家以上（含两家）供应商进行同一项投标活动；</w:t>
      </w:r>
    </w:p>
    <w:p>
      <w:pPr>
        <w:ind w:firstLine="411" w:firstLineChars="196"/>
        <w:rPr>
          <w:rFonts w:ascii="宋体" w:hAnsi="宋体" w:eastAsia="宋体" w:cs="Times New Roman"/>
        </w:rPr>
      </w:pPr>
      <w:r>
        <w:rPr>
          <w:rFonts w:hint="eastAsia" w:ascii="宋体" w:hAnsi="宋体" w:eastAsia="宋体" w:cs="Times New Roman"/>
        </w:rPr>
        <w:t>32.4.10主管部门依照法律、法规认定的其他情形。</w:t>
      </w:r>
    </w:p>
    <w:p>
      <w:pPr>
        <w:rPr>
          <w:rFonts w:hint="eastAsia" w:ascii="宋体" w:hAnsi="宋体" w:eastAsia="宋体" w:cs="Times New Roman"/>
        </w:rPr>
      </w:pPr>
      <w:r>
        <w:rPr>
          <w:rFonts w:hint="eastAsia" w:ascii="宋体" w:hAnsi="宋体" w:eastAsia="宋体" w:cs="Times New Roman"/>
        </w:rPr>
        <w:t>32.5对不属于《资格性审查表》和《符合性审查表》所列的其他情形，除专用条款另有规定和32.4条款所列情形外，不得作为投标无效的理由。</w:t>
      </w:r>
    </w:p>
    <w:p>
      <w:pPr>
        <w:rPr>
          <w:rFonts w:ascii="黑体" w:hAnsi="宋体" w:eastAsia="黑体" w:cs="Times New Roman"/>
          <w:sz w:val="24"/>
        </w:rPr>
      </w:pPr>
      <w:r>
        <w:rPr>
          <w:rFonts w:hint="eastAsia" w:ascii="黑体" w:hAnsi="宋体" w:eastAsia="黑体" w:cs="Times New Roman"/>
          <w:sz w:val="24"/>
        </w:rPr>
        <w:t>33．澄清有关问题</w:t>
      </w:r>
    </w:p>
    <w:p>
      <w:pPr>
        <w:ind w:firstLine="411" w:firstLineChars="196"/>
        <w:rPr>
          <w:rFonts w:ascii="宋体" w:hAnsi="宋体" w:eastAsia="宋体" w:cs="Times New Roman"/>
        </w:rPr>
      </w:pPr>
      <w:bookmarkStart w:id="104" w:name="_Hlk71407321"/>
      <w:r>
        <w:rPr>
          <w:rFonts w:hint="eastAsia" w:ascii="宋体" w:hAnsi="宋体" w:eastAsia="宋体" w:cs="Times New Roman"/>
        </w:rPr>
        <w:t>3</w:t>
      </w:r>
      <w:r>
        <w:rPr>
          <w:rFonts w:ascii="宋体" w:hAnsi="宋体" w:eastAsia="宋体" w:cs="Times New Roman"/>
        </w:rPr>
        <w:t>3.1</w:t>
      </w:r>
      <w:r>
        <w:rPr>
          <w:rFonts w:hint="eastAsia" w:ascii="宋体" w:hAnsi="宋体" w:eastAsia="宋体" w:cs="Times New Roman"/>
        </w:rPr>
        <w:t>对招标文件中描述有歧义或前后不一致的地方（不含</w:t>
      </w:r>
      <w:r>
        <w:rPr>
          <w:rFonts w:ascii="Times New Roman" w:hAnsi="Times New Roman" w:eastAsia="宋体" w:cs="Times New Roman"/>
          <w:szCs w:val="21"/>
        </w:rPr>
        <w:t>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w:t>
      </w:r>
      <w:r>
        <w:rPr>
          <w:rFonts w:hint="eastAsia" w:ascii="Times New Roman" w:hAnsi="Times New Roman" w:eastAsia="宋体" w:cs="Times New Roman"/>
          <w:szCs w:val="21"/>
        </w:rPr>
        <w:t>的情况）</w:t>
      </w:r>
      <w:r>
        <w:rPr>
          <w:rFonts w:hint="eastAsia" w:ascii="宋体" w:hAnsi="宋体" w:eastAsia="宋体" w:cs="Times New Roman"/>
        </w:rPr>
        <w:t>，评审委员会有权进行评判，但对同一条款的评判应适用于每个投标人。</w:t>
      </w:r>
      <w:bookmarkEnd w:id="104"/>
    </w:p>
    <w:p>
      <w:pPr>
        <w:ind w:firstLine="411" w:firstLineChars="196"/>
        <w:rPr>
          <w:rFonts w:ascii="宋体" w:hAnsi="宋体" w:eastAsia="宋体" w:cs="Times New Roman"/>
        </w:rPr>
      </w:pPr>
      <w:r>
        <w:rPr>
          <w:rFonts w:hint="eastAsia" w:ascii="宋体" w:hAnsi="宋体" w:eastAsia="宋体" w:cs="Times New Roman"/>
        </w:rPr>
        <w:t>3</w:t>
      </w:r>
      <w:r>
        <w:rPr>
          <w:rFonts w:ascii="宋体" w:hAnsi="宋体" w:eastAsia="宋体" w:cs="Times New Roman"/>
        </w:rPr>
        <w:t>3.2</w:t>
      </w:r>
      <w:r>
        <w:rPr>
          <w:rFonts w:ascii="Times New Roman" w:hAnsi="Times New Roman" w:eastAsia="宋体" w:cs="Times New Roman"/>
          <w:szCs w:val="21"/>
        </w:rPr>
        <w:t>评</w:t>
      </w:r>
      <w:r>
        <w:rPr>
          <w:rFonts w:hint="eastAsia" w:ascii="Times New Roman" w:hAnsi="Times New Roman" w:eastAsia="宋体" w:cs="Times New Roman"/>
          <w:szCs w:val="21"/>
        </w:rPr>
        <w:t>审</w:t>
      </w:r>
      <w:r>
        <w:rPr>
          <w:rFonts w:ascii="Times New Roman" w:hAnsi="Times New Roman" w:eastAsia="宋体" w:cs="Times New Roman"/>
          <w:szCs w:val="21"/>
        </w:rPr>
        <w:t>委员会发现招标文件存在歧义、重大缺陷导致评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工作无法进行，或者招标文件内容违反国家有关强制性规定的，应当停止评</w:t>
      </w:r>
      <w:r>
        <w:rPr>
          <w:rFonts w:hint="eastAsia" w:ascii="Times New Roman" w:hAnsi="Times New Roman" w:eastAsia="宋体" w:cs="Times New Roman"/>
          <w:szCs w:val="21"/>
        </w:rPr>
        <w:t>审</w:t>
      </w:r>
      <w:r>
        <w:rPr>
          <w:rFonts w:ascii="Times New Roman" w:hAnsi="Times New Roman" w:eastAsia="宋体" w:cs="Times New Roman"/>
          <w:szCs w:val="21"/>
        </w:rPr>
        <w:t>工作，与</w:t>
      </w:r>
      <w:r>
        <w:rPr>
          <w:rFonts w:hint="eastAsia" w:ascii="Times New Roman" w:hAnsi="Times New Roman" w:eastAsia="宋体" w:cs="Times New Roman"/>
          <w:szCs w:val="21"/>
        </w:rPr>
        <w:t>政府集中采购机构</w:t>
      </w:r>
      <w:r>
        <w:rPr>
          <w:rFonts w:ascii="Times New Roman" w:hAnsi="Times New Roman" w:eastAsia="宋体" w:cs="Times New Roman"/>
          <w:szCs w:val="21"/>
        </w:rPr>
        <w:t>沟通并作书面记录。</w:t>
      </w:r>
      <w:r>
        <w:rPr>
          <w:rFonts w:hint="eastAsia" w:ascii="Times New Roman" w:hAnsi="Times New Roman" w:eastAsia="宋体" w:cs="Times New Roman"/>
          <w:szCs w:val="21"/>
        </w:rPr>
        <w:t>经</w:t>
      </w:r>
      <w:r>
        <w:rPr>
          <w:rFonts w:ascii="Times New Roman" w:hAnsi="Times New Roman" w:eastAsia="宋体" w:cs="Times New Roman"/>
          <w:szCs w:val="21"/>
        </w:rPr>
        <w:t>确认后，</w:t>
      </w:r>
      <w:r>
        <w:rPr>
          <w:rFonts w:hint="eastAsia" w:ascii="Times New Roman" w:hAnsi="Times New Roman" w:eastAsia="宋体" w:cs="Times New Roman"/>
          <w:szCs w:val="21"/>
        </w:rPr>
        <w:t>项目</w:t>
      </w:r>
      <w:r>
        <w:rPr>
          <w:rFonts w:ascii="Times New Roman" w:hAnsi="Times New Roman" w:eastAsia="宋体" w:cs="Times New Roman"/>
          <w:szCs w:val="21"/>
        </w:rPr>
        <w:t>应当修改招标文件，重新组织采购活动。</w:t>
      </w:r>
    </w:p>
    <w:p>
      <w:pPr>
        <w:ind w:firstLine="411" w:firstLineChars="196"/>
        <w:rPr>
          <w:rFonts w:ascii="宋体" w:hAnsi="宋体" w:eastAsia="宋体" w:cs="Times New Roman"/>
        </w:rPr>
      </w:pPr>
      <w:r>
        <w:rPr>
          <w:rFonts w:ascii="宋体" w:hAnsi="宋体" w:eastAsia="宋体" w:cs="Times New Roman"/>
        </w:rPr>
        <w:t>33.3</w:t>
      </w:r>
      <w:r>
        <w:rPr>
          <w:rFonts w:hint="eastAsia" w:ascii="宋体" w:hAnsi="宋体" w:eastAsia="宋体" w:cs="Times New Roman"/>
        </w:rPr>
        <w:t>对于投标文件中含义不明确、同类问题表述不一致或者有明显文字和计算错误的内容，评审委员会应当以书面形式要求投标人作出必要的澄清、说明或者补正。</w:t>
      </w:r>
    </w:p>
    <w:p>
      <w:pPr>
        <w:ind w:firstLine="411" w:firstLineChars="196"/>
        <w:rPr>
          <w:rFonts w:ascii="宋体" w:hAnsi="宋体" w:eastAsia="宋体" w:cs="Times New Roman"/>
        </w:rPr>
      </w:pPr>
      <w:r>
        <w:rPr>
          <w:rFonts w:hint="eastAsia" w:ascii="宋体" w:hAnsi="宋体" w:eastAsia="宋体" w:cs="Times New Roma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ascii="宋体" w:hAnsi="宋体" w:eastAsia="宋体" w:cs="Times New Roman"/>
          <w:szCs w:val="21"/>
        </w:rPr>
      </w:pPr>
      <w:r>
        <w:rPr>
          <w:rFonts w:hint="eastAsia" w:ascii="宋体" w:hAnsi="宋体" w:eastAsia="宋体" w:cs="Times New Roman"/>
          <w:szCs w:val="21"/>
        </w:rPr>
        <w:t>根据本通用条款第34条，凡属于评审委员会在评审中发现的算术错误进行核实的修改不在此列。</w:t>
      </w:r>
    </w:p>
    <w:p>
      <w:pPr>
        <w:rPr>
          <w:rFonts w:ascii="黑体" w:hAnsi="宋体" w:eastAsia="黑体" w:cs="Times New Roman"/>
          <w:sz w:val="24"/>
        </w:rPr>
      </w:pPr>
      <w:bookmarkStart w:id="105" w:name="_Toc73521581"/>
      <w:bookmarkStart w:id="106" w:name="_Toc73521669"/>
      <w:bookmarkStart w:id="107" w:name="_Toc73518151"/>
      <w:bookmarkStart w:id="108" w:name="_Toc73517673"/>
      <w:bookmarkStart w:id="109" w:name="_Toc100052400"/>
      <w:r>
        <w:rPr>
          <w:rFonts w:hint="eastAsia" w:ascii="黑体" w:hAnsi="宋体" w:eastAsia="黑体" w:cs="Times New Roman"/>
          <w:sz w:val="24"/>
        </w:rPr>
        <w:t>34．错误的修正</w:t>
      </w:r>
      <w:bookmarkEnd w:id="105"/>
      <w:bookmarkEnd w:id="106"/>
      <w:bookmarkEnd w:id="107"/>
      <w:bookmarkEnd w:id="108"/>
      <w:bookmarkEnd w:id="109"/>
    </w:p>
    <w:p>
      <w:pPr>
        <w:ind w:firstLine="411" w:firstLineChars="196"/>
        <w:rPr>
          <w:rFonts w:ascii="宋体" w:hAnsi="宋体" w:eastAsia="宋体" w:cs="Times New Roman"/>
          <w:szCs w:val="21"/>
        </w:rPr>
      </w:pPr>
      <w:r>
        <w:rPr>
          <w:rFonts w:hint="eastAsia" w:ascii="宋体" w:hAnsi="宋体" w:eastAsia="宋体" w:cs="Times New Roman"/>
          <w:szCs w:val="21"/>
        </w:rPr>
        <w:t>投标文件报价出现前后不一致的，除专用条款另有规定外，按照下列规定修正：</w:t>
      </w:r>
    </w:p>
    <w:p>
      <w:pPr>
        <w:ind w:firstLine="411" w:firstLineChars="196"/>
        <w:rPr>
          <w:rFonts w:ascii="宋体" w:hAnsi="宋体" w:eastAsia="宋体" w:cs="Times New Roman"/>
          <w:szCs w:val="21"/>
        </w:rPr>
      </w:pPr>
      <w:r>
        <w:rPr>
          <w:rFonts w:hint="eastAsia" w:ascii="宋体" w:hAnsi="宋体" w:eastAsia="宋体" w:cs="Times New Roman"/>
          <w:szCs w:val="21"/>
        </w:rPr>
        <w:t>34.1投标文件中开标一览表投标报价内容与投标文件中投标报价相应内容不一致的，以开标一览表为准；</w:t>
      </w:r>
    </w:p>
    <w:p>
      <w:pPr>
        <w:ind w:firstLine="411" w:firstLineChars="196"/>
        <w:rPr>
          <w:rFonts w:ascii="宋体" w:hAnsi="宋体" w:eastAsia="宋体" w:cs="Times New Roman"/>
          <w:szCs w:val="21"/>
        </w:rPr>
      </w:pPr>
      <w:r>
        <w:rPr>
          <w:rFonts w:hint="eastAsia" w:ascii="宋体" w:hAnsi="宋体" w:eastAsia="宋体" w:cs="Times New Roman"/>
          <w:szCs w:val="21"/>
        </w:rPr>
        <w:t>34.2大写金额和小写金额不一致的，以大写金额为准；</w:t>
      </w:r>
    </w:p>
    <w:p>
      <w:pPr>
        <w:ind w:firstLine="411" w:firstLineChars="196"/>
        <w:rPr>
          <w:rFonts w:ascii="宋体" w:hAnsi="宋体" w:eastAsia="宋体" w:cs="Times New Roman"/>
          <w:szCs w:val="21"/>
        </w:rPr>
      </w:pPr>
      <w:r>
        <w:rPr>
          <w:rFonts w:hint="eastAsia" w:ascii="宋体" w:hAnsi="宋体" w:eastAsia="宋体" w:cs="Times New Roman"/>
          <w:szCs w:val="21"/>
        </w:rPr>
        <w:t>34.3单价金额小数点或者百分比有明显错位，以开标一览表的总价为准，并修改单价；</w:t>
      </w:r>
    </w:p>
    <w:p>
      <w:pPr>
        <w:ind w:firstLine="411" w:firstLineChars="196"/>
        <w:rPr>
          <w:rFonts w:ascii="宋体" w:hAnsi="宋体" w:eastAsia="宋体" w:cs="Times New Roman"/>
          <w:szCs w:val="21"/>
        </w:rPr>
      </w:pPr>
      <w:r>
        <w:rPr>
          <w:rFonts w:hint="eastAsia" w:ascii="宋体" w:hAnsi="宋体" w:eastAsia="宋体" w:cs="Times New Roman"/>
          <w:szCs w:val="21"/>
        </w:rPr>
        <w:t>34.4总价金额与按单价汇总金额不一致的，以单价金额计算结果为准。</w:t>
      </w:r>
    </w:p>
    <w:p>
      <w:pPr>
        <w:ind w:firstLine="411" w:firstLineChars="196"/>
        <w:rPr>
          <w:rFonts w:ascii="宋体" w:hAnsi="宋体" w:eastAsia="宋体" w:cs="Times New Roman"/>
          <w:szCs w:val="21"/>
        </w:rPr>
      </w:pPr>
      <w:r>
        <w:rPr>
          <w:rFonts w:hint="eastAsia" w:ascii="宋体" w:hAnsi="宋体" w:eastAsia="宋体" w:cs="Times New Roman"/>
          <w:szCs w:val="21"/>
        </w:rPr>
        <w:t>34.5同时出现两种以上不一致的，按照前款规定的顺序修正。修正后的报价按照本通用条款33条的规定，经投标人确认后产生约束力，投标人不确认的，其投标无效。</w:t>
      </w:r>
    </w:p>
    <w:p>
      <w:pPr>
        <w:rPr>
          <w:rFonts w:ascii="黑体" w:hAnsi="宋体" w:eastAsia="黑体" w:cs="Times New Roman"/>
          <w:sz w:val="24"/>
        </w:rPr>
      </w:pPr>
      <w:r>
        <w:rPr>
          <w:rFonts w:hint="eastAsia" w:ascii="黑体" w:hAnsi="宋体" w:eastAsia="黑体" w:cs="Times New Roman"/>
          <w:sz w:val="24"/>
        </w:rPr>
        <w:t>35．投标文件的比较与评价</w:t>
      </w:r>
    </w:p>
    <w:p>
      <w:pPr>
        <w:ind w:firstLine="411" w:firstLineChars="196"/>
        <w:rPr>
          <w:rFonts w:ascii="宋体" w:hAnsi="宋体" w:eastAsia="宋体" w:cs="Times New Roman"/>
          <w:szCs w:val="21"/>
        </w:rPr>
      </w:pPr>
      <w:r>
        <w:rPr>
          <w:rFonts w:hint="eastAsia" w:ascii="宋体" w:hAnsi="宋体" w:eastAsia="宋体" w:cs="Times New Roman"/>
          <w:szCs w:val="21"/>
        </w:rPr>
        <w:t>评审委员会将</w:t>
      </w:r>
      <w:r>
        <w:rPr>
          <w:rFonts w:hint="eastAsia" w:ascii="宋体" w:hAnsi="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1" w:firstLineChars="196"/>
        <w:rPr>
          <w:rFonts w:ascii="宋体" w:hAnsi="宋体" w:eastAsia="宋体" w:cs="Times New Roman"/>
          <w:szCs w:val="21"/>
        </w:rPr>
      </w:pPr>
      <w:r>
        <w:rPr>
          <w:rFonts w:hint="eastAsia" w:ascii="宋体" w:hAnsi="宋体" w:eastAsia="宋体" w:cs="Times New Roman"/>
          <w:szCs w:val="21"/>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cs="Times New Roman"/>
          <w:sz w:val="24"/>
        </w:rPr>
      </w:pPr>
      <w:r>
        <w:rPr>
          <w:rFonts w:hint="eastAsia" w:ascii="黑体" w:hAnsi="宋体" w:eastAsia="黑体" w:cs="Times New Roman"/>
          <w:sz w:val="24"/>
        </w:rPr>
        <w:t>36. 实地考察或资料查验</w:t>
      </w:r>
    </w:p>
    <w:p>
      <w:pPr>
        <w:ind w:firstLine="411" w:firstLineChars="196"/>
        <w:rPr>
          <w:rFonts w:ascii="宋体" w:hAnsi="宋体" w:eastAsia="宋体" w:cs="Times New Roman"/>
          <w:szCs w:val="21"/>
        </w:rPr>
      </w:pPr>
      <w:r>
        <w:rPr>
          <w:rFonts w:hint="eastAsia" w:ascii="宋体" w:hAnsi="宋体" w:eastAsia="宋体" w:cs="Times New Roman"/>
          <w:szCs w:val="21"/>
        </w:rPr>
        <w:t>36.1在评审过程中，评审委员会有权决定是否对本项目投标人进行实地考察或资料查验（原件）。投标人应随时做好接受实地考察或资料查验的准备。</w:t>
      </w:r>
    </w:p>
    <w:p>
      <w:pPr>
        <w:rPr>
          <w:rFonts w:ascii="黑体" w:hAnsi="宋体" w:eastAsia="黑体" w:cs="Times New Roman"/>
          <w:sz w:val="24"/>
        </w:rPr>
      </w:pPr>
      <w:r>
        <w:rPr>
          <w:rFonts w:hint="eastAsia" w:ascii="黑体" w:hAnsi="宋体" w:eastAsia="黑体" w:cs="Times New Roman"/>
          <w:sz w:val="24"/>
        </w:rPr>
        <w:t>37．评审方法</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37.1.1最低价法</w:t>
      </w:r>
    </w:p>
    <w:p>
      <w:pPr>
        <w:ind w:firstLine="411" w:firstLineChars="196"/>
        <w:rPr>
          <w:rFonts w:hint="eastAsia" w:ascii="ˎ̥" w:hAnsi="ˎ̥" w:eastAsia="宋体" w:cs="Times New Roman"/>
          <w:lang w:eastAsia="zh-CN"/>
        </w:rPr>
      </w:pPr>
      <w:bookmarkStart w:id="110" w:name="_Hlk72438142"/>
      <w:r>
        <w:rPr>
          <w:rFonts w:ascii="ˎ̥" w:hAnsi="ˎ̥" w:eastAsia="宋体" w:cs="Times New Roman"/>
        </w:rPr>
        <w:t>最低价法，</w:t>
      </w:r>
      <w:r>
        <w:rPr>
          <w:rFonts w:hint="eastAsia" w:ascii="ˎ̥" w:hAnsi="ˎ̥" w:eastAsia="宋体" w:cs="Times New Roman"/>
        </w:rPr>
        <w:t>是指投标文件满足招标文件全部实质性要求，且投标报价最低的投标人为中标候选人的评标方法</w:t>
      </w:r>
      <w:r>
        <w:rPr>
          <w:rFonts w:hint="eastAsia" w:ascii="ˎ̥" w:hAnsi="ˎ̥" w:eastAsia="宋体" w:cs="Times New Roman"/>
          <w:lang w:eastAsia="zh-CN"/>
        </w:rPr>
        <w:t>。</w:t>
      </w:r>
    </w:p>
    <w:p>
      <w:pPr>
        <w:ind w:firstLine="411" w:firstLineChars="196"/>
        <w:rPr>
          <w:rFonts w:hint="eastAsia" w:ascii="ˎ̥" w:hAnsi="ˎ̥" w:eastAsia="宋体" w:cs="Times New Roman"/>
          <w:lang w:eastAsia="zh-CN"/>
        </w:rPr>
      </w:pPr>
      <w:r>
        <w:rPr>
          <w:rFonts w:hint="eastAsia" w:ascii="ˎ̥" w:hAnsi="ˎ̥" w:eastAsia="宋体" w:cs="Times New Roman"/>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37.1.2综合评分法</w:t>
      </w:r>
    </w:p>
    <w:p>
      <w:pPr>
        <w:ind w:firstLine="411" w:firstLineChars="196"/>
        <w:rPr>
          <w:rFonts w:hint="eastAsia" w:ascii="ˎ̥" w:hAnsi="ˎ̥" w:eastAsia="宋体" w:cs="Times New Roman"/>
          <w:lang w:eastAsia="zh-CN"/>
        </w:rPr>
      </w:pPr>
      <w:r>
        <w:rPr>
          <w:rFonts w:ascii="ˎ̥" w:hAnsi="ˎ̥" w:eastAsia="宋体" w:cs="Times New Roman"/>
        </w:rPr>
        <w:t>综合评分法，是指</w:t>
      </w:r>
      <w:r>
        <w:rPr>
          <w:rFonts w:hint="eastAsia" w:ascii="ˎ̥" w:hAnsi="ˎ̥" w:eastAsia="宋体" w:cs="Times New Roman"/>
        </w:rPr>
        <w:t>在</w:t>
      </w:r>
      <w:r>
        <w:rPr>
          <w:rFonts w:ascii="ˎ̥" w:hAnsi="ˎ̥" w:eastAsia="宋体" w:cs="Times New Roman"/>
        </w:rPr>
        <w:t>满足招标文件全部实质性要求</w:t>
      </w:r>
      <w:r>
        <w:rPr>
          <w:rFonts w:hint="eastAsia" w:ascii="ˎ̥" w:hAnsi="ˎ̥" w:eastAsia="宋体" w:cs="Times New Roman"/>
        </w:rPr>
        <w:t>的前提下</w:t>
      </w:r>
      <w:r>
        <w:rPr>
          <w:rFonts w:ascii="ˎ̥" w:hAnsi="ˎ̥" w:eastAsia="宋体" w:cs="Times New Roman"/>
        </w:rPr>
        <w:t>，</w:t>
      </w:r>
      <w:r>
        <w:rPr>
          <w:rFonts w:hint="eastAsia" w:ascii="ˎ̥" w:hAnsi="ˎ̥" w:eastAsia="宋体" w:cs="Times New Roman"/>
        </w:rPr>
        <w:t>按照招标文件中规定的各项因素进行综合评审，评审总得分排名前列的投标人，作为推荐的候选中标供应商</w:t>
      </w:r>
      <w:bookmarkEnd w:id="110"/>
      <w:r>
        <w:rPr>
          <w:rFonts w:hint="eastAsia" w:ascii="ˎ̥" w:hAnsi="ˎ̥" w:eastAsia="宋体" w:cs="Times New Roman"/>
          <w:lang w:eastAsia="zh-CN"/>
        </w:rPr>
        <w:t>。</w:t>
      </w:r>
    </w:p>
    <w:p>
      <w:pPr>
        <w:ind w:firstLine="411" w:firstLineChars="196"/>
        <w:rPr>
          <w:rFonts w:hint="eastAsia" w:ascii="ˎ̥" w:hAnsi="ˎ̥" w:eastAsia="宋体" w:cs="Times New Roman"/>
          <w:lang w:eastAsia="zh-CN"/>
        </w:rPr>
      </w:pPr>
      <w:r>
        <w:rPr>
          <w:rFonts w:hint="eastAsia" w:ascii="ˎ̥" w:hAnsi="ˎ̥" w:eastAsia="宋体" w:cs="Times New Roman"/>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37.2本项目采用的评审方法见本项目招标文件第一册“专用条款”的相关内容。</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37.3重新评审的情形</w:t>
      </w:r>
    </w:p>
    <w:p>
      <w:pPr>
        <w:ind w:firstLine="411" w:firstLineChars="196"/>
        <w:rPr>
          <w:rFonts w:ascii="宋体" w:hAnsi="宋体" w:eastAsia="宋体" w:cs="Times New Roman"/>
          <w:b/>
          <w:bCs/>
          <w:szCs w:val="21"/>
        </w:rPr>
      </w:pPr>
      <w:r>
        <w:rPr>
          <w:rFonts w:hint="eastAsia" w:ascii="宋体" w:hAnsi="宋体" w:eastAsia="宋体" w:cs="宋体"/>
          <w:kern w:val="0"/>
          <w:szCs w:val="21"/>
        </w:rPr>
        <w:t>评审结果汇总完成后，除下列情形外，任何人不得修改评审结果：</w:t>
      </w:r>
    </w:p>
    <w:p>
      <w:pPr>
        <w:ind w:firstLine="411" w:firstLineChars="196"/>
        <w:rPr>
          <w:rFonts w:ascii="宋体" w:hAnsi="宋体" w:eastAsia="宋体" w:cs="宋体"/>
          <w:kern w:val="0"/>
          <w:szCs w:val="21"/>
        </w:rPr>
      </w:pPr>
      <w:r>
        <w:rPr>
          <w:rFonts w:hint="eastAsia" w:ascii="宋体" w:hAnsi="宋体" w:eastAsia="宋体" w:cs="宋体"/>
          <w:kern w:val="0"/>
          <w:szCs w:val="21"/>
        </w:rPr>
        <w:t>37.3.1分值汇总计算错误的；</w:t>
      </w:r>
    </w:p>
    <w:p>
      <w:pPr>
        <w:ind w:firstLine="411" w:firstLineChars="196"/>
        <w:rPr>
          <w:rFonts w:ascii="宋体" w:hAnsi="宋体" w:eastAsia="宋体" w:cs="宋体"/>
          <w:kern w:val="0"/>
          <w:szCs w:val="21"/>
        </w:rPr>
      </w:pPr>
      <w:r>
        <w:rPr>
          <w:rFonts w:hint="eastAsia" w:ascii="宋体" w:hAnsi="宋体" w:eastAsia="宋体" w:cs="宋体"/>
          <w:kern w:val="0"/>
          <w:szCs w:val="21"/>
        </w:rPr>
        <w:t>37.3.2分项评分超出评分标准范围的；</w:t>
      </w:r>
    </w:p>
    <w:p>
      <w:pPr>
        <w:ind w:firstLine="411" w:firstLineChars="196"/>
        <w:rPr>
          <w:rFonts w:ascii="宋体" w:hAnsi="宋体" w:eastAsia="宋体" w:cs="宋体"/>
          <w:kern w:val="0"/>
          <w:szCs w:val="21"/>
        </w:rPr>
      </w:pPr>
      <w:r>
        <w:rPr>
          <w:rFonts w:hint="eastAsia" w:ascii="宋体" w:hAnsi="宋体" w:eastAsia="宋体" w:cs="宋体"/>
          <w:kern w:val="0"/>
          <w:szCs w:val="21"/>
        </w:rPr>
        <w:t>37.3.3评审委员会成员对客观评审因素评分不一致的；</w:t>
      </w:r>
    </w:p>
    <w:p>
      <w:pPr>
        <w:ind w:firstLine="411" w:firstLineChars="196"/>
        <w:rPr>
          <w:rFonts w:ascii="宋体" w:hAnsi="宋体" w:eastAsia="宋体" w:cs="宋体"/>
          <w:kern w:val="0"/>
          <w:szCs w:val="21"/>
        </w:rPr>
      </w:pPr>
      <w:r>
        <w:rPr>
          <w:rFonts w:hint="eastAsia" w:ascii="宋体" w:hAnsi="宋体" w:eastAsia="宋体" w:cs="宋体"/>
          <w:kern w:val="0"/>
          <w:szCs w:val="21"/>
        </w:rPr>
        <w:t>37.3.4经评审委员会认定评分畸高、畸低的。</w:t>
      </w:r>
    </w:p>
    <w:p>
      <w:pPr>
        <w:ind w:firstLine="411" w:firstLineChars="196"/>
        <w:rPr>
          <w:rFonts w:ascii="宋体" w:hAnsi="宋体" w:eastAsia="宋体" w:cs="宋体"/>
          <w:kern w:val="0"/>
          <w:szCs w:val="21"/>
        </w:rPr>
      </w:pPr>
      <w:r>
        <w:rPr>
          <w:rFonts w:hint="eastAsia" w:ascii="宋体" w:hAnsi="宋体" w:eastAsia="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w:t>
      </w:r>
    </w:p>
    <w:p>
      <w:pPr>
        <w:ind w:firstLine="411" w:firstLineChars="196"/>
        <w:rPr>
          <w:rFonts w:ascii="宋体" w:hAnsi="宋体" w:eastAsia="宋体" w:cs="宋体"/>
          <w:kern w:val="0"/>
          <w:szCs w:val="21"/>
        </w:rPr>
      </w:pPr>
      <w:r>
        <w:rPr>
          <w:rFonts w:hint="eastAsia" w:ascii="宋体" w:hAnsi="宋体" w:eastAsia="宋体" w:cs="宋体"/>
          <w:kern w:val="0"/>
          <w:szCs w:val="21"/>
        </w:rPr>
        <w:t>投标人对本条第一款情形提出质疑的，采购人或者采购代理机构可以组织原评审委员会进行重新评审。</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37.4重新组建评审委员会的情形</w:t>
      </w:r>
    </w:p>
    <w:p>
      <w:pPr>
        <w:ind w:firstLine="411" w:firstLineChars="196"/>
        <w:rPr>
          <w:rFonts w:ascii="宋体" w:hAnsi="宋体" w:eastAsia="宋体" w:cs="宋体"/>
          <w:kern w:val="0"/>
          <w:szCs w:val="21"/>
        </w:rPr>
      </w:pPr>
      <w:r>
        <w:rPr>
          <w:rFonts w:hint="eastAsia" w:ascii="宋体" w:hAnsi="宋体" w:eastAsia="宋体" w:cs="宋体"/>
          <w:kern w:val="0"/>
          <w:szCs w:val="21"/>
        </w:rPr>
        <w:t>评审委员会或者其成员存在下列情形导致评审结果无效的，重新组建评审委员会进行评标：</w:t>
      </w:r>
    </w:p>
    <w:p>
      <w:pPr>
        <w:ind w:firstLine="411" w:firstLineChars="196"/>
        <w:rPr>
          <w:rFonts w:ascii="宋体" w:hAnsi="宋体" w:eastAsia="宋体" w:cs="宋体"/>
          <w:kern w:val="0"/>
          <w:szCs w:val="21"/>
        </w:rPr>
      </w:pPr>
      <w:r>
        <w:rPr>
          <w:rFonts w:hint="eastAsia" w:ascii="宋体" w:hAnsi="宋体" w:eastAsia="宋体" w:cs="宋体"/>
          <w:kern w:val="0"/>
          <w:szCs w:val="21"/>
        </w:rPr>
        <w:t>37.4.1评审委员会组成不符合《政府采购货物和服务招标投标管理办法》规定的；</w:t>
      </w:r>
    </w:p>
    <w:p>
      <w:pPr>
        <w:ind w:firstLine="411" w:firstLineChars="196"/>
        <w:rPr>
          <w:rFonts w:ascii="宋体" w:hAnsi="宋体" w:eastAsia="宋体" w:cs="宋体"/>
          <w:kern w:val="0"/>
          <w:szCs w:val="21"/>
        </w:rPr>
      </w:pPr>
      <w:r>
        <w:rPr>
          <w:rFonts w:hint="eastAsia" w:ascii="宋体" w:hAnsi="宋体" w:eastAsia="宋体" w:cs="宋体"/>
          <w:kern w:val="0"/>
          <w:szCs w:val="21"/>
        </w:rPr>
        <w:t>37.4.2有《政府采购货物和服务招标投标管理办法》第六十二条第一至五项情形的；</w:t>
      </w:r>
    </w:p>
    <w:p>
      <w:pPr>
        <w:ind w:firstLine="411" w:firstLineChars="196"/>
        <w:rPr>
          <w:rFonts w:ascii="宋体" w:hAnsi="宋体" w:eastAsia="宋体" w:cs="宋体"/>
          <w:kern w:val="0"/>
          <w:szCs w:val="21"/>
        </w:rPr>
      </w:pPr>
      <w:r>
        <w:rPr>
          <w:rFonts w:hint="eastAsia" w:ascii="宋体" w:hAnsi="宋体" w:eastAsia="宋体" w:cs="宋体"/>
          <w:kern w:val="0"/>
          <w:szCs w:val="21"/>
        </w:rPr>
        <w:t>37.4.3评审委员会及其成员独立评标受到非法干预的；</w:t>
      </w:r>
    </w:p>
    <w:p>
      <w:pPr>
        <w:ind w:firstLine="411" w:firstLineChars="196"/>
        <w:rPr>
          <w:rFonts w:ascii="宋体" w:hAnsi="宋体" w:eastAsia="宋体" w:cs="宋体"/>
          <w:kern w:val="0"/>
          <w:szCs w:val="21"/>
        </w:rPr>
      </w:pPr>
      <w:r>
        <w:rPr>
          <w:rFonts w:hint="eastAsia" w:ascii="宋体" w:hAnsi="宋体" w:eastAsia="宋体" w:cs="宋体"/>
          <w:kern w:val="0"/>
          <w:szCs w:val="21"/>
        </w:rPr>
        <w:t>37.4.4有政府采购法实施条例第七十五条规定的违法行为的。</w:t>
      </w:r>
    </w:p>
    <w:p>
      <w:pPr>
        <w:ind w:firstLine="411" w:firstLineChars="196"/>
        <w:rPr>
          <w:rFonts w:ascii="宋体" w:hAnsi="宋体" w:eastAsia="宋体" w:cs="宋体"/>
          <w:kern w:val="0"/>
          <w:szCs w:val="21"/>
        </w:rPr>
      </w:pPr>
      <w:r>
        <w:rPr>
          <w:rFonts w:hint="eastAsia" w:ascii="宋体" w:hAnsi="宋体" w:eastAsia="宋体" w:cs="宋体"/>
          <w:kern w:val="0"/>
          <w:szCs w:val="21"/>
        </w:rPr>
        <w:t>有违法违规行为的原评审委员会成员不得参加重新组建的评审委员会。</w:t>
      </w:r>
    </w:p>
    <w:p>
      <w:pPr>
        <w:ind w:firstLine="411" w:firstLineChars="196"/>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定标及公示</w:t>
      </w:r>
    </w:p>
    <w:p>
      <w:pPr>
        <w:rPr>
          <w:rFonts w:ascii="黑体" w:hAnsi="宋体" w:eastAsia="黑体" w:cs="Times New Roman"/>
          <w:sz w:val="24"/>
        </w:rPr>
      </w:pPr>
      <w:r>
        <w:rPr>
          <w:rFonts w:hint="eastAsia" w:ascii="黑体" w:hAnsi="宋体" w:eastAsia="黑体" w:cs="Times New Roman"/>
          <w:sz w:val="24"/>
        </w:rPr>
        <w:t>38．定标方法</w:t>
      </w:r>
    </w:p>
    <w:p>
      <w:pPr>
        <w:ind w:firstLine="411" w:firstLineChars="196"/>
        <w:rPr>
          <w:rFonts w:ascii="宋体" w:hAnsi="宋体" w:eastAsia="宋体" w:cs="Times New Roman"/>
          <w:szCs w:val="21"/>
        </w:rPr>
      </w:pPr>
      <w:bookmarkStart w:id="111" w:name="_Hlk73782795"/>
      <w:r>
        <w:rPr>
          <w:rFonts w:hint="eastAsia" w:ascii="宋体" w:hAnsi="宋体" w:eastAsia="宋体" w:cs="Times New Roman"/>
          <w:szCs w:val="21"/>
        </w:rPr>
        <w:t>38.1非评定分离项目定标方法</w:t>
      </w:r>
    </w:p>
    <w:p>
      <w:pPr>
        <w:ind w:firstLine="411" w:firstLineChars="196"/>
        <w:rPr>
          <w:rFonts w:ascii="宋体" w:hAnsi="宋体" w:eastAsia="宋体" w:cs="Times New Roman"/>
          <w:szCs w:val="21"/>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1.2</w:t>
      </w:r>
      <w:r>
        <w:rPr>
          <w:rFonts w:ascii="ˎ̥" w:hAnsi="ˎ̥" w:eastAsia="宋体" w:cs="Times New Roman"/>
        </w:rPr>
        <w:t>采用最低价法的，评</w:t>
      </w:r>
      <w:r>
        <w:rPr>
          <w:rFonts w:hint="eastAsia" w:ascii="ˎ̥" w:hAnsi="ˎ̥" w:eastAsia="宋体" w:cs="Times New Roman"/>
        </w:rPr>
        <w:t>审</w:t>
      </w:r>
      <w:r>
        <w:rPr>
          <w:rFonts w:ascii="ˎ̥" w:hAnsi="ˎ̥" w:eastAsia="宋体" w:cs="Times New Roman"/>
        </w:rPr>
        <w:t>结果按投标报价由低到高顺序排列。投标报价相同的并列。投标文件满足招标文件全部实质性要求且投标报价最低的</w:t>
      </w:r>
      <w:r>
        <w:rPr>
          <w:rFonts w:hint="eastAsia" w:ascii="ˎ̥" w:hAnsi="ˎ̥" w:eastAsia="宋体" w:cs="Times New Roman"/>
        </w:rPr>
        <w:t>投标人为</w:t>
      </w:r>
      <w:bookmarkStart w:id="112" w:name="_Hlk73821177"/>
      <w:r>
        <w:rPr>
          <w:rFonts w:hint="eastAsia" w:ascii="ˎ̥" w:hAnsi="ˎ̥" w:eastAsia="宋体" w:cs="Times New Roman"/>
        </w:rPr>
        <w:t>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bookmarkEnd w:id="112"/>
      <w:r>
        <w:rPr>
          <w:rFonts w:ascii="ˎ̥" w:hAnsi="ˎ̥" w:eastAsia="宋体" w:cs="Times New Roman"/>
        </w:rPr>
        <w:t>）。</w:t>
      </w:r>
    </w:p>
    <w:p>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1.3</w:t>
      </w:r>
      <w:r>
        <w:rPr>
          <w:rFonts w:ascii="宋体" w:hAnsi="宋体" w:eastAsia="宋体" w:cs="Times New Roman"/>
          <w:szCs w:val="21"/>
        </w:rPr>
        <w:t>采</w:t>
      </w:r>
      <w:r>
        <w:rPr>
          <w:rFonts w:ascii="ˎ̥" w:hAnsi="ˎ̥" w:eastAsia="宋体" w:cs="Times New Roma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cs="Times New Roman"/>
        </w:rPr>
        <w:t>为中标供应商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r>
        <w:rPr>
          <w:rFonts w:ascii="ˎ̥" w:hAnsi="ˎ̥" w:eastAsia="宋体" w:cs="Times New Roman"/>
        </w:rPr>
        <w:t>）。</w:t>
      </w:r>
      <w:r>
        <w:rPr>
          <w:rFonts w:hint="eastAsia" w:ascii="ˎ̥" w:hAnsi="ˎ̥" w:eastAsia="宋体" w:cs="Times New Roman"/>
        </w:rPr>
        <w:t>出现</w:t>
      </w:r>
      <w:r>
        <w:rPr>
          <w:rFonts w:ascii="ˎ̥" w:hAnsi="ˎ̥" w:eastAsia="宋体" w:cs="Times New Roman"/>
        </w:rPr>
        <w:t>得分且投标报价相同的并列</w:t>
      </w:r>
      <w:r>
        <w:rPr>
          <w:rFonts w:hint="eastAsia" w:ascii="ˎ̥" w:hAnsi="ˎ̥" w:eastAsia="宋体" w:cs="Times New Roman"/>
        </w:rPr>
        <w:t>情况时，采取随机抽取的方式确定，具体操作办法及流程由评审委员会确定。</w:t>
      </w:r>
    </w:p>
    <w:p>
      <w:pPr>
        <w:ind w:firstLine="411" w:firstLineChars="196"/>
        <w:rPr>
          <w:rFonts w:ascii="宋体" w:hAnsi="宋体" w:eastAsia="宋体" w:cs="Times New Roman"/>
          <w:szCs w:val="21"/>
        </w:rPr>
      </w:pPr>
      <w:r>
        <w:rPr>
          <w:rFonts w:hint="eastAsia" w:ascii="宋体" w:hAnsi="宋体" w:eastAsia="宋体" w:cs="Times New Roman"/>
          <w:szCs w:val="21"/>
        </w:rPr>
        <w:t>38.2评定分离项目定标方法</w:t>
      </w:r>
    </w:p>
    <w:p>
      <w:pPr>
        <w:ind w:firstLine="411" w:firstLineChars="196"/>
        <w:rPr>
          <w:rFonts w:ascii="宋体" w:hAnsi="宋体" w:eastAsia="宋体" w:cs="Times New Roman"/>
          <w:szCs w:val="21"/>
        </w:rPr>
      </w:pPr>
      <w:r>
        <w:rPr>
          <w:rFonts w:hint="eastAsia" w:ascii="宋体" w:hAnsi="宋体" w:eastAsia="宋体" w:cs="Times New Roman"/>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rPr>
          <w:rFonts w:ascii="Times New Roman" w:hAnsi="Times New Roman" w:eastAsia="宋体" w:cs="Times New Roman"/>
        </w:rPr>
      </w:pPr>
      <w:r>
        <w:rPr>
          <w:rFonts w:ascii="宋体" w:hAnsi="宋体" w:eastAsia="宋体" w:cs="Times New Roman"/>
          <w:szCs w:val="21"/>
        </w:rPr>
        <w:t xml:space="preserve">38.2.2 </w:t>
      </w:r>
      <w:bookmarkStart w:id="113" w:name="_Hlk71469733"/>
      <w:r>
        <w:rPr>
          <w:rFonts w:ascii="Times New Roman" w:hAnsi="Times New Roman" w:eastAsia="宋体" w:cs="Times New Roman"/>
        </w:rPr>
        <w:t>适用评定分离的采购项目，采用综合评分法评</w:t>
      </w:r>
      <w:r>
        <w:rPr>
          <w:rFonts w:hint="eastAsia" w:ascii="Times New Roman" w:hAnsi="Times New Roman" w:eastAsia="宋体" w:cs="Times New Roman"/>
        </w:rPr>
        <w:t>审。</w:t>
      </w:r>
      <w:r>
        <w:rPr>
          <w:rFonts w:hint="eastAsia" w:ascii="宋体" w:hAnsi="宋体" w:eastAsia="宋体" w:cs="Times New Roman"/>
          <w:szCs w:val="21"/>
        </w:rPr>
        <w:t>评审委员会按照评审结果，推荐</w:t>
      </w:r>
      <w:r>
        <w:rPr>
          <w:rFonts w:ascii="Times New Roman" w:hAnsi="Times New Roman" w:eastAsia="宋体" w:cs="Times New Roman"/>
        </w:rPr>
        <w:t>三个合格的候选中标供应商。</w:t>
      </w:r>
    </w:p>
    <w:p>
      <w:pPr>
        <w:ind w:firstLine="411" w:firstLineChars="196"/>
        <w:rPr>
          <w:rFonts w:ascii="宋体" w:hAnsi="宋体" w:eastAsia="宋体" w:cs="Times New Roman"/>
          <w:szCs w:val="21"/>
        </w:rPr>
      </w:pPr>
      <w:r>
        <w:rPr>
          <w:rFonts w:hint="eastAsia" w:ascii="宋体" w:hAnsi="宋体" w:eastAsia="宋体" w:cs="Times New Roman"/>
          <w:szCs w:val="21"/>
        </w:rPr>
        <w:t>38.2.3</w:t>
      </w:r>
      <w:bookmarkStart w:id="114" w:name="_Hlk71469688"/>
      <w:r>
        <w:rPr>
          <w:rFonts w:ascii="Times New Roman" w:hAnsi="Times New Roman" w:eastAsia="宋体" w:cs="Times New Roman"/>
        </w:rPr>
        <w:t>适用评定分离的采购项目，</w:t>
      </w:r>
      <w:r>
        <w:rPr>
          <w:rFonts w:hint="eastAsia" w:ascii="宋体" w:hAnsi="宋体" w:eastAsia="宋体" w:cs="Times New Roman"/>
          <w:szCs w:val="21"/>
        </w:rPr>
        <w:t>按照自定法确定中标供应商：自定法是指采购人组织定标委员会，由定标委员会在三家候选中标供应商中确定中标供应商。</w:t>
      </w:r>
      <w:bookmarkEnd w:id="113"/>
      <w:bookmarkEnd w:id="114"/>
    </w:p>
    <w:p>
      <w:pPr>
        <w:ind w:firstLine="411" w:firstLineChars="196"/>
        <w:rPr>
          <w:rFonts w:ascii="宋体" w:hAnsi="宋体" w:eastAsia="宋体" w:cs="Times New Roman"/>
          <w:szCs w:val="21"/>
        </w:rPr>
      </w:pPr>
      <w:r>
        <w:rPr>
          <w:rFonts w:ascii="宋体" w:hAnsi="宋体" w:eastAsia="宋体" w:cs="Times New Roman"/>
          <w:szCs w:val="21"/>
        </w:rPr>
        <w:t>38.2.4</w:t>
      </w:r>
      <w:r>
        <w:rPr>
          <w:rFonts w:hint="eastAsia" w:ascii="宋体" w:hAnsi="宋体" w:eastAsia="宋体" w:cs="Times New Roman"/>
          <w:szCs w:val="21"/>
        </w:rPr>
        <w:t>政府集中采购机构</w:t>
      </w:r>
      <w:r>
        <w:rPr>
          <w:rFonts w:ascii="Times New Roman" w:hAnsi="Times New Roman" w:eastAsia="宋体" w:cs="Times New Roman"/>
        </w:rPr>
        <w:t>应当自评审结束之日起两个工作日内将候选中标供应商名单及其投标文件、评审报告送交采购人</w:t>
      </w:r>
      <w:r>
        <w:rPr>
          <w:rFonts w:hint="eastAsia" w:ascii="宋体" w:hAnsi="宋体" w:eastAsia="宋体" w:cs="Times New Roman"/>
          <w:szCs w:val="21"/>
        </w:rPr>
        <w:t>。</w:t>
      </w:r>
      <w:r>
        <w:rPr>
          <w:rFonts w:ascii="Times New Roman" w:hAnsi="Times New Roman" w:eastAsia="宋体" w:cs="Times New Roman"/>
        </w:rPr>
        <w:t>采购人应当安排专人对定标过程进行书面记录，形成定标报告，作为采购文件的组成部分存档，并及时将定标结果反馈</w:t>
      </w:r>
      <w:r>
        <w:rPr>
          <w:rFonts w:hint="eastAsia" w:ascii="Times New Roman" w:hAnsi="Times New Roman" w:eastAsia="宋体" w:cs="Times New Roman"/>
        </w:rPr>
        <w:t>政府集中采购机构。具体定标程序及相关要求以</w:t>
      </w:r>
      <w:r>
        <w:rPr>
          <w:rFonts w:hint="eastAsia" w:cs="Times New Roman"/>
          <w:lang w:val="en-US" w:eastAsia="zh-CN"/>
        </w:rPr>
        <w:t>参照</w:t>
      </w:r>
      <w:r>
        <w:rPr>
          <w:rFonts w:hint="eastAsia" w:ascii="Times New Roman" w:hAnsi="Times New Roman" w:eastAsia="宋体" w:cs="Times New Roman"/>
        </w:rPr>
        <w:t>《深圳市财政局关于</w:t>
      </w:r>
      <w:r>
        <w:rPr>
          <w:rFonts w:hint="eastAsia" w:ascii="Times New Roman" w:hAnsi="Times New Roman" w:eastAsia="宋体" w:cs="Times New Roman"/>
          <w:lang w:val="en-US" w:eastAsia="zh-CN"/>
        </w:rPr>
        <w:t>&lt;</w:t>
      </w:r>
      <w:r>
        <w:rPr>
          <w:rFonts w:hint="eastAsia" w:ascii="Times New Roman" w:hAnsi="Times New Roman" w:eastAsia="宋体" w:cs="Times New Roman"/>
        </w:rPr>
        <w:t>深圳市政府采购评标定标分离管理办法</w:t>
      </w:r>
      <w:r>
        <w:rPr>
          <w:rFonts w:hint="eastAsia" w:ascii="Times New Roman" w:hAnsi="Times New Roman" w:eastAsia="宋体" w:cs="Times New Roman"/>
          <w:lang w:val="en-US" w:eastAsia="zh-CN"/>
        </w:rPr>
        <w:t>&gt;</w:t>
      </w:r>
      <w:r>
        <w:rPr>
          <w:rFonts w:hint="eastAsia" w:ascii="Times New Roman" w:hAnsi="Times New Roman" w:eastAsia="宋体" w:cs="Times New Roman"/>
        </w:rPr>
        <w:t>续期的通知》（深财规〔2023〕1号）执行。</w:t>
      </w:r>
    </w:p>
    <w:p>
      <w:pPr>
        <w:ind w:firstLine="411" w:firstLineChars="196"/>
        <w:rPr>
          <w:rFonts w:ascii="宋体" w:hAnsi="宋体" w:eastAsia="宋体" w:cs="Times New Roman"/>
          <w:szCs w:val="21"/>
        </w:rPr>
      </w:pPr>
      <w:r>
        <w:rPr>
          <w:rFonts w:hint="eastAsia" w:ascii="宋体" w:hAnsi="宋体" w:eastAsia="宋体" w:cs="Times New Roman"/>
          <w:szCs w:val="21"/>
        </w:rPr>
        <w:t>说明：采购人及投标供应商应按照上述方法提前做好相关准备。</w:t>
      </w:r>
    </w:p>
    <w:p>
      <w:pPr>
        <w:ind w:firstLine="411" w:firstLineChars="196"/>
        <w:rPr>
          <w:rFonts w:ascii="宋体" w:hAnsi="宋体" w:eastAsia="宋体" w:cs="Times New Roman"/>
          <w:szCs w:val="21"/>
        </w:rPr>
      </w:pPr>
      <w:r>
        <w:rPr>
          <w:rFonts w:hint="eastAsia" w:ascii="宋体" w:hAnsi="宋体" w:eastAsia="宋体" w:cs="Times New Roman"/>
          <w:szCs w:val="21"/>
        </w:rPr>
        <w:t>38.3专用条款另有规定的，按专用条款相关要求定标。</w:t>
      </w:r>
      <w:bookmarkEnd w:id="111"/>
    </w:p>
    <w:p>
      <w:pPr>
        <w:rPr>
          <w:rFonts w:ascii="黑体" w:hAnsi="宋体" w:eastAsia="黑体" w:cs="Times New Roman"/>
          <w:sz w:val="24"/>
        </w:rPr>
      </w:pPr>
      <w:r>
        <w:rPr>
          <w:rFonts w:hint="eastAsia" w:ascii="黑体" w:hAnsi="宋体" w:eastAsia="黑体" w:cs="Times New Roman"/>
          <w:sz w:val="24"/>
        </w:rPr>
        <w:t>39．编写评审报告</w:t>
      </w:r>
    </w:p>
    <w:p>
      <w:pPr>
        <w:ind w:firstLine="411" w:firstLineChars="196"/>
        <w:rPr>
          <w:rFonts w:ascii="宋体" w:hAnsi="宋体" w:eastAsia="宋体" w:cs="Times New Roman"/>
          <w:szCs w:val="21"/>
        </w:rPr>
      </w:pPr>
      <w:r>
        <w:rPr>
          <w:rFonts w:hint="eastAsia" w:ascii="宋体" w:hAnsi="宋体" w:eastAsia="宋体" w:cs="Times New Roman"/>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cs="Times New Roman"/>
          <w:sz w:val="24"/>
        </w:rPr>
      </w:pPr>
      <w:r>
        <w:rPr>
          <w:rFonts w:hint="eastAsia" w:ascii="黑体" w:hAnsi="宋体" w:eastAsia="黑体" w:cs="Times New Roman"/>
          <w:sz w:val="24"/>
        </w:rPr>
        <w:t>40．中标公告</w:t>
      </w:r>
    </w:p>
    <w:p>
      <w:pPr>
        <w:ind w:firstLine="411" w:firstLineChars="196"/>
        <w:rPr>
          <w:rFonts w:ascii="宋体" w:hAnsi="宋体" w:eastAsia="宋体" w:cs="Times New Roman"/>
          <w:szCs w:val="21"/>
        </w:rPr>
      </w:pPr>
      <w:r>
        <w:rPr>
          <w:rFonts w:hint="eastAsia" w:ascii="宋体" w:hAnsi="宋体" w:eastAsia="宋体" w:cs="Times New Roman"/>
          <w:szCs w:val="21"/>
        </w:rPr>
        <w:t>40.1</w:t>
      </w:r>
      <w:bookmarkStart w:id="115" w:name="_Hlk72438709"/>
      <w:r>
        <w:rPr>
          <w:rFonts w:hint="eastAsia" w:ascii="宋体" w:hAnsi="宋体" w:eastAsia="宋体" w:cs="Times New Roman"/>
          <w:szCs w:val="21"/>
        </w:rPr>
        <w:t>为体现“公开、公平、公正”的原则，评审结束后经采购人确认（确定）评审结果，政府集中采购机构将在</w:t>
      </w:r>
      <w:r>
        <w:rPr>
          <w:rFonts w:hint="eastAsia" w:ascii="宋体" w:hAnsi="宋体" w:eastAsia="宋体" w:cs="Times New Roman"/>
          <w:b/>
          <w:bCs/>
          <w:szCs w:val="21"/>
        </w:rPr>
        <w:t>深圳交易集团官网</w:t>
      </w:r>
      <w:r>
        <w:rPr>
          <w:rFonts w:hint="eastAsia" w:ascii="宋体" w:hAnsi="宋体" w:eastAsia="宋体" w:cs="Times New Roman"/>
          <w:szCs w:val="21"/>
        </w:rPr>
        <w:t>（https://www.szexgrp.com/home/index.html）上发布</w:t>
      </w:r>
      <w:r>
        <w:rPr>
          <w:rFonts w:hint="eastAsia" w:ascii="宋体" w:hAnsi="宋体" w:eastAsia="宋体" w:cs="Times New Roman"/>
          <w:szCs w:val="21"/>
          <w:lang w:eastAsia="zh-CN"/>
        </w:rPr>
        <w:t>中标（成交）结果</w:t>
      </w:r>
      <w:r>
        <w:rPr>
          <w:rFonts w:hint="eastAsia" w:ascii="宋体" w:hAnsi="宋体" w:eastAsia="宋体" w:cs="Times New Roman"/>
          <w:szCs w:val="21"/>
        </w:rPr>
        <w:t>公告。</w:t>
      </w:r>
      <w:bookmarkEnd w:id="115"/>
      <w:bookmarkStart w:id="116" w:name="_Hlk72438751"/>
      <w:r>
        <w:rPr>
          <w:rFonts w:hint="eastAsia" w:ascii="宋体" w:hAnsi="宋体" w:eastAsia="宋体" w:cs="Times New Roman"/>
          <w:szCs w:val="21"/>
        </w:rPr>
        <w:t>供应商如对评审结果有异议，</w:t>
      </w:r>
      <w:r>
        <w:rPr>
          <w:rFonts w:ascii="宋体" w:hAnsi="宋体" w:eastAsia="宋体" w:cs="Times New Roman"/>
          <w:szCs w:val="21"/>
        </w:rPr>
        <w:t>可在发布公示日期起</w:t>
      </w:r>
      <w:r>
        <w:rPr>
          <w:rFonts w:hint="eastAsia" w:ascii="宋体" w:hAnsi="宋体" w:eastAsia="宋体" w:cs="Times New Roman"/>
          <w:szCs w:val="21"/>
        </w:rPr>
        <w:t>七</w:t>
      </w:r>
      <w:r>
        <w:rPr>
          <w:rFonts w:ascii="宋体" w:hAnsi="宋体" w:eastAsia="宋体" w:cs="Times New Roman"/>
          <w:szCs w:val="21"/>
        </w:rPr>
        <w:t>个工作日内向</w:t>
      </w:r>
      <w:r>
        <w:rPr>
          <w:rFonts w:hint="eastAsia" w:ascii="宋体" w:hAnsi="宋体" w:eastAsia="宋体" w:cs="Times New Roman"/>
          <w:szCs w:val="21"/>
        </w:rPr>
        <w:t>政府集中采购机构</w:t>
      </w:r>
      <w:r>
        <w:rPr>
          <w:rFonts w:ascii="宋体" w:hAnsi="宋体" w:eastAsia="宋体" w:cs="Times New Roman"/>
          <w:szCs w:val="21"/>
        </w:rPr>
        <w:t>提出。</w:t>
      </w:r>
      <w:r>
        <w:rPr>
          <w:rFonts w:hint="eastAsia" w:ascii="宋体" w:hAnsi="宋体" w:eastAsia="宋体" w:cs="Times New Roman"/>
          <w:szCs w:val="21"/>
        </w:rPr>
        <w:t>若在公示期内未提出质疑，则视为认同该评审结果。</w:t>
      </w:r>
    </w:p>
    <w:bookmarkEnd w:id="116"/>
    <w:p>
      <w:pPr>
        <w:ind w:firstLine="411" w:firstLineChars="196"/>
        <w:rPr>
          <w:rFonts w:ascii="宋体" w:hAnsi="宋体" w:eastAsia="宋体" w:cs="Times New Roman"/>
          <w:szCs w:val="21"/>
        </w:rPr>
      </w:pPr>
      <w:r>
        <w:rPr>
          <w:rFonts w:hint="eastAsia" w:ascii="宋体" w:hAnsi="宋体" w:eastAsia="宋体" w:cs="Times New Roman"/>
          <w:szCs w:val="21"/>
        </w:rPr>
        <w:t>40.2质疑、投诉供应商应保证质疑、投诉内容的真实性和可靠性，并承担相应的法律责任。</w:t>
      </w:r>
    </w:p>
    <w:p>
      <w:pPr>
        <w:rPr>
          <w:rFonts w:ascii="黑体" w:hAnsi="宋体" w:eastAsia="黑体" w:cs="Times New Roman"/>
          <w:sz w:val="24"/>
        </w:rPr>
      </w:pPr>
      <w:r>
        <w:rPr>
          <w:rFonts w:hint="eastAsia" w:ascii="黑体" w:hAnsi="宋体" w:eastAsia="黑体" w:cs="Times New Roman"/>
          <w:sz w:val="24"/>
        </w:rPr>
        <w:t>41．中标通知书</w:t>
      </w:r>
    </w:p>
    <w:p>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w:t>
      </w:r>
      <w:r>
        <w:rPr>
          <w:rFonts w:hint="eastAsia" w:ascii="宋体" w:hAnsi="宋体" w:eastAsia="宋体" w:cs="Times New Roman"/>
          <w:szCs w:val="21"/>
        </w:rPr>
        <w:t>1</w:t>
      </w:r>
      <w:bookmarkStart w:id="117" w:name="_Hlk72438863"/>
      <w:r>
        <w:rPr>
          <w:rFonts w:hint="eastAsia" w:ascii="宋体" w:hAnsi="宋体" w:eastAsia="宋体" w:cs="Times New Roman"/>
          <w:szCs w:val="21"/>
        </w:rPr>
        <w:t>中标公告公布以后无异常的情况下,中标供应商和采购人可自行在</w:t>
      </w:r>
      <w:r>
        <w:rPr>
          <w:rFonts w:hint="eastAsia" w:ascii="宋体" w:hAnsi="宋体" w:eastAsia="宋体" w:cs="Times New Roman"/>
          <w:b/>
          <w:bCs/>
          <w:szCs w:val="21"/>
        </w:rPr>
        <w:t>“</w:t>
      </w:r>
      <w:r>
        <w:rPr>
          <w:rFonts w:hint="eastAsia" w:ascii="宋体" w:hAnsi="宋体" w:eastAsia="宋体" w:cs="Times New Roman"/>
          <w:b/>
          <w:bCs/>
          <w:szCs w:val="21"/>
          <w:lang w:val="en-US" w:eastAsia="zh-CN"/>
        </w:rPr>
        <w:t>深圳市自行采购系统</w:t>
      </w:r>
      <w:r>
        <w:rPr>
          <w:rFonts w:hint="eastAsia" w:ascii="宋体" w:hAnsi="宋体" w:eastAsia="宋体" w:cs="Times New Roman"/>
          <w:b/>
          <w:bCs/>
          <w:szCs w:val="21"/>
        </w:rPr>
        <w:t>”</w:t>
      </w:r>
      <w:r>
        <w:rPr>
          <w:rFonts w:hint="eastAsia" w:ascii="宋体" w:hAnsi="宋体" w:eastAsia="宋体" w:cs="Times New Roman"/>
          <w:szCs w:val="21"/>
        </w:rPr>
        <w:t>上打印</w:t>
      </w:r>
      <w:r>
        <w:rPr>
          <w:rFonts w:hint="eastAsia" w:ascii="宋体" w:hAnsi="宋体" w:eastAsia="宋体" w:cs="Times New Roman"/>
          <w:b/>
          <w:szCs w:val="21"/>
        </w:rPr>
        <w:t>《数字中标通知书》</w:t>
      </w:r>
      <w:r>
        <w:rPr>
          <w:rFonts w:hint="eastAsia" w:ascii="宋体" w:hAnsi="宋体" w:eastAsia="宋体" w:cs="Times New Roman"/>
          <w:szCs w:val="21"/>
        </w:rPr>
        <w:t>。</w:t>
      </w:r>
      <w:bookmarkEnd w:id="117"/>
    </w:p>
    <w:p>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.2</w:t>
      </w:r>
      <w:r>
        <w:rPr>
          <w:rFonts w:hint="eastAsia" w:ascii="宋体" w:hAnsi="宋体" w:eastAsia="宋体" w:cs="Times New Roman"/>
          <w:szCs w:val="21"/>
        </w:rPr>
        <w:t>中标通知书是合同的重要组成部分。</w:t>
      </w:r>
    </w:p>
    <w:p>
      <w:pPr>
        <w:ind w:firstLine="411" w:firstLineChars="196"/>
        <w:rPr>
          <w:rFonts w:ascii="宋体" w:hAnsi="宋体" w:eastAsia="宋体" w:cs="Times New Roman"/>
          <w:szCs w:val="21"/>
        </w:rPr>
      </w:pPr>
      <w:bookmarkStart w:id="118" w:name="_Hlk71407340"/>
      <w:r>
        <w:rPr>
          <w:rFonts w:hint="eastAsia" w:ascii="宋体" w:hAnsi="宋体" w:eastAsia="宋体" w:cs="Times New Roman"/>
          <w:szCs w:val="21"/>
        </w:rPr>
        <w:t>41.3因质疑投诉或其它原因导致项目结果变更或采购终止的，政府集中采购机构有权吊销中标通知书。</w:t>
      </w:r>
    </w:p>
    <w:bookmarkEnd w:id="118"/>
    <w:p>
      <w:pPr>
        <w:ind w:firstLine="411" w:firstLineChars="196"/>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公开招标失败的后续处理</w:t>
      </w:r>
    </w:p>
    <w:p>
      <w:pPr>
        <w:rPr>
          <w:rFonts w:ascii="黑体" w:hAnsi="宋体" w:eastAsia="黑体" w:cs="Times New Roman"/>
          <w:sz w:val="24"/>
        </w:rPr>
      </w:pPr>
      <w:r>
        <w:rPr>
          <w:rFonts w:hint="eastAsia" w:ascii="黑体" w:hAnsi="宋体" w:eastAsia="黑体" w:cs="Times New Roman"/>
          <w:sz w:val="24"/>
        </w:rPr>
        <w:t>42．公开招标失败的处理</w:t>
      </w:r>
    </w:p>
    <w:p>
      <w:pPr>
        <w:ind w:firstLine="411" w:firstLineChars="196"/>
        <w:rPr>
          <w:rFonts w:ascii="宋体" w:hAnsi="宋体" w:eastAsia="宋体" w:cs="Times New Roman"/>
        </w:rPr>
      </w:pPr>
      <w:r>
        <w:rPr>
          <w:rFonts w:hint="eastAsia" w:ascii="宋体" w:hAnsi="宋体" w:eastAsia="宋体" w:cs="Times New Roman"/>
          <w:szCs w:val="21"/>
        </w:rPr>
        <w:t>42.1本项目公开招标过程中若由于投标截止后</w:t>
      </w:r>
      <w:r>
        <w:rPr>
          <w:rFonts w:hint="eastAsia" w:ascii="宋体" w:hAnsi="宋体" w:eastAsia="宋体" w:cs="Times New Roman"/>
        </w:rPr>
        <w:t>实际递交</w:t>
      </w:r>
      <w:r>
        <w:rPr>
          <w:rFonts w:ascii="宋体" w:hAnsi="宋体" w:eastAsia="宋体" w:cs="Times New Roman"/>
        </w:rPr>
        <w:t>投标</w:t>
      </w:r>
      <w:r>
        <w:rPr>
          <w:rFonts w:hint="eastAsia" w:ascii="宋体" w:hAnsi="宋体" w:eastAsia="宋体" w:cs="Times New Roman"/>
        </w:rPr>
        <w:t>文件的供应商数量不足、经</w:t>
      </w:r>
      <w:r>
        <w:rPr>
          <w:rFonts w:hint="eastAsia" w:ascii="宋体" w:hAnsi="宋体" w:eastAsia="宋体" w:cs="Times New Roman"/>
          <w:szCs w:val="21"/>
        </w:rPr>
        <w:t>评审委员会</w:t>
      </w:r>
      <w:r>
        <w:rPr>
          <w:rFonts w:hint="eastAsia" w:ascii="宋体" w:hAnsi="宋体" w:eastAsia="宋体" w:cs="Times New Roman"/>
        </w:rPr>
        <w:t>评审对招标文件作实质响应的供应商不足等原因造成公开招标失败，可由</w:t>
      </w:r>
      <w:r>
        <w:rPr>
          <w:rFonts w:hint="eastAsia" w:ascii="宋体" w:hAnsi="宋体" w:eastAsia="宋体" w:cs="宋体"/>
        </w:rPr>
        <w:t>政府集中采购机构</w:t>
      </w:r>
      <w:r>
        <w:rPr>
          <w:rFonts w:hint="eastAsia" w:ascii="宋体" w:hAnsi="宋体" w:eastAsia="宋体" w:cs="Times New Roman"/>
        </w:rPr>
        <w:t>重新组织采购。</w:t>
      </w:r>
    </w:p>
    <w:p>
      <w:pPr>
        <w:ind w:firstLine="411" w:firstLineChars="196"/>
        <w:rPr>
          <w:rFonts w:ascii="宋体" w:hAnsi="宋体" w:eastAsia="宋体" w:cs="Times New Roman"/>
          <w:szCs w:val="21"/>
        </w:rPr>
      </w:pPr>
      <w:r>
        <w:rPr>
          <w:rFonts w:hint="eastAsia" w:ascii="宋体" w:hAnsi="宋体" w:eastAsia="宋体" w:cs="Times New Roman"/>
          <w:szCs w:val="21"/>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ascii="宋体" w:hAnsi="宋体" w:eastAsia="宋体" w:cs="Times New Roman"/>
          <w:szCs w:val="21"/>
        </w:rPr>
      </w:pPr>
      <w:r>
        <w:rPr>
          <w:rFonts w:hint="eastAsia" w:ascii="宋体" w:hAnsi="宋体" w:eastAsia="宋体" w:cs="Times New Roman"/>
          <w:szCs w:val="21"/>
        </w:rPr>
        <w:t>42.3重新组织采购有以下两种组织形式：</w:t>
      </w:r>
    </w:p>
    <w:p>
      <w:pPr>
        <w:ind w:firstLine="411" w:firstLineChars="196"/>
        <w:rPr>
          <w:rFonts w:ascii="宋体" w:hAnsi="宋体" w:eastAsia="宋体" w:cs="Times New Roman"/>
        </w:rPr>
      </w:pPr>
      <w:r>
        <w:rPr>
          <w:rFonts w:hint="eastAsia" w:ascii="宋体" w:hAnsi="宋体" w:eastAsia="宋体" w:cs="Times New Roman"/>
        </w:rPr>
        <w:t>（1）由政府集中采购机构重新组织公开招标；</w:t>
      </w:r>
    </w:p>
    <w:p>
      <w:pPr>
        <w:ind w:firstLine="411" w:firstLineChars="196"/>
        <w:rPr>
          <w:rFonts w:ascii="宋体" w:hAnsi="宋体" w:eastAsia="宋体" w:cs="Times New Roman"/>
        </w:rPr>
      </w:pPr>
      <w:r>
        <w:rPr>
          <w:rFonts w:hint="eastAsia" w:ascii="宋体" w:hAnsi="宋体" w:eastAsia="宋体" w:cs="Times New Roman"/>
        </w:rPr>
        <w:t>（2）根据实际情况需要</w:t>
      </w:r>
      <w:r>
        <w:rPr>
          <w:rFonts w:hint="eastAsia" w:ascii="宋体" w:hAnsi="宋体" w:eastAsia="宋体" w:cs="Times New Roman"/>
          <w:lang w:eastAsia="zh-CN"/>
        </w:rPr>
        <w:t>，</w:t>
      </w:r>
      <w:r>
        <w:rPr>
          <w:rFonts w:hint="eastAsia" w:ascii="宋体" w:hAnsi="宋体" w:eastAsia="宋体" w:cs="Times New Roman"/>
          <w:lang w:val="en-US" w:eastAsia="zh-CN"/>
        </w:rPr>
        <w:t>按</w:t>
      </w:r>
      <w:r>
        <w:rPr>
          <w:rFonts w:hint="eastAsia" w:ascii="宋体" w:hAnsi="宋体" w:eastAsia="宋体" w:cs="Times New Roman"/>
          <w:kern w:val="2"/>
          <w:sz w:val="21"/>
          <w:szCs w:val="21"/>
          <w:lang w:val="en-US" w:eastAsia="zh-CN"/>
        </w:rPr>
        <w:t>采购单位内控规定，</w:t>
      </w:r>
      <w:r>
        <w:rPr>
          <w:rFonts w:hint="eastAsia" w:ascii="宋体" w:hAnsi="宋体" w:eastAsia="宋体" w:cs="Times New Roman"/>
        </w:rPr>
        <w:t>提出非公开招标方式申请，公开招标失败采购项目可转为竞争性谈判或单一来源谈判方式采购。</w:t>
      </w:r>
    </w:p>
    <w:p>
      <w:pPr>
        <w:ind w:firstLine="411" w:firstLineChars="196"/>
        <w:rPr>
          <w:rFonts w:ascii="宋体" w:hAnsi="宋体" w:eastAsia="宋体" w:cs="Times New Roman"/>
        </w:rPr>
      </w:pPr>
      <w:r>
        <w:rPr>
          <w:rFonts w:hint="eastAsia" w:ascii="宋体" w:hAnsi="宋体" w:eastAsia="宋体" w:cs="Times New Roman"/>
        </w:rPr>
        <w:t>42.4公开招标失败的采购项目重新组织公开招标，由政府集中采购机构重新按公开招标流程组织采购活动。</w:t>
      </w:r>
    </w:p>
    <w:p>
      <w:pPr>
        <w:rPr>
          <w:rFonts w:ascii="黑体" w:hAnsi="宋体" w:eastAsia="黑体" w:cs="Times New Roman"/>
          <w:sz w:val="24"/>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119" w:name="_Hlk72439043"/>
      <w:r>
        <w:rPr>
          <w:rFonts w:hint="eastAsia" w:ascii="宋体" w:hAnsi="宋体" w:eastAsia="宋体" w:cs="Times New Roman"/>
          <w:b/>
          <w:bCs/>
          <w:kern w:val="0"/>
          <w:sz w:val="28"/>
          <w:szCs w:val="28"/>
          <w:lang w:val="en-US" w:eastAsia="zh-CN" w:bidi="ar-SA"/>
        </w:rPr>
        <w:t>合同的授予与备案</w:t>
      </w:r>
      <w:bookmarkEnd w:id="119"/>
    </w:p>
    <w:p>
      <w:pPr>
        <w:rPr>
          <w:rFonts w:ascii="黑体" w:hAnsi="宋体" w:eastAsia="黑体" w:cs="Times New Roman"/>
          <w:sz w:val="24"/>
        </w:rPr>
      </w:pPr>
      <w:bookmarkStart w:id="120" w:name="_Toc100052408"/>
      <w:bookmarkStart w:id="121" w:name="_Toc73518157"/>
      <w:bookmarkStart w:id="122" w:name="_Toc73517679"/>
      <w:bookmarkStart w:id="123" w:name="_Toc73521674"/>
      <w:bookmarkStart w:id="124" w:name="_Toc73521586"/>
      <w:bookmarkStart w:id="125" w:name="_Hlk72439088"/>
      <w:r>
        <w:rPr>
          <w:rFonts w:hint="eastAsia" w:ascii="黑体" w:hAnsi="宋体" w:eastAsia="黑体" w:cs="Times New Roman"/>
          <w:sz w:val="24"/>
        </w:rPr>
        <w:t>43．合同授予标准</w:t>
      </w:r>
      <w:bookmarkEnd w:id="120"/>
      <w:bookmarkEnd w:id="121"/>
      <w:bookmarkEnd w:id="122"/>
      <w:bookmarkEnd w:id="123"/>
      <w:bookmarkEnd w:id="124"/>
    </w:p>
    <w:p>
      <w:pPr>
        <w:ind w:firstLine="411" w:firstLineChars="196"/>
        <w:rPr>
          <w:rFonts w:ascii="宋体" w:hAnsi="宋体" w:eastAsia="宋体" w:cs="Times New Roman"/>
          <w:szCs w:val="21"/>
        </w:rPr>
      </w:pPr>
      <w:r>
        <w:rPr>
          <w:rFonts w:hint="eastAsia" w:ascii="宋体" w:hAnsi="宋体" w:eastAsia="宋体" w:cs="Times New Roman"/>
          <w:szCs w:val="21"/>
        </w:rPr>
        <w:t>本项目的合同将授予经本招标文件规定评审确定的中标供应商。</w:t>
      </w:r>
    </w:p>
    <w:p>
      <w:pPr>
        <w:rPr>
          <w:rFonts w:ascii="黑体" w:hAnsi="宋体" w:eastAsia="黑体" w:cs="Times New Roman"/>
          <w:sz w:val="24"/>
        </w:rPr>
      </w:pPr>
      <w:bookmarkStart w:id="126" w:name="_Toc73517680"/>
      <w:bookmarkStart w:id="127" w:name="_Toc73518158"/>
      <w:bookmarkStart w:id="128" w:name="_Toc73521587"/>
      <w:bookmarkStart w:id="129" w:name="_Toc73521675"/>
      <w:bookmarkStart w:id="130" w:name="_Toc100052409"/>
      <w:r>
        <w:rPr>
          <w:rFonts w:hint="eastAsia" w:ascii="黑体" w:hAnsi="宋体" w:eastAsia="黑体" w:cs="Times New Roman"/>
          <w:sz w:val="24"/>
        </w:rPr>
        <w:t>44．</w:t>
      </w:r>
      <w:bookmarkEnd w:id="126"/>
      <w:bookmarkEnd w:id="127"/>
      <w:bookmarkEnd w:id="128"/>
      <w:bookmarkEnd w:id="129"/>
      <w:bookmarkEnd w:id="130"/>
      <w:r>
        <w:rPr>
          <w:rFonts w:hint="eastAsia" w:ascii="黑体" w:hAnsi="宋体" w:eastAsia="黑体" w:cs="Times New Roman"/>
          <w:sz w:val="24"/>
        </w:rPr>
        <w:t>接受和拒绝任何或所有投标的权力</w:t>
      </w:r>
    </w:p>
    <w:p>
      <w:pPr>
        <w:ind w:firstLine="411" w:firstLineChars="196"/>
        <w:rPr>
          <w:rFonts w:ascii="宋体" w:hAnsi="宋体" w:eastAsia="宋体" w:cs="Times New Roman"/>
          <w:szCs w:val="21"/>
        </w:rPr>
      </w:pPr>
      <w:r>
        <w:rPr>
          <w:rFonts w:hint="eastAsia" w:ascii="宋体" w:hAnsi="宋体" w:eastAsia="宋体" w:cs="Times New Roman"/>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cs="Times New Roman"/>
          <w:sz w:val="24"/>
        </w:rPr>
      </w:pPr>
      <w:bookmarkStart w:id="131" w:name="_Toc73517682"/>
      <w:bookmarkStart w:id="132" w:name="_Toc73521589"/>
      <w:bookmarkStart w:id="133" w:name="_Toc100052410"/>
      <w:bookmarkStart w:id="134" w:name="_Toc73521677"/>
      <w:bookmarkStart w:id="135" w:name="_Toc73518160"/>
      <w:r>
        <w:rPr>
          <w:rFonts w:hint="eastAsia" w:ascii="黑体" w:hAnsi="宋体" w:eastAsia="黑体" w:cs="Times New Roman"/>
          <w:sz w:val="24"/>
        </w:rPr>
        <w:t>45．合同的签订</w:t>
      </w:r>
      <w:bookmarkEnd w:id="131"/>
      <w:bookmarkEnd w:id="132"/>
      <w:bookmarkEnd w:id="133"/>
      <w:bookmarkEnd w:id="134"/>
      <w:bookmarkEnd w:id="135"/>
    </w:p>
    <w:p>
      <w:pPr>
        <w:ind w:firstLine="411" w:firstLineChars="196"/>
        <w:rPr>
          <w:rFonts w:ascii="宋体" w:hAnsi="宋体" w:eastAsia="宋体" w:cs="Times New Roman"/>
          <w:szCs w:val="21"/>
        </w:rPr>
      </w:pPr>
      <w:r>
        <w:rPr>
          <w:rFonts w:hint="eastAsia" w:ascii="宋体" w:hAnsi="宋体" w:eastAsia="宋体" w:cs="Times New Roman"/>
          <w:szCs w:val="21"/>
        </w:rPr>
        <w:t>45.1中标人将于中标通知书发出之日起</w:t>
      </w:r>
      <w:r>
        <w:rPr>
          <w:rFonts w:hint="eastAsia" w:ascii="宋体" w:hAnsi="宋体" w:cs="Times New Roman"/>
          <w:szCs w:val="21"/>
          <w:lang w:val="en-US" w:eastAsia="zh-CN"/>
        </w:rPr>
        <w:t>按照采购人内控制度要求，</w:t>
      </w:r>
      <w:r>
        <w:rPr>
          <w:rFonts w:hint="eastAsia" w:ascii="宋体" w:hAnsi="宋体" w:eastAsia="宋体" w:cs="Times New Roman"/>
          <w:szCs w:val="21"/>
        </w:rPr>
        <w:t>按照采购文件（招标文件和投标文件等）内容与采购人签订采购合同；合同的实质性内容应当符合招标文件的规定；</w:t>
      </w:r>
    </w:p>
    <w:p>
      <w:pPr>
        <w:ind w:firstLine="411" w:firstLineChars="196"/>
        <w:rPr>
          <w:rFonts w:ascii="宋体" w:hAnsi="宋体" w:eastAsia="宋体" w:cs="Times New Roman"/>
          <w:szCs w:val="21"/>
        </w:rPr>
      </w:pPr>
      <w:r>
        <w:rPr>
          <w:rFonts w:hint="eastAsia" w:ascii="宋体" w:hAnsi="宋体" w:eastAsia="宋体" w:cs="Times New Roman"/>
          <w:szCs w:val="21"/>
        </w:rPr>
        <w:t>45.2中标人如不按本通用条款第45</w:t>
      </w:r>
      <w:r>
        <w:rPr>
          <w:rFonts w:ascii="宋体" w:hAnsi="宋体" w:eastAsia="宋体" w:cs="Times New Roman"/>
          <w:szCs w:val="21"/>
        </w:rPr>
        <w:t>.1</w:t>
      </w:r>
      <w:r>
        <w:rPr>
          <w:rFonts w:hint="eastAsia" w:ascii="宋体" w:hAnsi="宋体" w:eastAsia="宋体" w:cs="Times New Roman"/>
          <w:szCs w:val="21"/>
        </w:rPr>
        <w:t>款的规定与采购人签订合同，</w:t>
      </w:r>
      <w:r>
        <w:rPr>
          <w:rFonts w:ascii="宋体" w:hAnsi="宋体" w:eastAsia="宋体" w:cs="宋体"/>
          <w:kern w:val="0"/>
          <w:szCs w:val="21"/>
        </w:rPr>
        <w:t>情节严重的，由</w:t>
      </w:r>
      <w:r>
        <w:rPr>
          <w:rFonts w:hint="eastAsia" w:ascii="宋体" w:hAnsi="宋体" w:eastAsia="宋体" w:cs="宋体"/>
          <w:kern w:val="0"/>
          <w:szCs w:val="21"/>
        </w:rPr>
        <w:t>同级财政</w:t>
      </w:r>
      <w:r>
        <w:rPr>
          <w:rFonts w:ascii="宋体" w:hAnsi="宋体" w:eastAsia="宋体" w:cs="宋体"/>
          <w:kern w:val="0"/>
          <w:szCs w:val="21"/>
        </w:rPr>
        <w:t>部门记入供应商诚信档案，予以通报</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45.3中标人应当按照合同约定履行义务，完成中标项目，不得将中标项目转让（转包）给他人。</w:t>
      </w:r>
    </w:p>
    <w:p>
      <w:pPr>
        <w:rPr>
          <w:rFonts w:ascii="黑体" w:hAnsi="宋体" w:eastAsia="黑体" w:cs="Times New Roman"/>
          <w:sz w:val="24"/>
        </w:rPr>
      </w:pPr>
      <w:bookmarkStart w:id="136" w:name="_Toc100052411"/>
      <w:bookmarkStart w:id="137" w:name="_Toc73521590"/>
      <w:bookmarkStart w:id="138" w:name="_Toc73521678"/>
      <w:bookmarkStart w:id="139" w:name="_Toc73518161"/>
      <w:bookmarkStart w:id="140" w:name="_Toc73517683"/>
      <w:r>
        <w:rPr>
          <w:rFonts w:hint="eastAsia" w:ascii="黑体" w:hAnsi="宋体" w:eastAsia="黑体" w:cs="Times New Roman"/>
          <w:sz w:val="24"/>
        </w:rPr>
        <w:t>46．履约担保</w:t>
      </w:r>
      <w:bookmarkEnd w:id="136"/>
      <w:bookmarkEnd w:id="137"/>
      <w:bookmarkEnd w:id="138"/>
      <w:bookmarkEnd w:id="139"/>
      <w:bookmarkEnd w:id="140"/>
    </w:p>
    <w:p>
      <w:pPr>
        <w:ind w:firstLine="411" w:firstLineChars="196"/>
        <w:rPr>
          <w:rFonts w:ascii="宋体" w:hAnsi="宋体" w:eastAsia="宋体" w:cs="Times New Roman"/>
          <w:szCs w:val="21"/>
        </w:rPr>
      </w:pPr>
      <w:r>
        <w:rPr>
          <w:rFonts w:hint="eastAsia" w:ascii="宋体" w:hAnsi="宋体" w:eastAsia="宋体" w:cs="Times New Roman"/>
          <w:szCs w:val="21"/>
        </w:rPr>
        <w:t>46.1在签订项目合同的同时，中标人应按“对通用条款的补充内容”中规定的金额向采购人提交履约担保；</w:t>
      </w:r>
    </w:p>
    <w:p>
      <w:pPr>
        <w:ind w:firstLine="411" w:firstLineChars="196"/>
        <w:rPr>
          <w:rFonts w:ascii="宋体" w:hAnsi="宋体" w:eastAsia="宋体" w:cs="Times New Roman"/>
          <w:szCs w:val="21"/>
        </w:rPr>
      </w:pPr>
      <w:r>
        <w:rPr>
          <w:rFonts w:hint="eastAsia" w:ascii="宋体" w:hAnsi="宋体" w:eastAsia="宋体" w:cs="Times New Roman"/>
          <w:szCs w:val="21"/>
        </w:rPr>
        <w:t>46.2，允许供应商自主选择以支票、汇票、本票、保函等非现金方式提交履约担保；</w:t>
      </w:r>
      <w:r>
        <w:rPr>
          <w:rFonts w:ascii="Times New Roman" w:hAnsi="Times New Roman" w:eastAsia="宋体" w:cs="Times New Roman"/>
        </w:rPr>
        <w:t>中标</w:t>
      </w:r>
      <w:r>
        <w:rPr>
          <w:rFonts w:hint="eastAsia" w:ascii="Times New Roman" w:hAnsi="Times New Roman" w:eastAsia="宋体" w:cs="Times New Roman"/>
        </w:rPr>
        <w:t>人</w:t>
      </w:r>
      <w:r>
        <w:rPr>
          <w:rFonts w:ascii="Times New Roman" w:hAnsi="Times New Roman" w:eastAsia="宋体" w:cs="Times New Roman"/>
        </w:rPr>
        <w:t>提交履约</w:t>
      </w:r>
      <w:r>
        <w:rPr>
          <w:rFonts w:hint="eastAsia" w:ascii="Times New Roman" w:hAnsi="Times New Roman" w:eastAsia="宋体" w:cs="Times New Roman"/>
        </w:rPr>
        <w:t>担保不是</w:t>
      </w:r>
      <w:r>
        <w:rPr>
          <w:rFonts w:ascii="Times New Roman" w:hAnsi="Times New Roman" w:eastAsia="宋体" w:cs="Times New Roman"/>
        </w:rPr>
        <w:t>合同签订的</w:t>
      </w:r>
      <w:r>
        <w:rPr>
          <w:rFonts w:hint="eastAsia" w:ascii="Times New Roman" w:hAnsi="Times New Roman" w:eastAsia="宋体" w:cs="Times New Roman"/>
        </w:rPr>
        <w:t>前提</w:t>
      </w:r>
      <w:r>
        <w:rPr>
          <w:rFonts w:ascii="Times New Roman" w:hAnsi="Times New Roman" w:eastAsia="宋体" w:cs="Times New Roman"/>
        </w:rPr>
        <w:t>条件，不要求中标</w:t>
      </w:r>
      <w:r>
        <w:rPr>
          <w:rFonts w:hint="eastAsia" w:ascii="Times New Roman" w:hAnsi="Times New Roman" w:eastAsia="宋体" w:cs="Times New Roman"/>
        </w:rPr>
        <w:t>人</w:t>
      </w:r>
      <w:r>
        <w:rPr>
          <w:rFonts w:ascii="Times New Roman" w:hAnsi="Times New Roman" w:eastAsia="宋体" w:cs="Times New Roman"/>
        </w:rPr>
        <w:t>提供除法律、法规明确规定外的其他担保</w:t>
      </w:r>
      <w:r>
        <w:rPr>
          <w:rFonts w:hint="eastAsia" w:ascii="Times New Roman" w:hAnsi="Times New Roman" w:eastAsia="宋体" w:cs="Times New Roman"/>
        </w:rPr>
        <w:t>。</w:t>
      </w:r>
    </w:p>
    <w:p>
      <w:pPr>
        <w:rPr>
          <w:rFonts w:ascii="黑体" w:hAnsi="宋体" w:eastAsia="黑体" w:cs="Times New Roman"/>
          <w:sz w:val="24"/>
        </w:rPr>
      </w:pPr>
      <w:r>
        <w:rPr>
          <w:rFonts w:hint="eastAsia" w:ascii="黑体" w:hAnsi="宋体" w:eastAsia="黑体" w:cs="Times New Roman"/>
          <w:sz w:val="24"/>
        </w:rPr>
        <w:t>47. 合同备案</w:t>
      </w:r>
    </w:p>
    <w:p>
      <w:pPr>
        <w:ind w:firstLine="420" w:firstLineChars="200"/>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按采购单位内控规定备案。</w:t>
      </w:r>
    </w:p>
    <w:p>
      <w:pPr>
        <w:rPr>
          <w:rFonts w:ascii="黑体" w:hAnsi="宋体" w:eastAsia="黑体" w:cs="Times New Roman"/>
          <w:sz w:val="24"/>
        </w:rPr>
      </w:pPr>
      <w:r>
        <w:rPr>
          <w:rFonts w:hint="eastAsia" w:ascii="黑体" w:hAnsi="宋体" w:eastAsia="黑体" w:cs="Times New Roman"/>
          <w:sz w:val="24"/>
        </w:rPr>
        <w:t>48. 合同变更</w:t>
      </w:r>
    </w:p>
    <w:p>
      <w:pPr>
        <w:ind w:firstLine="420" w:firstLineChars="200"/>
        <w:rPr>
          <w:rFonts w:hint="eastAsia" w:ascii="黑体" w:hAnsi="宋体" w:eastAsia="黑体" w:cs="Times New Roman"/>
          <w:sz w:val="24"/>
        </w:rPr>
      </w:pPr>
      <w:r>
        <w:rPr>
          <w:rFonts w:hint="eastAsia" w:ascii="宋体" w:hAnsi="宋体" w:eastAsia="宋体" w:cs="Times New Roman"/>
          <w:szCs w:val="21"/>
        </w:rPr>
        <w:t>合同变更事宜</w:t>
      </w:r>
      <w:r>
        <w:rPr>
          <w:rFonts w:hint="eastAsia" w:ascii="宋体" w:hAnsi="宋体" w:eastAsia="宋体" w:cs="Times New Roman"/>
          <w:kern w:val="2"/>
          <w:sz w:val="21"/>
          <w:szCs w:val="21"/>
          <w:lang w:val="en-US" w:eastAsia="zh-CN"/>
        </w:rPr>
        <w:t>按采购单位内控规定</w:t>
      </w:r>
      <w:r>
        <w:rPr>
          <w:rFonts w:hint="eastAsia" w:ascii="宋体" w:hAnsi="宋体" w:eastAsia="宋体" w:cs="Times New Roman"/>
          <w:szCs w:val="21"/>
        </w:rPr>
        <w:t>执行。</w:t>
      </w:r>
    </w:p>
    <w:p>
      <w:pPr>
        <w:rPr>
          <w:rFonts w:ascii="黑体" w:hAnsi="宋体" w:eastAsia="黑体" w:cs="Times New Roman"/>
          <w:sz w:val="24"/>
        </w:rPr>
      </w:pPr>
      <w:r>
        <w:rPr>
          <w:rFonts w:hint="eastAsia" w:ascii="黑体" w:hAnsi="宋体" w:eastAsia="黑体" w:cs="Times New Roman"/>
          <w:sz w:val="24"/>
        </w:rPr>
        <w:t>49. 项目验收</w:t>
      </w:r>
    </w:p>
    <w:p>
      <w:pPr>
        <w:widowControl/>
        <w:ind w:right="176" w:firstLine="420"/>
        <w:jc w:val="left"/>
        <w:rPr>
          <w:rFonts w:ascii="宋体" w:hAnsi="宋体" w:eastAsia="宋体" w:cs="Times New Roman"/>
        </w:rPr>
      </w:pPr>
      <w:r>
        <w:rPr>
          <w:rFonts w:hint="eastAsia" w:ascii="宋体" w:hAnsi="宋体" w:eastAsia="宋体" w:cs="Times New Roman"/>
        </w:rPr>
        <w:t>49.1采购人应当按照招标文件和合同规定的标准和方法，及时组织验收。</w:t>
      </w:r>
      <w:r>
        <w:rPr>
          <w:rFonts w:ascii="宋体" w:hAnsi="宋体" w:eastAsia="宋体" w:cs="Times New Roman"/>
        </w:rPr>
        <w:t xml:space="preserve"> </w:t>
      </w:r>
    </w:p>
    <w:p>
      <w:pPr>
        <w:rPr>
          <w:rFonts w:ascii="黑体" w:hAnsi="宋体" w:eastAsia="黑体" w:cs="Times New Roman"/>
          <w:sz w:val="24"/>
        </w:rPr>
      </w:pPr>
      <w:r>
        <w:rPr>
          <w:rFonts w:hint="eastAsia" w:ascii="黑体" w:hAnsi="宋体" w:eastAsia="黑体" w:cs="Times New Roman"/>
          <w:sz w:val="24"/>
        </w:rPr>
        <w:t>50. 宣传</w:t>
      </w:r>
    </w:p>
    <w:p>
      <w:pPr>
        <w:ind w:left="210" w:leftChars="100" w:firstLine="411" w:firstLineChars="196"/>
        <w:rPr>
          <w:rFonts w:ascii="宋体" w:hAnsi="宋体" w:eastAsia="宋体" w:cs="Times New Roman"/>
        </w:rPr>
      </w:pPr>
      <w:r>
        <w:rPr>
          <w:rFonts w:hint="eastAsia" w:ascii="宋体" w:hAnsi="宋体" w:eastAsia="宋体" w:cs="Times New Roman"/>
        </w:rPr>
        <w:t>凡与采购活动有关的宣传或广告，若当中提及采购，</w:t>
      </w:r>
      <w:r>
        <w:rPr>
          <w:rFonts w:ascii="宋体" w:hAnsi="宋体" w:eastAsia="宋体" w:cs="Times New Roman"/>
        </w:rPr>
        <w:t>必须事先将具体对外宣传方案报</w:t>
      </w:r>
      <w:r>
        <w:rPr>
          <w:rFonts w:hint="eastAsia" w:ascii="宋体" w:hAnsi="宋体" w:eastAsia="宋体" w:cs="Times New Roman"/>
        </w:rPr>
        <w:t>同级财政部门</w:t>
      </w:r>
      <w:r>
        <w:rPr>
          <w:rFonts w:ascii="宋体" w:hAnsi="宋体" w:eastAsia="宋体" w:cs="Times New Roman"/>
        </w:rPr>
        <w:t>和</w:t>
      </w:r>
      <w:r>
        <w:rPr>
          <w:rFonts w:hint="eastAsia" w:ascii="宋体" w:hAnsi="宋体" w:eastAsia="宋体" w:cs="Times New Roman"/>
        </w:rPr>
        <w:t>政府集中采购机构</w:t>
      </w:r>
      <w:r>
        <w:rPr>
          <w:rFonts w:ascii="宋体" w:hAnsi="宋体" w:eastAsia="宋体" w:cs="Times New Roman"/>
        </w:rPr>
        <w:t>，并征得其同意。对外市场宣传包括但不限于以下形式：</w:t>
      </w:r>
    </w:p>
    <w:p>
      <w:pPr>
        <w:ind w:left="210" w:leftChars="100" w:firstLine="411" w:firstLineChars="196"/>
        <w:rPr>
          <w:rFonts w:ascii="宋体" w:hAnsi="宋体" w:eastAsia="宋体" w:cs="Times New Roman"/>
        </w:rPr>
      </w:pPr>
      <w:r>
        <w:rPr>
          <w:rFonts w:ascii="宋体" w:hAnsi="宋体" w:eastAsia="宋体" w:cs="Times New Roman"/>
        </w:rPr>
        <w:t>a.名片、宣传册、广告标语等；</w:t>
      </w:r>
    </w:p>
    <w:p>
      <w:pPr>
        <w:ind w:left="210" w:leftChars="100" w:firstLine="411" w:firstLineChars="196"/>
        <w:rPr>
          <w:rFonts w:ascii="宋体" w:hAnsi="宋体" w:eastAsia="宋体" w:cs="Times New Roman"/>
        </w:rPr>
      </w:pPr>
      <w:r>
        <w:rPr>
          <w:rFonts w:ascii="宋体" w:hAnsi="宋体" w:eastAsia="宋体" w:cs="Times New Roman"/>
        </w:rPr>
        <w:t>b.案例介绍、推广等；</w:t>
      </w:r>
    </w:p>
    <w:p>
      <w:pPr>
        <w:ind w:left="210" w:leftChars="100" w:firstLine="411" w:firstLineChars="196"/>
        <w:rPr>
          <w:rFonts w:ascii="宋体" w:hAnsi="宋体" w:eastAsia="宋体" w:cs="Times New Roman"/>
        </w:rPr>
      </w:pPr>
      <w:r>
        <w:rPr>
          <w:rFonts w:hint="eastAsia" w:ascii="宋体" w:hAnsi="宋体" w:eastAsia="宋体" w:cs="Times New Roman"/>
        </w:rPr>
        <w:t>c.工作</w:t>
      </w:r>
      <w:r>
        <w:rPr>
          <w:rFonts w:ascii="宋体" w:hAnsi="宋体" w:eastAsia="宋体" w:cs="Times New Roman"/>
        </w:rPr>
        <w:t>人员向其他消费群体宣传。</w:t>
      </w:r>
    </w:p>
    <w:p>
      <w:pPr>
        <w:rPr>
          <w:rFonts w:ascii="黑体" w:hAnsi="宋体" w:eastAsia="黑体" w:cs="Times New Roman"/>
          <w:sz w:val="24"/>
        </w:rPr>
      </w:pPr>
      <w:r>
        <w:rPr>
          <w:rFonts w:hint="eastAsia" w:ascii="黑体" w:hAnsi="宋体" w:eastAsia="黑体" w:cs="Times New Roman"/>
          <w:sz w:val="24"/>
        </w:rPr>
        <w:t>51. 供应商违法责任</w:t>
      </w:r>
    </w:p>
    <w:p>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1.1</w:t>
      </w:r>
      <w:r>
        <w:rPr>
          <w:rFonts w:hint="eastAsia" w:ascii="宋体" w:hAnsi="宋体" w:eastAsia="宋体" w:cs="Times New Roman"/>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ascii="宋体" w:hAnsi="宋体" w:eastAsia="宋体" w:cs="Times New Roman"/>
          <w:szCs w:val="21"/>
        </w:rPr>
      </w:pPr>
      <w:r>
        <w:rPr>
          <w:rFonts w:hint="eastAsia" w:ascii="宋体" w:hAnsi="宋体" w:eastAsia="宋体" w:cs="Times New Roman"/>
          <w:szCs w:val="21"/>
        </w:rPr>
        <w:t>（1）在采购活动中应当回避而未回避的；</w:t>
      </w:r>
    </w:p>
    <w:p>
      <w:pPr>
        <w:ind w:firstLine="411" w:firstLineChars="196"/>
        <w:rPr>
          <w:rFonts w:ascii="宋体" w:hAnsi="宋体" w:eastAsia="宋体" w:cs="Times New Roman"/>
          <w:szCs w:val="21"/>
        </w:rPr>
      </w:pPr>
      <w:r>
        <w:rPr>
          <w:rFonts w:hint="eastAsia" w:ascii="宋体" w:hAnsi="宋体" w:eastAsia="宋体" w:cs="Times New Roman"/>
          <w:szCs w:val="21"/>
        </w:rPr>
        <w:t>（2）未按本条例规定签订、履行采购合同，造成严重后果的；</w:t>
      </w:r>
    </w:p>
    <w:p>
      <w:pPr>
        <w:ind w:firstLine="411" w:firstLineChars="196"/>
        <w:rPr>
          <w:rFonts w:ascii="宋体" w:hAnsi="宋体" w:eastAsia="宋体" w:cs="Times New Roman"/>
          <w:szCs w:val="21"/>
        </w:rPr>
      </w:pPr>
      <w:r>
        <w:rPr>
          <w:rFonts w:hint="eastAsia" w:ascii="宋体" w:hAnsi="宋体" w:eastAsia="宋体" w:cs="Times New Roman"/>
          <w:szCs w:val="21"/>
        </w:rPr>
        <w:t>（3）隐瞒真实情况，提供虚假资料的；</w:t>
      </w:r>
    </w:p>
    <w:p>
      <w:pPr>
        <w:ind w:firstLine="411" w:firstLineChars="196"/>
        <w:rPr>
          <w:rFonts w:ascii="宋体" w:hAnsi="宋体" w:eastAsia="宋体" w:cs="Times New Roman"/>
          <w:szCs w:val="21"/>
        </w:rPr>
      </w:pPr>
      <w:r>
        <w:rPr>
          <w:rFonts w:hint="eastAsia" w:ascii="宋体" w:hAnsi="宋体" w:eastAsia="宋体" w:cs="Times New Roman"/>
          <w:szCs w:val="21"/>
        </w:rPr>
        <w:t>（4）以非法手段排斥其他供应商参与竞争的；</w:t>
      </w:r>
    </w:p>
    <w:p>
      <w:pPr>
        <w:ind w:firstLine="411" w:firstLineChars="196"/>
        <w:rPr>
          <w:rFonts w:ascii="宋体" w:hAnsi="宋体" w:eastAsia="宋体" w:cs="Times New Roman"/>
          <w:szCs w:val="21"/>
        </w:rPr>
      </w:pPr>
      <w:r>
        <w:rPr>
          <w:rFonts w:hint="eastAsia" w:ascii="宋体" w:hAnsi="宋体" w:eastAsia="宋体" w:cs="Times New Roman"/>
          <w:szCs w:val="21"/>
        </w:rPr>
        <w:t>（5）与其他采购参加人串通投标的；</w:t>
      </w:r>
    </w:p>
    <w:p>
      <w:pPr>
        <w:ind w:firstLine="411" w:firstLineChars="196"/>
        <w:rPr>
          <w:rFonts w:ascii="宋体" w:hAnsi="宋体" w:eastAsia="宋体" w:cs="Times New Roman"/>
          <w:szCs w:val="21"/>
        </w:rPr>
      </w:pPr>
      <w:r>
        <w:rPr>
          <w:rFonts w:hint="eastAsia" w:ascii="宋体" w:hAnsi="宋体" w:eastAsia="宋体" w:cs="Times New Roman"/>
          <w:szCs w:val="21"/>
        </w:rPr>
        <w:t>（6）恶意投诉的；</w:t>
      </w:r>
    </w:p>
    <w:p>
      <w:pPr>
        <w:ind w:firstLine="411" w:firstLineChars="196"/>
        <w:rPr>
          <w:rFonts w:ascii="宋体" w:hAnsi="宋体" w:eastAsia="宋体" w:cs="Times New Roman"/>
          <w:szCs w:val="21"/>
        </w:rPr>
      </w:pPr>
      <w:r>
        <w:rPr>
          <w:rFonts w:hint="eastAsia" w:ascii="宋体" w:hAnsi="宋体" w:eastAsia="宋体" w:cs="Times New Roman"/>
          <w:szCs w:val="21"/>
        </w:rPr>
        <w:t>（7）向采购项目相关人行贿或者提供其他不当利益的；</w:t>
      </w:r>
    </w:p>
    <w:p>
      <w:pPr>
        <w:ind w:firstLine="411" w:firstLineChars="196"/>
        <w:rPr>
          <w:rFonts w:ascii="宋体" w:hAnsi="宋体" w:eastAsia="宋体" w:cs="Times New Roman"/>
          <w:szCs w:val="21"/>
        </w:rPr>
      </w:pPr>
      <w:r>
        <w:rPr>
          <w:rFonts w:hint="eastAsia" w:ascii="宋体" w:hAnsi="宋体" w:eastAsia="宋体" w:cs="Times New Roman"/>
          <w:szCs w:val="21"/>
        </w:rPr>
        <w:t>（8）阻碍、抗拒主管部门监督检查的；</w:t>
      </w:r>
    </w:p>
    <w:p>
      <w:pPr>
        <w:ind w:firstLine="411" w:firstLineChars="196"/>
        <w:rPr>
          <w:rFonts w:ascii="宋体" w:hAnsi="宋体" w:eastAsia="宋体" w:cs="Times New Roman"/>
          <w:szCs w:val="21"/>
        </w:rPr>
      </w:pPr>
      <w:r>
        <w:rPr>
          <w:rFonts w:hint="eastAsia" w:ascii="宋体" w:hAnsi="宋体" w:eastAsia="宋体" w:cs="Times New Roman"/>
          <w:szCs w:val="21"/>
        </w:rPr>
        <w:t>（9）其他违反本条例规定的行为。</w:t>
      </w:r>
    </w:p>
    <w:p>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 xml:space="preserve">1.2 </w:t>
      </w:r>
      <w:r>
        <w:rPr>
          <w:rFonts w:hint="eastAsia" w:ascii="宋体" w:hAnsi="宋体" w:cs="Times New Roman"/>
          <w:szCs w:val="21"/>
          <w:lang w:val="en-US" w:eastAsia="zh-CN"/>
        </w:rPr>
        <w:t>参照</w:t>
      </w:r>
      <w:r>
        <w:rPr>
          <w:rFonts w:hint="eastAsia" w:ascii="宋体" w:hAnsi="宋体" w:eastAsia="宋体" w:cs="Times New Roman"/>
          <w:szCs w:val="21"/>
        </w:rPr>
        <w:t>《深圳市财政局关于调整政府采购投标（响应）保证金管理政策的通知 》（深财购〔2021〕51 号）的要求，供应商在采购活动中出现《深圳经济特区政府采购条例实施细则》第八十条所列情形的，</w:t>
      </w:r>
      <w:bookmarkStart w:id="141" w:name="_Hlk72440769"/>
      <w:r>
        <w:rPr>
          <w:rFonts w:hint="eastAsia" w:ascii="宋体" w:hAnsi="宋体" w:eastAsia="宋体" w:cs="Times New Roman"/>
          <w:szCs w:val="21"/>
        </w:rPr>
        <w:t>政府集中采购机构或采购人不予退还其交纳的谈判保证金，情节严重的，并由主管部门</w:t>
      </w:r>
      <w:bookmarkEnd w:id="141"/>
      <w:r>
        <w:rPr>
          <w:rFonts w:hint="eastAsia" w:ascii="宋体" w:hAnsi="宋体" w:eastAsia="宋体" w:cs="Times New Roman"/>
          <w:szCs w:val="21"/>
        </w:rPr>
        <w:t>记入供应商诚信档案，予以通报：</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）投标截止后，撤销投标的；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）中标后无正当理由未在规定期限内签订合同的；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）将中标项目转让给他人、或者在投标文件中未说明且未经采购人、采购招标机构同意，将中标项目分包给他人的；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4</w:t>
      </w:r>
      <w:r>
        <w:rPr>
          <w:rFonts w:ascii="宋体" w:hAnsi="宋体" w:eastAsia="宋体" w:cs="Times New Roman"/>
          <w:szCs w:val="21"/>
        </w:rPr>
        <w:t>）拒绝履行合同义务的</w:t>
      </w:r>
      <w:r>
        <w:rPr>
          <w:rFonts w:hint="eastAsia" w:ascii="宋体" w:hAnsi="宋体" w:eastAsia="宋体" w:cs="Times New Roman"/>
          <w:szCs w:val="21"/>
        </w:rPr>
        <w:t>。</w:t>
      </w:r>
    </w:p>
    <w:bookmarkEnd w:id="125"/>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质疑处理</w:t>
      </w:r>
    </w:p>
    <w:p>
      <w:pPr>
        <w:rPr>
          <w:rFonts w:ascii="黑体" w:hAnsi="宋体" w:eastAsia="黑体" w:cs="Times New Roman"/>
          <w:sz w:val="24"/>
        </w:rPr>
      </w:pPr>
      <w:r>
        <w:rPr>
          <w:rFonts w:hint="eastAsia" w:ascii="黑体" w:hAnsi="宋体" w:eastAsia="黑体" w:cs="Times New Roman"/>
          <w:sz w:val="24"/>
        </w:rPr>
        <w:t>52.质疑提出与答复</w:t>
      </w:r>
    </w:p>
    <w:p>
      <w:pPr>
        <w:rPr>
          <w:rFonts w:ascii="宋体" w:hAnsi="宋体" w:eastAsia="宋体" w:cs="Times New Roman"/>
          <w:szCs w:val="21"/>
        </w:rPr>
      </w:pPr>
      <w:r>
        <w:rPr>
          <w:rFonts w:hint="eastAsia" w:ascii="宋体" w:hAnsi="宋体" w:eastAsia="宋体" w:cs="Times New Roman"/>
          <w:szCs w:val="21"/>
        </w:rPr>
        <w:t xml:space="preserve">    52.1提出质疑</w:t>
      </w:r>
    </w:p>
    <w:p>
      <w:pPr>
        <w:rPr>
          <w:rFonts w:ascii="宋体" w:hAnsi="宋体" w:eastAsia="宋体" w:cs="Times New Roman"/>
          <w:szCs w:val="21"/>
        </w:rPr>
      </w:pPr>
      <w:r>
        <w:rPr>
          <w:rFonts w:hint="eastAsia" w:ascii="宋体" w:hAnsi="宋体" w:eastAsia="宋体" w:cs="Times New Roman"/>
          <w:szCs w:val="21"/>
        </w:rPr>
        <w:t xml:space="preserve">    参与采购活动的供应商认为自己的权益在采购活动中受到损害的，应当自知道或者应当知道其权益受到损害之日起七个工作日内向采购人、政府集中采购机构以书面形式提出质疑。</w:t>
      </w:r>
    </w:p>
    <w:p>
      <w:pPr>
        <w:rPr>
          <w:rFonts w:ascii="宋体" w:hAnsi="宋体" w:eastAsia="宋体" w:cs="Times New Roman"/>
          <w:szCs w:val="21"/>
        </w:rPr>
      </w:pPr>
      <w:r>
        <w:rPr>
          <w:rFonts w:hint="eastAsia" w:ascii="宋体" w:hAnsi="宋体" w:eastAsia="宋体" w:cs="Times New Roman"/>
          <w:szCs w:val="21"/>
        </w:rPr>
        <w:t xml:space="preserve">    52.2</w:t>
      </w:r>
      <w:r>
        <w:rPr>
          <w:rFonts w:ascii="宋体" w:hAnsi="宋体" w:eastAsia="宋体" w:cs="Times New Roman"/>
          <w:szCs w:val="21"/>
        </w:rPr>
        <w:t>法律依据</w:t>
      </w:r>
    </w:p>
    <w:p>
      <w:pPr>
        <w:rPr>
          <w:rFonts w:ascii="宋体" w:hAnsi="宋体" w:eastAsia="宋体" w:cs="Times New Roman"/>
          <w:szCs w:val="21"/>
        </w:rPr>
      </w:pPr>
      <w:r>
        <w:rPr>
          <w:rFonts w:hint="eastAsia" w:ascii="宋体" w:hAnsi="宋体" w:eastAsia="宋体" w:cs="Times New Roman"/>
          <w:szCs w:val="21"/>
        </w:rPr>
        <w:t xml:space="preserve">    《中华人民共和国政府采购法》、《中华人民共和国政府采购法实施条例》、</w:t>
      </w:r>
      <w:r>
        <w:rPr>
          <w:rFonts w:ascii="宋体" w:hAnsi="宋体" w:eastAsia="宋体" w:cs="Times New Roman"/>
          <w:szCs w:val="21"/>
        </w:rPr>
        <w:t>《</w:t>
      </w:r>
      <w:r>
        <w:rPr>
          <w:rFonts w:hint="eastAsia" w:ascii="宋体" w:hAnsi="宋体" w:eastAsia="宋体" w:cs="Times New Roman"/>
          <w:szCs w:val="21"/>
        </w:rPr>
        <w:t>深圳经济特区政府采购</w:t>
      </w:r>
      <w:r>
        <w:rPr>
          <w:rFonts w:ascii="宋体" w:hAnsi="宋体" w:eastAsia="宋体" w:cs="Times New Roman"/>
          <w:szCs w:val="21"/>
        </w:rPr>
        <w:t>条例</w:t>
      </w:r>
      <w:r>
        <w:rPr>
          <w:rFonts w:hint="eastAsia" w:ascii="宋体" w:hAnsi="宋体" w:eastAsia="宋体" w:cs="Times New Roman"/>
          <w:szCs w:val="21"/>
        </w:rPr>
        <w:t>》、《深圳经济特区政府采购条例实施细则》、《政府采购质疑和投诉办法》（财政部令第94号）和其他有关法律法规规定。</w:t>
      </w:r>
    </w:p>
    <w:p>
      <w:pPr>
        <w:rPr>
          <w:rFonts w:ascii="宋体" w:hAnsi="宋体" w:eastAsia="宋体" w:cs="Times New Roman"/>
          <w:szCs w:val="21"/>
        </w:rPr>
      </w:pPr>
      <w:r>
        <w:rPr>
          <w:rFonts w:hint="eastAsia" w:ascii="宋体" w:hAnsi="宋体" w:eastAsia="宋体" w:cs="Times New Roman"/>
          <w:szCs w:val="21"/>
        </w:rPr>
        <w:t xml:space="preserve">  </w:t>
      </w:r>
      <w:r>
        <w:rPr>
          <w:rFonts w:hint="eastAsia" w:ascii="宋体" w:hAnsi="宋体" w:eastAsia="宋体" w:cs="Times New Roman"/>
          <w:color w:val="FF0000"/>
          <w:szCs w:val="21"/>
        </w:rPr>
        <w:t xml:space="preserve">  </w:t>
      </w:r>
      <w:r>
        <w:rPr>
          <w:rFonts w:hint="eastAsia" w:ascii="宋体" w:hAnsi="宋体" w:eastAsia="宋体" w:cs="Times New Roman"/>
          <w:szCs w:val="21"/>
        </w:rPr>
        <w:t>52.3质疑条件</w:t>
      </w:r>
    </w:p>
    <w:p>
      <w:pPr>
        <w:rPr>
          <w:rFonts w:ascii="宋体" w:hAnsi="宋体" w:eastAsia="宋体" w:cs="Times New Roman"/>
          <w:szCs w:val="21"/>
        </w:rPr>
      </w:pPr>
      <w:r>
        <w:rPr>
          <w:rFonts w:hint="eastAsia" w:ascii="宋体" w:hAnsi="宋体" w:eastAsia="宋体" w:cs="Times New Roman"/>
          <w:szCs w:val="21"/>
        </w:rPr>
        <w:t xml:space="preserve">    52.3.1提出质疑的供应商应当是参与所质疑项目采购活动的供应商；</w:t>
      </w:r>
      <w:bookmarkStart w:id="142" w:name="_Hlk75374941"/>
      <w:r>
        <w:rPr>
          <w:rFonts w:hint="eastAsia" w:ascii="宋体" w:hAnsi="宋体" w:eastAsia="宋体" w:cs="Times New Roman"/>
          <w:szCs w:val="21"/>
        </w:rPr>
        <w:t>以联合体形式参与的，质疑应当由组成联合体的所有成员共同提出</w:t>
      </w:r>
      <w:bookmarkEnd w:id="142"/>
      <w:r>
        <w:rPr>
          <w:rFonts w:hint="eastAsia" w:ascii="宋体" w:hAnsi="宋体" w:eastAsia="宋体" w:cs="Times New Roman"/>
          <w:szCs w:val="21"/>
        </w:rPr>
        <w:t>；</w:t>
      </w:r>
    </w:p>
    <w:p>
      <w:pPr>
        <w:rPr>
          <w:rFonts w:ascii="宋体" w:hAnsi="宋体" w:eastAsia="宋体" w:cs="Times New Roman"/>
          <w:szCs w:val="21"/>
        </w:rPr>
      </w:pPr>
      <w:r>
        <w:rPr>
          <w:rFonts w:hint="eastAsia" w:ascii="宋体" w:hAnsi="宋体" w:eastAsia="宋体" w:cs="Times New Roman"/>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结果以及评审委员会组成人员的质疑，为中标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结果公示之日；</w:t>
      </w:r>
    </w:p>
    <w:p>
      <w:pPr>
        <w:ind w:firstLine="420"/>
        <w:rPr>
          <w:rFonts w:ascii="宋体" w:hAnsi="宋体" w:eastAsia="宋体" w:cs="Times New Roman"/>
          <w:szCs w:val="21"/>
        </w:rPr>
      </w:pPr>
      <w:r>
        <w:rPr>
          <w:rFonts w:hint="eastAsia" w:ascii="宋体" w:hAnsi="宋体" w:eastAsia="宋体" w:cs="Times New Roman"/>
          <w:szCs w:val="21"/>
        </w:rPr>
        <w:t>52.3.3应提交书面质疑函，质疑函应当包括以下内容：</w:t>
      </w:r>
      <w:r>
        <w:rPr>
          <w:rFonts w:ascii="宋体" w:hAnsi="宋体" w:eastAsia="宋体" w:cs="Times New Roman"/>
          <w:szCs w:val="21"/>
        </w:rPr>
        <w:t xml:space="preserve"> </w:t>
      </w:r>
    </w:p>
    <w:p>
      <w:pPr>
        <w:ind w:firstLine="420"/>
        <w:rPr>
          <w:rFonts w:ascii="宋体" w:hAnsi="宋体" w:eastAsia="宋体" w:cs="Times New Roman"/>
          <w:szCs w:val="21"/>
        </w:rPr>
      </w:pPr>
      <w:r>
        <w:rPr>
          <w:rFonts w:hint="eastAsia" w:ascii="宋体" w:hAnsi="宋体" w:eastAsia="宋体" w:cs="Times New Roman"/>
          <w:szCs w:val="21"/>
        </w:rPr>
        <w:t>（1）供应商的名称（或者姓名）、地址、邮编、邮箱、联系人及联系电话；</w:t>
      </w:r>
    </w:p>
    <w:p>
      <w:pPr>
        <w:ind w:firstLine="420" w:firstLineChars="200"/>
        <w:rPr>
          <w:rFonts w:ascii="宋体" w:hAnsi="宋体" w:eastAsia="宋体" w:cs="Times New Roman"/>
          <w:szCs w:val="21"/>
        </w:rPr>
      </w:pPr>
      <w:r>
        <w:rPr>
          <w:rFonts w:hint="eastAsia" w:ascii="宋体" w:hAnsi="宋体" w:eastAsia="宋体" w:cs="Times New Roman"/>
          <w:szCs w:val="21"/>
        </w:rPr>
        <w:t>（2）质疑项目的名称、编号；</w:t>
      </w:r>
    </w:p>
    <w:p>
      <w:pPr>
        <w:ind w:firstLine="420" w:firstLineChars="200"/>
        <w:rPr>
          <w:rFonts w:ascii="宋体" w:hAnsi="宋体" w:eastAsia="宋体" w:cs="Times New Roman"/>
          <w:szCs w:val="21"/>
        </w:rPr>
      </w:pPr>
      <w:r>
        <w:rPr>
          <w:rFonts w:hint="eastAsia" w:ascii="宋体" w:hAnsi="宋体" w:eastAsia="宋体" w:cs="Times New Roman"/>
          <w:szCs w:val="21"/>
        </w:rPr>
        <w:t>（3）具体、明确的质疑对象、质疑事项和质疑请求；</w:t>
      </w:r>
    </w:p>
    <w:p>
      <w:pPr>
        <w:ind w:firstLine="420" w:firstLineChars="200"/>
        <w:rPr>
          <w:rFonts w:ascii="宋体" w:hAnsi="宋体" w:eastAsia="宋体" w:cs="Times New Roman"/>
          <w:szCs w:val="21"/>
        </w:rPr>
      </w:pPr>
      <w:r>
        <w:rPr>
          <w:rFonts w:hint="eastAsia" w:ascii="宋体" w:hAnsi="宋体" w:eastAsia="宋体" w:cs="Times New Roman"/>
          <w:szCs w:val="21"/>
        </w:rPr>
        <w:t>（4）因质疑事项而受损害的权益；</w:t>
      </w:r>
    </w:p>
    <w:p>
      <w:pPr>
        <w:ind w:firstLine="420" w:firstLineChars="200"/>
        <w:rPr>
          <w:rFonts w:ascii="宋体" w:hAnsi="宋体" w:eastAsia="宋体" w:cs="Times New Roman"/>
          <w:szCs w:val="21"/>
        </w:rPr>
      </w:pPr>
      <w:r>
        <w:rPr>
          <w:rFonts w:hint="eastAsia" w:ascii="宋体" w:hAnsi="宋体" w:eastAsia="宋体" w:cs="Times New Roman"/>
          <w:szCs w:val="21"/>
        </w:rPr>
        <w:t>（5）事实依据；</w:t>
      </w:r>
    </w:p>
    <w:p>
      <w:pPr>
        <w:ind w:firstLine="420" w:firstLineChars="200"/>
        <w:rPr>
          <w:rFonts w:ascii="宋体" w:hAnsi="宋体" w:eastAsia="宋体" w:cs="Times New Roman"/>
          <w:szCs w:val="21"/>
        </w:rPr>
      </w:pPr>
      <w:r>
        <w:rPr>
          <w:rFonts w:hint="eastAsia" w:ascii="宋体" w:hAnsi="宋体" w:eastAsia="宋体" w:cs="Times New Roman"/>
          <w:szCs w:val="21"/>
        </w:rPr>
        <w:t>（6）必要的法律依据；</w:t>
      </w:r>
    </w:p>
    <w:p>
      <w:pPr>
        <w:ind w:firstLine="420" w:firstLineChars="200"/>
        <w:rPr>
          <w:rFonts w:ascii="宋体" w:hAnsi="宋体" w:eastAsia="宋体" w:cs="Times New Roman"/>
          <w:szCs w:val="21"/>
        </w:rPr>
      </w:pPr>
      <w:r>
        <w:rPr>
          <w:rFonts w:hint="eastAsia" w:ascii="宋体" w:hAnsi="宋体" w:eastAsia="宋体" w:cs="Times New Roman"/>
          <w:szCs w:val="21"/>
        </w:rPr>
        <w:t>（7）提出质疑的日期。</w:t>
      </w:r>
    </w:p>
    <w:p>
      <w:pPr>
        <w:ind w:firstLine="420" w:firstLineChars="200"/>
        <w:rPr>
          <w:rFonts w:ascii="宋体" w:hAnsi="宋体" w:eastAsia="宋体" w:cs="Times New Roman"/>
          <w:szCs w:val="21"/>
        </w:rPr>
      </w:pPr>
      <w:r>
        <w:rPr>
          <w:rFonts w:hint="eastAsia" w:ascii="宋体" w:hAnsi="宋体" w:eastAsia="宋体" w:cs="Times New Roman"/>
          <w:szCs w:val="21"/>
        </w:rPr>
        <w:t>供应商为自然人的，应当由本人签字；供应商为法人或者其他组织的，应当由法定代表人（负责人），或者其授权代理人签字或者盖章，并加盖公章。</w:t>
      </w:r>
    </w:p>
    <w:p>
      <w:pPr>
        <w:ind w:firstLine="420" w:firstLineChars="200"/>
        <w:rPr>
          <w:rFonts w:ascii="宋体" w:hAnsi="宋体" w:eastAsia="宋体" w:cs="Times New Roman"/>
          <w:szCs w:val="21"/>
        </w:rPr>
      </w:pPr>
      <w:r>
        <w:rPr>
          <w:rFonts w:hint="eastAsia" w:ascii="宋体" w:hAnsi="宋体" w:eastAsia="宋体" w:cs="Times New Roman"/>
          <w:szCs w:val="21"/>
        </w:rPr>
        <w:t>52.4提交</w:t>
      </w:r>
      <w:r>
        <w:rPr>
          <w:rFonts w:ascii="宋体" w:hAnsi="宋体" w:eastAsia="宋体" w:cs="Times New Roman"/>
          <w:szCs w:val="21"/>
        </w:rPr>
        <w:t>材料</w:t>
      </w:r>
    </w:p>
    <w:p>
      <w:pPr>
        <w:ind w:firstLine="420" w:firstLineChars="200"/>
        <w:rPr>
          <w:rFonts w:ascii="宋体" w:hAnsi="宋体" w:eastAsia="宋体" w:cs="Times New Roman"/>
          <w:szCs w:val="21"/>
        </w:rPr>
      </w:pPr>
      <w:r>
        <w:rPr>
          <w:rFonts w:hint="eastAsia" w:ascii="宋体" w:hAnsi="宋体" w:eastAsia="宋体" w:cs="Times New Roman"/>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eastAsia="宋体" w:cs="Times New Roman"/>
          <w:szCs w:val="21"/>
        </w:rPr>
      </w:pPr>
      <w:r>
        <w:rPr>
          <w:rFonts w:hint="eastAsia" w:ascii="宋体" w:hAnsi="宋体" w:eastAsia="宋体" w:cs="Times New Roman"/>
          <w:szCs w:val="21"/>
        </w:rPr>
        <w:t>供应商可以委托代理人进行质疑。</w:t>
      </w:r>
      <w:r>
        <w:rPr>
          <w:rFonts w:ascii="宋体" w:hAnsi="宋体" w:eastAsia="宋体" w:cs="Times New Roman"/>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eastAsia="宋体" w:cs="Times New Roman"/>
          <w:szCs w:val="21"/>
        </w:rPr>
      </w:pPr>
      <w:r>
        <w:rPr>
          <w:rFonts w:hint="eastAsia" w:ascii="宋体" w:hAnsi="宋体" w:eastAsia="宋体" w:cs="Times New Roman"/>
          <w:szCs w:val="21"/>
        </w:rPr>
        <w:t>52.5收文地点</w:t>
      </w:r>
    </w:p>
    <w:p>
      <w:pPr>
        <w:ind w:firstLine="422" w:firstLineChars="200"/>
        <w:rPr>
          <w:rFonts w:hint="eastAsia" w:ascii="宋体" w:hAnsi="宋体" w:eastAsia="宋体" w:cs="Times New Roman"/>
          <w:b/>
          <w:bCs/>
          <w:szCs w:val="21"/>
          <w:lang w:eastAsia="zh-CN"/>
        </w:rPr>
      </w:pPr>
      <w:r>
        <w:rPr>
          <w:rFonts w:hint="eastAsia" w:ascii="宋体" w:hAnsi="宋体" w:eastAsia="宋体" w:cs="Times New Roman"/>
          <w:b/>
          <w:bCs/>
          <w:szCs w:val="21"/>
        </w:rPr>
        <w:t>地址：深圳公共资源交易中心（深圳交易集团有限公司</w:t>
      </w:r>
      <w:r>
        <w:rPr>
          <w:rFonts w:hint="eastAsia" w:ascii="宋体" w:hAnsi="宋体" w:cs="Times New Roman"/>
          <w:b/>
          <w:bCs/>
          <w:szCs w:val="21"/>
          <w:lang w:val="en-US" w:eastAsia="zh-CN"/>
        </w:rPr>
        <w:t>大鹏分公司</w:t>
      </w:r>
      <w:r>
        <w:rPr>
          <w:rFonts w:hint="eastAsia" w:ascii="宋体" w:hAnsi="宋体" w:eastAsia="宋体" w:cs="Times New Roman"/>
          <w:b/>
          <w:bCs/>
          <w:szCs w:val="21"/>
        </w:rPr>
        <w:t>）</w:t>
      </w:r>
      <w:r>
        <w:rPr>
          <w:rFonts w:hint="eastAsia" w:ascii="宋体" w:hAnsi="宋体" w:eastAsia="宋体" w:cs="Times New Roman"/>
          <w:b/>
          <w:bCs/>
          <w:szCs w:val="21"/>
          <w:lang w:eastAsia="zh-CN"/>
        </w:rPr>
        <w:t>。</w:t>
      </w:r>
      <w:r>
        <w:rPr>
          <w:rFonts w:hint="eastAsia" w:ascii="宋体" w:hAnsi="宋体"/>
          <w:b/>
          <w:bCs/>
          <w:szCs w:val="21"/>
          <w:lang w:eastAsia="zh-CN"/>
        </w:rPr>
        <w:t>（</w:t>
      </w:r>
      <w:r>
        <w:rPr>
          <w:rFonts w:hint="eastAsia" w:asciiTheme="minorEastAsia" w:hAnsiTheme="minorEastAsia" w:eastAsiaTheme="minorEastAsia" w:cstheme="minorEastAsia"/>
          <w:b/>
          <w:bCs/>
          <w:color w:val="FF0000"/>
          <w:szCs w:val="21"/>
        </w:rPr>
        <w:t>深圳市大鹏新区葵涌街道生命科学产业园A8栋203室</w:t>
      </w:r>
      <w:r>
        <w:rPr>
          <w:rFonts w:hint="eastAsia" w:asciiTheme="minorEastAsia" w:hAnsiTheme="minorEastAsia" w:eastAsiaTheme="minorEastAsia" w:cstheme="minorEastAsia"/>
          <w:b/>
          <w:bCs/>
          <w:color w:val="FF0000"/>
          <w:szCs w:val="21"/>
          <w:lang w:eastAsia="zh-CN"/>
        </w:rPr>
        <w:t>）</w:t>
      </w:r>
      <w:r>
        <w:rPr>
          <w:rFonts w:hint="eastAsia" w:ascii="宋体" w:hAnsi="宋体"/>
          <w:b/>
          <w:bCs/>
          <w:szCs w:val="21"/>
        </w:rPr>
        <w:t>，质疑咨询电话：0755-28333190</w:t>
      </w:r>
      <w:r>
        <w:rPr>
          <w:rFonts w:hint="eastAsia" w:ascii="宋体" w:hAnsi="宋体"/>
          <w:b/>
          <w:bCs/>
          <w:szCs w:val="21"/>
          <w:lang w:eastAsia="zh-CN"/>
        </w:rPr>
        <w:t>。</w:t>
      </w:r>
    </w:p>
    <w:p>
      <w:pPr>
        <w:ind w:firstLine="420" w:firstLineChars="200"/>
        <w:rPr>
          <w:rFonts w:ascii="宋体" w:hAnsi="宋体" w:eastAsia="宋体" w:cs="Times New Roman"/>
          <w:szCs w:val="21"/>
        </w:rPr>
      </w:pPr>
      <w:r>
        <w:rPr>
          <w:rFonts w:hint="eastAsia" w:ascii="宋体" w:hAnsi="宋体" w:eastAsia="宋体" w:cs="Times New Roman"/>
          <w:szCs w:val="21"/>
        </w:rPr>
        <w:t>52.6收文办理</w:t>
      </w:r>
      <w:r>
        <w:rPr>
          <w:rFonts w:ascii="宋体" w:hAnsi="宋体" w:eastAsia="宋体" w:cs="Times New Roman"/>
          <w:szCs w:val="21"/>
        </w:rPr>
        <w:t>程序</w:t>
      </w:r>
    </w:p>
    <w:p>
      <w:pPr>
        <w:ind w:firstLine="420" w:firstLineChars="200"/>
        <w:rPr>
          <w:rFonts w:ascii="宋体" w:hAnsi="宋体" w:eastAsia="宋体" w:cs="Times New Roman"/>
          <w:szCs w:val="21"/>
        </w:rPr>
      </w:pPr>
      <w:r>
        <w:rPr>
          <w:rFonts w:hint="eastAsia" w:ascii="宋体" w:hAnsi="宋体" w:eastAsia="宋体" w:cs="Times New Roman"/>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hAnsi="仿宋" w:eastAsia="仿宋" w:cs="Times New Roman"/>
          <w:sz w:val="28"/>
          <w:szCs w:val="28"/>
        </w:rPr>
      </w:pPr>
      <w:r>
        <w:rPr>
          <w:rFonts w:hint="eastAsia" w:ascii="宋体" w:hAnsi="宋体" w:eastAsia="宋体" w:cs="Times New Roman"/>
          <w:szCs w:val="21"/>
        </w:rPr>
        <w:t>52.6.2供应商提交的质疑材料不符合质疑条件的，视情况处理：</w:t>
      </w:r>
    </w:p>
    <w:p>
      <w:pPr>
        <w:ind w:firstLine="420" w:firstLineChars="200"/>
        <w:rPr>
          <w:rFonts w:ascii="宋体" w:hAnsi="宋体" w:eastAsia="宋体" w:cs="Times New Roman"/>
          <w:szCs w:val="21"/>
        </w:rPr>
      </w:pPr>
      <w:r>
        <w:rPr>
          <w:rFonts w:hint="eastAsia" w:ascii="宋体" w:hAnsi="宋体" w:eastAsia="宋体" w:cs="Times New Roman"/>
          <w:szCs w:val="21"/>
        </w:rPr>
        <w:t>供应商提交的质疑材料不全或者未按要求签字或者盖章的，政府集中采购机构应当一次性告知供应商需补正的内容和补正期限。</w:t>
      </w:r>
    </w:p>
    <w:p>
      <w:pPr>
        <w:ind w:firstLine="420" w:firstLineChars="200"/>
        <w:rPr>
          <w:rFonts w:ascii="宋体" w:hAnsi="宋体" w:eastAsia="宋体" w:cs="Times New Roman"/>
          <w:szCs w:val="21"/>
        </w:rPr>
      </w:pPr>
      <w:r>
        <w:rPr>
          <w:rFonts w:hint="eastAsia" w:ascii="宋体" w:hAnsi="宋体" w:eastAsia="宋体" w:cs="Times New Roman"/>
          <w:szCs w:val="21"/>
        </w:rPr>
        <w:t>供应商提交的质疑存在下列情形之一的，不予受理：</w:t>
      </w:r>
    </w:p>
    <w:p>
      <w:pPr>
        <w:ind w:firstLine="420" w:firstLineChars="200"/>
        <w:rPr>
          <w:rFonts w:ascii="宋体" w:hAnsi="宋体" w:eastAsia="宋体" w:cs="Times New Roman"/>
          <w:szCs w:val="21"/>
        </w:rPr>
      </w:pPr>
      <w:r>
        <w:rPr>
          <w:rFonts w:hint="eastAsia" w:ascii="宋体" w:hAnsi="宋体" w:eastAsia="宋体" w:cs="Times New Roman"/>
          <w:szCs w:val="21"/>
        </w:rPr>
        <w:t>（1）质疑主体不满足要求的；</w:t>
      </w:r>
    </w:p>
    <w:p>
      <w:pPr>
        <w:ind w:firstLine="420" w:firstLineChars="200"/>
        <w:rPr>
          <w:rFonts w:ascii="宋体" w:hAnsi="宋体" w:eastAsia="宋体" w:cs="Times New Roman"/>
          <w:szCs w:val="21"/>
        </w:rPr>
      </w:pPr>
      <w:r>
        <w:rPr>
          <w:rFonts w:hint="eastAsia" w:ascii="宋体" w:hAnsi="宋体" w:eastAsia="宋体" w:cs="Times New Roman"/>
          <w:szCs w:val="21"/>
        </w:rPr>
        <w:t>（2）供应商自身权益未受到损害的；</w:t>
      </w:r>
    </w:p>
    <w:p>
      <w:pPr>
        <w:ind w:firstLine="420" w:firstLineChars="200"/>
        <w:rPr>
          <w:rFonts w:ascii="宋体" w:hAnsi="宋体" w:eastAsia="宋体" w:cs="Times New Roman"/>
          <w:szCs w:val="21"/>
        </w:rPr>
      </w:pPr>
      <w:r>
        <w:rPr>
          <w:rFonts w:hint="eastAsia" w:ascii="宋体" w:hAnsi="宋体" w:eastAsia="宋体" w:cs="Times New Roman"/>
          <w:szCs w:val="21"/>
        </w:rPr>
        <w:t>（3）供应商未在法定质疑期限内提出质疑的；</w:t>
      </w:r>
    </w:p>
    <w:p>
      <w:pPr>
        <w:ind w:firstLine="420" w:firstLineChars="200"/>
        <w:rPr>
          <w:rFonts w:ascii="宋体" w:hAnsi="宋体" w:eastAsia="宋体" w:cs="Times New Roman"/>
          <w:szCs w:val="21"/>
        </w:rPr>
      </w:pPr>
      <w:r>
        <w:rPr>
          <w:rFonts w:hint="eastAsia" w:ascii="宋体" w:hAnsi="宋体" w:eastAsia="宋体" w:cs="Times New Roman"/>
          <w:szCs w:val="21"/>
        </w:rPr>
        <w:t>（4）质疑材料不全或者未按要求签字或者盖章的情况下，要求补正后，逾期未补正或者补正后仍不符合规定的；</w:t>
      </w:r>
    </w:p>
    <w:p>
      <w:pPr>
        <w:ind w:firstLine="420" w:firstLineChars="200"/>
        <w:rPr>
          <w:rFonts w:ascii="宋体" w:hAnsi="宋体" w:eastAsia="宋体" w:cs="Times New Roman"/>
          <w:szCs w:val="21"/>
        </w:rPr>
      </w:pPr>
      <w:r>
        <w:rPr>
          <w:rFonts w:hint="eastAsia" w:ascii="宋体" w:hAnsi="宋体" w:eastAsia="宋体" w:cs="Times New Roman"/>
          <w:szCs w:val="21"/>
        </w:rPr>
        <w:t>（5）其他不符合受理条件情形的。</w:t>
      </w:r>
    </w:p>
    <w:p>
      <w:pPr>
        <w:ind w:firstLine="420" w:firstLineChars="200"/>
        <w:rPr>
          <w:rFonts w:ascii="宋体" w:hAnsi="宋体" w:eastAsia="宋体" w:cs="Times New Roman"/>
          <w:szCs w:val="21"/>
        </w:rPr>
      </w:pPr>
      <w:r>
        <w:rPr>
          <w:rFonts w:hint="eastAsia" w:ascii="宋体" w:hAnsi="宋体" w:eastAsia="宋体" w:cs="Times New Roman"/>
          <w:szCs w:val="21"/>
        </w:rPr>
        <w:t>质疑事项不予受理的，政府集中采购机构应当向供应商出具不符合质疑条件告知书。</w:t>
      </w:r>
    </w:p>
    <w:p>
      <w:pPr>
        <w:rPr>
          <w:rFonts w:ascii="宋体" w:hAnsi="宋体" w:eastAsia="宋体" w:cs="Times New Roman"/>
          <w:szCs w:val="21"/>
        </w:rPr>
      </w:pPr>
      <w:r>
        <w:rPr>
          <w:rFonts w:hint="eastAsia" w:ascii="宋体" w:hAnsi="宋体" w:eastAsia="宋体" w:cs="Times New Roman"/>
          <w:color w:val="FF0000"/>
          <w:szCs w:val="21"/>
        </w:rPr>
        <w:t xml:space="preserve">  </w:t>
      </w:r>
      <w:r>
        <w:rPr>
          <w:rFonts w:hint="eastAsia" w:ascii="宋体" w:hAnsi="宋体" w:eastAsia="宋体" w:cs="Times New Roman"/>
          <w:szCs w:val="21"/>
        </w:rPr>
        <w:t xml:space="preserve">  52.7质疑答复时限</w:t>
      </w:r>
    </w:p>
    <w:p>
      <w:pPr>
        <w:rPr>
          <w:rFonts w:ascii="宋体" w:hAnsi="宋体" w:eastAsia="宋体" w:cs="Times New Roman"/>
          <w:szCs w:val="21"/>
        </w:rPr>
      </w:pPr>
      <w:r>
        <w:rPr>
          <w:rFonts w:hint="eastAsia" w:ascii="宋体" w:hAnsi="宋体" w:eastAsia="宋体" w:cs="Times New Roman"/>
          <w:szCs w:val="21"/>
        </w:rPr>
        <w:t xml:space="preserve">    自收文之日起七个工作日内。</w:t>
      </w:r>
    </w:p>
    <w:p>
      <w:pPr>
        <w:rPr>
          <w:rFonts w:ascii="宋体" w:hAnsi="宋体" w:eastAsia="宋体" w:cs="Times New Roman"/>
          <w:szCs w:val="21"/>
        </w:rPr>
      </w:pPr>
      <w:r>
        <w:rPr>
          <w:rFonts w:hint="eastAsia" w:ascii="宋体" w:hAnsi="宋体" w:eastAsia="宋体" w:cs="Times New Roman"/>
          <w:szCs w:val="21"/>
        </w:rPr>
        <w:t xml:space="preserve">    52.8投诉</w:t>
      </w:r>
    </w:p>
    <w:p>
      <w:pPr>
        <w:rPr>
          <w:rFonts w:ascii="宋体" w:hAnsi="宋体" w:eastAsia="宋体" w:cs="Times New Roman"/>
          <w:szCs w:val="21"/>
        </w:rPr>
      </w:pPr>
      <w:r>
        <w:rPr>
          <w:rFonts w:hint="eastAsia" w:ascii="宋体" w:hAnsi="宋体" w:eastAsia="宋体" w:cs="Times New Roman"/>
          <w:szCs w:val="21"/>
        </w:rPr>
        <w:t xml:space="preserve">    对质疑答复不满意或者未在规定时间内答复的，提出质疑的供应商可以在答复期满后15个工作日内向</w:t>
      </w:r>
      <w:r>
        <w:rPr>
          <w:rFonts w:hint="eastAsia" w:ascii="宋体" w:hAnsi="宋体" w:eastAsia="宋体" w:cs="Times New Roman"/>
          <w:szCs w:val="21"/>
          <w:highlight w:val="yellow"/>
          <w:lang w:val="en-US" w:eastAsia="zh-CN"/>
        </w:rPr>
        <w:t>采购人</w:t>
      </w:r>
      <w:r>
        <w:rPr>
          <w:rFonts w:hint="eastAsia" w:ascii="宋体" w:hAnsi="宋体" w:eastAsia="宋体" w:cs="Times New Roman"/>
          <w:szCs w:val="21"/>
        </w:rPr>
        <w:t>投诉。</w:t>
      </w:r>
    </w:p>
    <w:p>
      <w:pPr>
        <w:rPr>
          <w:rFonts w:ascii="黑体" w:hAnsi="宋体" w:eastAsia="黑体" w:cs="Times New Roman"/>
          <w:sz w:val="24"/>
        </w:rPr>
      </w:pPr>
      <w:r>
        <w:rPr>
          <w:rFonts w:hint="eastAsia" w:ascii="黑体" w:hAnsi="宋体" w:eastAsia="黑体" w:cs="Times New Roman"/>
          <w:sz w:val="24"/>
        </w:rPr>
        <w:t>53. 质疑后续处理</w:t>
      </w:r>
    </w:p>
    <w:p>
      <w:pPr>
        <w:jc w:val="both"/>
        <w:rPr>
          <w:rFonts w:ascii="宋体" w:hAnsi="宋体" w:eastAsia="宋体" w:cs="Times New Roman"/>
          <w:szCs w:val="21"/>
        </w:rPr>
      </w:pPr>
      <w:r>
        <w:rPr>
          <w:rFonts w:hint="eastAsia" w:ascii="宋体" w:hAnsi="宋体" w:eastAsia="宋体" w:cs="Times New Roman"/>
          <w:szCs w:val="21"/>
        </w:rPr>
        <w:t xml:space="preserve">    53.1供应商质疑不成立，或者成立但未对中标、成交结果构成影响的，继续开展采购活动。</w:t>
      </w:r>
    </w:p>
    <w:p>
      <w:pPr>
        <w:ind w:firstLine="420"/>
        <w:jc w:val="both"/>
        <w:rPr>
          <w:rFonts w:hint="eastAsia" w:ascii="宋体" w:hAnsi="宋体" w:eastAsia="宋体" w:cs="Times New Roman"/>
          <w:szCs w:val="21"/>
        </w:rPr>
      </w:pPr>
      <w:r>
        <w:rPr>
          <w:rFonts w:hint="eastAsia" w:ascii="宋体" w:hAnsi="宋体" w:eastAsia="宋体" w:cs="Times New Roman"/>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both"/>
        <w:rPr>
          <w:rFonts w:ascii="Times New Roman" w:hAnsi="Times New Roman" w:eastAsia="宋体" w:cs="Times New Roman"/>
        </w:rPr>
      </w:pPr>
      <w:r>
        <w:rPr>
          <w:rFonts w:ascii="Times New Roman" w:hAnsi="Times New Roman" w:eastAsia="宋体" w:cs="Times New Roman"/>
        </w:rPr>
        <w:t>---- END ----</w:t>
      </w:r>
    </w:p>
    <w:p>
      <w:pPr>
        <w:jc w:val="both"/>
      </w:pPr>
    </w:p>
    <w:p/>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00" w:usb3="00000000" w:csb0="0004009F" w:csb1="DFD7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t xml:space="preserve">- </w:t>
    </w:r>
    <w:r>
      <w:fldChar w:fldCharType="begin"/>
    </w:r>
    <w:r>
      <w:instrText xml:space="preserve"> PAGE </w:instrText>
    </w:r>
    <w:r>
      <w:fldChar w:fldCharType="separate"/>
    </w:r>
    <w:r>
      <w:t>32</w:t>
    </w:r>
    <w:r>
      <w:fldChar w:fldCharType="end"/>
    </w:r>
    <w:r>
      <w:t xml:space="preserve"> -</w:t>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FFFFFF7C"/>
    <w:multiLevelType w:val="singleLevel"/>
    <w:tmpl w:val="FFFFFF7C"/>
    <w:lvl w:ilvl="0" w:tentative="0">
      <w:start w:val="1"/>
      <w:numFmt w:val="decimal"/>
      <w:pStyle w:val="61"/>
      <w:lvlText w:val="%1."/>
      <w:lvlJc w:val="left"/>
      <w:pPr>
        <w:tabs>
          <w:tab w:val="left" w:pos="7994"/>
        </w:tabs>
        <w:ind w:left="7994" w:leftChars="800" w:hanging="360" w:hangingChars="200"/>
      </w:pPr>
    </w:lvl>
  </w:abstractNum>
  <w:abstractNum w:abstractNumId="9">
    <w:nsid w:val="FFFFFF89"/>
    <w:multiLevelType w:val="singleLevel"/>
    <w:tmpl w:val="FFFFFF89"/>
    <w:lvl w:ilvl="0" w:tentative="0">
      <w:start w:val="1"/>
      <w:numFmt w:val="bullet"/>
      <w:pStyle w:val="17"/>
      <w:lvlText w:val=""/>
      <w:lvlJc w:val="left"/>
      <w:pPr>
        <w:tabs>
          <w:tab w:val="left" w:pos="360"/>
        </w:tabs>
        <w:ind w:left="360" w:hanging="360" w:hangingChars="200"/>
      </w:pPr>
      <w:rPr>
        <w:rFonts w:hint="default" w:ascii="Wingdings" w:hAnsi="Wingdings"/>
      </w:rPr>
    </w:lvl>
  </w:abstractNum>
  <w:abstractNum w:abstractNumId="10">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2503483"/>
    <w:multiLevelType w:val="multilevel"/>
    <w:tmpl w:val="12503483"/>
    <w:lvl w:ilvl="0" w:tentative="0">
      <w:start w:val="1"/>
      <w:numFmt w:val="bullet"/>
      <w:pStyle w:val="109"/>
      <w:lvlText w:val=""/>
      <w:lvlJc w:val="left"/>
      <w:pPr>
        <w:tabs>
          <w:tab w:val="left" w:pos="420"/>
        </w:tabs>
        <w:ind w:left="420" w:hanging="420"/>
      </w:pPr>
      <w:rPr>
        <w:rFonts w:hint="default" w:ascii="Wingdings" w:hAnsi="Wingdings"/>
      </w:rPr>
    </w:lvl>
    <w:lvl w:ilvl="1" w:tentative="0">
      <w:start w:val="1"/>
      <w:numFmt w:val="bullet"/>
      <w:pStyle w:val="108"/>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160D20D0"/>
    <w:multiLevelType w:val="multilevel"/>
    <w:tmpl w:val="160D20D0"/>
    <w:lvl w:ilvl="0" w:tentative="0">
      <w:start w:val="1"/>
      <w:numFmt w:val="bullet"/>
      <w:pStyle w:val="77"/>
      <w:lvlText w:val=""/>
      <w:lvlJc w:val="left"/>
      <w:pPr>
        <w:tabs>
          <w:tab w:val="left" w:pos="840"/>
        </w:tabs>
        <w:ind w:left="840" w:hanging="420"/>
      </w:pPr>
      <w:rPr>
        <w:rFonts w:hint="default" w:ascii="Wingdings" w:hAnsi="Wingdings"/>
      </w:rPr>
    </w:lvl>
    <w:lvl w:ilvl="1" w:tentative="0">
      <w:start w:val="1"/>
      <w:numFmt w:val="bullet"/>
      <w:pStyle w:val="78"/>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3">
    <w:nsid w:val="2F395B7B"/>
    <w:multiLevelType w:val="multilevel"/>
    <w:tmpl w:val="2F395B7B"/>
    <w:lvl w:ilvl="0" w:tentative="0">
      <w:start w:val="1"/>
      <w:numFmt w:val="bullet"/>
      <w:pStyle w:val="169"/>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4">
    <w:nsid w:val="34232161"/>
    <w:multiLevelType w:val="singleLevel"/>
    <w:tmpl w:val="34232161"/>
    <w:lvl w:ilvl="0" w:tentative="0">
      <w:start w:val="2"/>
      <w:numFmt w:val="decimal"/>
      <w:suff w:val="nothing"/>
      <w:lvlText w:val="（%1）"/>
      <w:lvlJc w:val="left"/>
    </w:lvl>
  </w:abstractNum>
  <w:abstractNum w:abstractNumId="15">
    <w:nsid w:val="7A0F6431"/>
    <w:multiLevelType w:val="singleLevel"/>
    <w:tmpl w:val="7A0F6431"/>
    <w:lvl w:ilvl="0" w:tentative="0">
      <w:start w:val="1"/>
      <w:numFmt w:val="decimal"/>
      <w:suff w:val="space"/>
      <w:lvlText w:val="%1."/>
      <w:lvlJc w:val="left"/>
    </w:lvl>
  </w:abstractNum>
  <w:abstractNum w:abstractNumId="16">
    <w:nsid w:val="7AEF7716"/>
    <w:multiLevelType w:val="multilevel"/>
    <w:tmpl w:val="7AEF7716"/>
    <w:lvl w:ilvl="0" w:tentative="0">
      <w:start w:val="1"/>
      <w:numFmt w:val="chineseCountingThousand"/>
      <w:pStyle w:val="122"/>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8"/>
  </w:num>
  <w:num w:numId="3">
    <w:abstractNumId w:val="12"/>
  </w:num>
  <w:num w:numId="4">
    <w:abstractNumId w:val="11"/>
  </w:num>
  <w:num w:numId="5">
    <w:abstractNumId w:val="16"/>
  </w:num>
  <w:num w:numId="6">
    <w:abstractNumId w:val="13"/>
  </w:num>
  <w:num w:numId="7">
    <w:abstractNumId w:val="14"/>
  </w:num>
  <w:num w:numId="8">
    <w:abstractNumId w:val="0"/>
  </w:num>
  <w:num w:numId="9">
    <w:abstractNumId w:val="1"/>
  </w:num>
  <w:num w:numId="10">
    <w:abstractNumId w:val="15"/>
  </w:num>
  <w:num w:numId="11">
    <w:abstractNumId w:val="3"/>
  </w:num>
  <w:num w:numId="12">
    <w:abstractNumId w:val="7"/>
  </w:num>
  <w:num w:numId="13">
    <w:abstractNumId w:val="5"/>
  </w:num>
  <w:num w:numId="14">
    <w:abstractNumId w:val="4"/>
  </w:num>
  <w:num w:numId="15">
    <w:abstractNumId w:val="2"/>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trackRevisions w:val="1"/>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TViYmM5N2VkNzE3YzEyMDY3NjQ5MmFhNDQzY2MifQ=="/>
    <w:docVar w:name="KSO_WPS_MARK_KEY" w:val="a5980290-81d1-4166-b591-31e4936b8684"/>
  </w:docVars>
  <w:rsids>
    <w:rsidRoot w:val="006C5683"/>
    <w:rsid w:val="000006EA"/>
    <w:rsid w:val="00000AD9"/>
    <w:rsid w:val="000043C0"/>
    <w:rsid w:val="00004F2D"/>
    <w:rsid w:val="000050CA"/>
    <w:rsid w:val="000051C6"/>
    <w:rsid w:val="00005215"/>
    <w:rsid w:val="00005A10"/>
    <w:rsid w:val="00005D3D"/>
    <w:rsid w:val="0000667D"/>
    <w:rsid w:val="00006F7B"/>
    <w:rsid w:val="00007951"/>
    <w:rsid w:val="0000796B"/>
    <w:rsid w:val="00010063"/>
    <w:rsid w:val="00010102"/>
    <w:rsid w:val="0001019E"/>
    <w:rsid w:val="00011EA6"/>
    <w:rsid w:val="00012640"/>
    <w:rsid w:val="00012B21"/>
    <w:rsid w:val="0001300F"/>
    <w:rsid w:val="0001336E"/>
    <w:rsid w:val="0001480D"/>
    <w:rsid w:val="00014A5C"/>
    <w:rsid w:val="00015388"/>
    <w:rsid w:val="0001716B"/>
    <w:rsid w:val="00017F81"/>
    <w:rsid w:val="000211EA"/>
    <w:rsid w:val="000234B2"/>
    <w:rsid w:val="00024FD2"/>
    <w:rsid w:val="00025AE4"/>
    <w:rsid w:val="0002684B"/>
    <w:rsid w:val="00026A57"/>
    <w:rsid w:val="00027645"/>
    <w:rsid w:val="000300AE"/>
    <w:rsid w:val="000300EE"/>
    <w:rsid w:val="000302B6"/>
    <w:rsid w:val="0003106D"/>
    <w:rsid w:val="00031700"/>
    <w:rsid w:val="00031F6E"/>
    <w:rsid w:val="0003277F"/>
    <w:rsid w:val="00032948"/>
    <w:rsid w:val="00032B0A"/>
    <w:rsid w:val="0003315D"/>
    <w:rsid w:val="00033DE7"/>
    <w:rsid w:val="0003541F"/>
    <w:rsid w:val="00036A2B"/>
    <w:rsid w:val="00040D3C"/>
    <w:rsid w:val="00042C84"/>
    <w:rsid w:val="00043621"/>
    <w:rsid w:val="00043739"/>
    <w:rsid w:val="00043A89"/>
    <w:rsid w:val="00045739"/>
    <w:rsid w:val="00046D30"/>
    <w:rsid w:val="000510B6"/>
    <w:rsid w:val="00051133"/>
    <w:rsid w:val="00051F3F"/>
    <w:rsid w:val="000521D8"/>
    <w:rsid w:val="00052BC1"/>
    <w:rsid w:val="00053A89"/>
    <w:rsid w:val="0005582B"/>
    <w:rsid w:val="00055BD9"/>
    <w:rsid w:val="00056247"/>
    <w:rsid w:val="00056292"/>
    <w:rsid w:val="00056C11"/>
    <w:rsid w:val="00057302"/>
    <w:rsid w:val="00057332"/>
    <w:rsid w:val="00057D00"/>
    <w:rsid w:val="00060A3D"/>
    <w:rsid w:val="00060C1C"/>
    <w:rsid w:val="00061D20"/>
    <w:rsid w:val="0006267A"/>
    <w:rsid w:val="0006335B"/>
    <w:rsid w:val="00063C25"/>
    <w:rsid w:val="00064892"/>
    <w:rsid w:val="00066026"/>
    <w:rsid w:val="0006660A"/>
    <w:rsid w:val="0006670C"/>
    <w:rsid w:val="00067960"/>
    <w:rsid w:val="0007003A"/>
    <w:rsid w:val="00070210"/>
    <w:rsid w:val="000707BF"/>
    <w:rsid w:val="00072B70"/>
    <w:rsid w:val="00072CB4"/>
    <w:rsid w:val="000734CD"/>
    <w:rsid w:val="00074403"/>
    <w:rsid w:val="000750DC"/>
    <w:rsid w:val="00075497"/>
    <w:rsid w:val="0007583C"/>
    <w:rsid w:val="00075E26"/>
    <w:rsid w:val="00076057"/>
    <w:rsid w:val="000770EC"/>
    <w:rsid w:val="00080613"/>
    <w:rsid w:val="00082667"/>
    <w:rsid w:val="00082AD2"/>
    <w:rsid w:val="00083DC6"/>
    <w:rsid w:val="00084857"/>
    <w:rsid w:val="000849B8"/>
    <w:rsid w:val="000850AF"/>
    <w:rsid w:val="000852EB"/>
    <w:rsid w:val="000869D8"/>
    <w:rsid w:val="00086CA6"/>
    <w:rsid w:val="00090213"/>
    <w:rsid w:val="00092FC7"/>
    <w:rsid w:val="00093133"/>
    <w:rsid w:val="0009395E"/>
    <w:rsid w:val="00094C6E"/>
    <w:rsid w:val="000954D5"/>
    <w:rsid w:val="00095723"/>
    <w:rsid w:val="00095A74"/>
    <w:rsid w:val="0009618D"/>
    <w:rsid w:val="0009709B"/>
    <w:rsid w:val="000975E3"/>
    <w:rsid w:val="000A094C"/>
    <w:rsid w:val="000A1DD1"/>
    <w:rsid w:val="000A21A5"/>
    <w:rsid w:val="000A3908"/>
    <w:rsid w:val="000A4C29"/>
    <w:rsid w:val="000A5B36"/>
    <w:rsid w:val="000A6E2B"/>
    <w:rsid w:val="000A79D3"/>
    <w:rsid w:val="000B05E2"/>
    <w:rsid w:val="000B2568"/>
    <w:rsid w:val="000B41BB"/>
    <w:rsid w:val="000B5357"/>
    <w:rsid w:val="000B597F"/>
    <w:rsid w:val="000B634D"/>
    <w:rsid w:val="000B73D2"/>
    <w:rsid w:val="000B7465"/>
    <w:rsid w:val="000C14CB"/>
    <w:rsid w:val="000C18BC"/>
    <w:rsid w:val="000C1D03"/>
    <w:rsid w:val="000C1EE4"/>
    <w:rsid w:val="000C1FF9"/>
    <w:rsid w:val="000C4151"/>
    <w:rsid w:val="000C4425"/>
    <w:rsid w:val="000C4B12"/>
    <w:rsid w:val="000C5FA7"/>
    <w:rsid w:val="000C7E71"/>
    <w:rsid w:val="000D0BCE"/>
    <w:rsid w:val="000D16AA"/>
    <w:rsid w:val="000D1A7D"/>
    <w:rsid w:val="000D2309"/>
    <w:rsid w:val="000D2CCA"/>
    <w:rsid w:val="000D366B"/>
    <w:rsid w:val="000D37B4"/>
    <w:rsid w:val="000D38F9"/>
    <w:rsid w:val="000D5D6B"/>
    <w:rsid w:val="000D7A20"/>
    <w:rsid w:val="000E161C"/>
    <w:rsid w:val="000E1994"/>
    <w:rsid w:val="000E2C39"/>
    <w:rsid w:val="000E355C"/>
    <w:rsid w:val="000E4445"/>
    <w:rsid w:val="000E470B"/>
    <w:rsid w:val="000E4DE8"/>
    <w:rsid w:val="000E4EF8"/>
    <w:rsid w:val="000E50F5"/>
    <w:rsid w:val="000E5E99"/>
    <w:rsid w:val="000E655B"/>
    <w:rsid w:val="000E6A66"/>
    <w:rsid w:val="000F0C3B"/>
    <w:rsid w:val="000F0E9F"/>
    <w:rsid w:val="000F1540"/>
    <w:rsid w:val="000F1D4A"/>
    <w:rsid w:val="000F2065"/>
    <w:rsid w:val="000F2A88"/>
    <w:rsid w:val="000F2C23"/>
    <w:rsid w:val="000F2D1B"/>
    <w:rsid w:val="000F3658"/>
    <w:rsid w:val="000F3B37"/>
    <w:rsid w:val="000F3C85"/>
    <w:rsid w:val="000F3F12"/>
    <w:rsid w:val="000F565B"/>
    <w:rsid w:val="000F5C6C"/>
    <w:rsid w:val="000F5F3F"/>
    <w:rsid w:val="000F64AD"/>
    <w:rsid w:val="00100570"/>
    <w:rsid w:val="00101CE5"/>
    <w:rsid w:val="00101DD0"/>
    <w:rsid w:val="00102555"/>
    <w:rsid w:val="0010291B"/>
    <w:rsid w:val="00102B4B"/>
    <w:rsid w:val="00103AB9"/>
    <w:rsid w:val="00103E80"/>
    <w:rsid w:val="00107187"/>
    <w:rsid w:val="00107272"/>
    <w:rsid w:val="00107D54"/>
    <w:rsid w:val="00110383"/>
    <w:rsid w:val="00110B62"/>
    <w:rsid w:val="00111581"/>
    <w:rsid w:val="00111CEB"/>
    <w:rsid w:val="0011245C"/>
    <w:rsid w:val="0011500F"/>
    <w:rsid w:val="00115A55"/>
    <w:rsid w:val="0011665D"/>
    <w:rsid w:val="00116AAC"/>
    <w:rsid w:val="00117D55"/>
    <w:rsid w:val="001204B2"/>
    <w:rsid w:val="001212EF"/>
    <w:rsid w:val="001217DC"/>
    <w:rsid w:val="00121F81"/>
    <w:rsid w:val="0012203F"/>
    <w:rsid w:val="00123CC6"/>
    <w:rsid w:val="00125689"/>
    <w:rsid w:val="00125C8A"/>
    <w:rsid w:val="001261FC"/>
    <w:rsid w:val="001306FE"/>
    <w:rsid w:val="00130827"/>
    <w:rsid w:val="001308A2"/>
    <w:rsid w:val="00131140"/>
    <w:rsid w:val="001317AD"/>
    <w:rsid w:val="00131FC3"/>
    <w:rsid w:val="0013281E"/>
    <w:rsid w:val="00132FD3"/>
    <w:rsid w:val="001339CF"/>
    <w:rsid w:val="00134E0F"/>
    <w:rsid w:val="0013673A"/>
    <w:rsid w:val="00136D81"/>
    <w:rsid w:val="001410EB"/>
    <w:rsid w:val="00141224"/>
    <w:rsid w:val="00143103"/>
    <w:rsid w:val="00143554"/>
    <w:rsid w:val="00143653"/>
    <w:rsid w:val="00143934"/>
    <w:rsid w:val="00143B3A"/>
    <w:rsid w:val="00143E43"/>
    <w:rsid w:val="00143FFC"/>
    <w:rsid w:val="00145760"/>
    <w:rsid w:val="00146ABB"/>
    <w:rsid w:val="00147338"/>
    <w:rsid w:val="00147A48"/>
    <w:rsid w:val="00150143"/>
    <w:rsid w:val="001509AB"/>
    <w:rsid w:val="00152E91"/>
    <w:rsid w:val="0015460B"/>
    <w:rsid w:val="00154736"/>
    <w:rsid w:val="00156CA9"/>
    <w:rsid w:val="00157465"/>
    <w:rsid w:val="00157E23"/>
    <w:rsid w:val="00157FC3"/>
    <w:rsid w:val="00160ACE"/>
    <w:rsid w:val="00161C4F"/>
    <w:rsid w:val="00161C84"/>
    <w:rsid w:val="00161F2A"/>
    <w:rsid w:val="00161FDF"/>
    <w:rsid w:val="00162091"/>
    <w:rsid w:val="001626BD"/>
    <w:rsid w:val="00162C33"/>
    <w:rsid w:val="0016340E"/>
    <w:rsid w:val="00164E23"/>
    <w:rsid w:val="0016595F"/>
    <w:rsid w:val="00165A4C"/>
    <w:rsid w:val="001669D4"/>
    <w:rsid w:val="00166A2C"/>
    <w:rsid w:val="00166BF2"/>
    <w:rsid w:val="00166CC3"/>
    <w:rsid w:val="00167E68"/>
    <w:rsid w:val="00170A9E"/>
    <w:rsid w:val="00170ED1"/>
    <w:rsid w:val="0017121A"/>
    <w:rsid w:val="00171401"/>
    <w:rsid w:val="0017141F"/>
    <w:rsid w:val="00171777"/>
    <w:rsid w:val="001719FB"/>
    <w:rsid w:val="00172B65"/>
    <w:rsid w:val="00172EF5"/>
    <w:rsid w:val="001732E1"/>
    <w:rsid w:val="00174268"/>
    <w:rsid w:val="0017486B"/>
    <w:rsid w:val="0017613E"/>
    <w:rsid w:val="00177167"/>
    <w:rsid w:val="00177753"/>
    <w:rsid w:val="00177BE4"/>
    <w:rsid w:val="00180EDB"/>
    <w:rsid w:val="00181A71"/>
    <w:rsid w:val="00182329"/>
    <w:rsid w:val="0018261B"/>
    <w:rsid w:val="001834A7"/>
    <w:rsid w:val="0018373B"/>
    <w:rsid w:val="00183C79"/>
    <w:rsid w:val="00183C8B"/>
    <w:rsid w:val="00183E75"/>
    <w:rsid w:val="001845CF"/>
    <w:rsid w:val="001865BB"/>
    <w:rsid w:val="00186EAE"/>
    <w:rsid w:val="00186F7A"/>
    <w:rsid w:val="00187518"/>
    <w:rsid w:val="00187743"/>
    <w:rsid w:val="00187F07"/>
    <w:rsid w:val="0019096C"/>
    <w:rsid w:val="00191EA7"/>
    <w:rsid w:val="00192164"/>
    <w:rsid w:val="00192883"/>
    <w:rsid w:val="00194C98"/>
    <w:rsid w:val="00194FB7"/>
    <w:rsid w:val="00195D28"/>
    <w:rsid w:val="00196B4E"/>
    <w:rsid w:val="001975A1"/>
    <w:rsid w:val="001A027A"/>
    <w:rsid w:val="001A08E4"/>
    <w:rsid w:val="001A0D2C"/>
    <w:rsid w:val="001A12B5"/>
    <w:rsid w:val="001A1C72"/>
    <w:rsid w:val="001A3980"/>
    <w:rsid w:val="001A422B"/>
    <w:rsid w:val="001A440A"/>
    <w:rsid w:val="001A4A55"/>
    <w:rsid w:val="001A5C6F"/>
    <w:rsid w:val="001A6A4F"/>
    <w:rsid w:val="001A76B7"/>
    <w:rsid w:val="001B015C"/>
    <w:rsid w:val="001B1339"/>
    <w:rsid w:val="001B1B58"/>
    <w:rsid w:val="001B1F55"/>
    <w:rsid w:val="001B2049"/>
    <w:rsid w:val="001B2934"/>
    <w:rsid w:val="001B4A37"/>
    <w:rsid w:val="001B5963"/>
    <w:rsid w:val="001B6FAD"/>
    <w:rsid w:val="001C04B2"/>
    <w:rsid w:val="001C14C1"/>
    <w:rsid w:val="001C1FDE"/>
    <w:rsid w:val="001C2063"/>
    <w:rsid w:val="001C21E1"/>
    <w:rsid w:val="001C3426"/>
    <w:rsid w:val="001C4675"/>
    <w:rsid w:val="001C4768"/>
    <w:rsid w:val="001C5839"/>
    <w:rsid w:val="001C6AF6"/>
    <w:rsid w:val="001C7129"/>
    <w:rsid w:val="001C77E1"/>
    <w:rsid w:val="001C7ADA"/>
    <w:rsid w:val="001C7B48"/>
    <w:rsid w:val="001C7EA0"/>
    <w:rsid w:val="001D121D"/>
    <w:rsid w:val="001D3543"/>
    <w:rsid w:val="001D4151"/>
    <w:rsid w:val="001D58E5"/>
    <w:rsid w:val="001D7299"/>
    <w:rsid w:val="001E0FAB"/>
    <w:rsid w:val="001E2084"/>
    <w:rsid w:val="001E2502"/>
    <w:rsid w:val="001E292F"/>
    <w:rsid w:val="001E351C"/>
    <w:rsid w:val="001E474D"/>
    <w:rsid w:val="001E5194"/>
    <w:rsid w:val="001E5851"/>
    <w:rsid w:val="001E5A81"/>
    <w:rsid w:val="001E62FB"/>
    <w:rsid w:val="001E68FE"/>
    <w:rsid w:val="001E6A0B"/>
    <w:rsid w:val="001E77DA"/>
    <w:rsid w:val="001E7A2F"/>
    <w:rsid w:val="001E7AB0"/>
    <w:rsid w:val="001E7DD0"/>
    <w:rsid w:val="001F0349"/>
    <w:rsid w:val="001F077B"/>
    <w:rsid w:val="001F0B74"/>
    <w:rsid w:val="001F1045"/>
    <w:rsid w:val="001F2648"/>
    <w:rsid w:val="001F3E37"/>
    <w:rsid w:val="001F41B9"/>
    <w:rsid w:val="001F4BE8"/>
    <w:rsid w:val="001F4EB8"/>
    <w:rsid w:val="001F560A"/>
    <w:rsid w:val="001F6270"/>
    <w:rsid w:val="001F6318"/>
    <w:rsid w:val="001F65B1"/>
    <w:rsid w:val="001F6B83"/>
    <w:rsid w:val="001F6F6A"/>
    <w:rsid w:val="001F7595"/>
    <w:rsid w:val="002000B8"/>
    <w:rsid w:val="002005CD"/>
    <w:rsid w:val="00200B4C"/>
    <w:rsid w:val="00202F46"/>
    <w:rsid w:val="00203267"/>
    <w:rsid w:val="00203897"/>
    <w:rsid w:val="0020391D"/>
    <w:rsid w:val="00205F9C"/>
    <w:rsid w:val="002060F7"/>
    <w:rsid w:val="00207BC6"/>
    <w:rsid w:val="00210771"/>
    <w:rsid w:val="00210EE2"/>
    <w:rsid w:val="00211885"/>
    <w:rsid w:val="00212864"/>
    <w:rsid w:val="00212ADF"/>
    <w:rsid w:val="002134CF"/>
    <w:rsid w:val="00213A60"/>
    <w:rsid w:val="0021429B"/>
    <w:rsid w:val="00215699"/>
    <w:rsid w:val="002159DE"/>
    <w:rsid w:val="00215E99"/>
    <w:rsid w:val="0021667D"/>
    <w:rsid w:val="002166A1"/>
    <w:rsid w:val="002166A6"/>
    <w:rsid w:val="00216BB6"/>
    <w:rsid w:val="0022039D"/>
    <w:rsid w:val="0022048B"/>
    <w:rsid w:val="0022175C"/>
    <w:rsid w:val="00222261"/>
    <w:rsid w:val="002227DF"/>
    <w:rsid w:val="00223AC8"/>
    <w:rsid w:val="00223C96"/>
    <w:rsid w:val="00224852"/>
    <w:rsid w:val="00224BE4"/>
    <w:rsid w:val="0022634D"/>
    <w:rsid w:val="00227512"/>
    <w:rsid w:val="0022766E"/>
    <w:rsid w:val="0022777A"/>
    <w:rsid w:val="002278D5"/>
    <w:rsid w:val="00227C13"/>
    <w:rsid w:val="00227D49"/>
    <w:rsid w:val="00227FC7"/>
    <w:rsid w:val="0023110A"/>
    <w:rsid w:val="00233A54"/>
    <w:rsid w:val="00234440"/>
    <w:rsid w:val="002347C9"/>
    <w:rsid w:val="00236E72"/>
    <w:rsid w:val="0023738E"/>
    <w:rsid w:val="002411BD"/>
    <w:rsid w:val="00242ED3"/>
    <w:rsid w:val="00244711"/>
    <w:rsid w:val="00244AE4"/>
    <w:rsid w:val="00245EBE"/>
    <w:rsid w:val="002472C1"/>
    <w:rsid w:val="002473F4"/>
    <w:rsid w:val="00247D64"/>
    <w:rsid w:val="00250934"/>
    <w:rsid w:val="00250F42"/>
    <w:rsid w:val="00252EBA"/>
    <w:rsid w:val="0025361A"/>
    <w:rsid w:val="002545EF"/>
    <w:rsid w:val="00254B44"/>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702CD"/>
    <w:rsid w:val="00270B4E"/>
    <w:rsid w:val="00271500"/>
    <w:rsid w:val="00272E57"/>
    <w:rsid w:val="00274663"/>
    <w:rsid w:val="00275641"/>
    <w:rsid w:val="0027569A"/>
    <w:rsid w:val="002767D9"/>
    <w:rsid w:val="00280382"/>
    <w:rsid w:val="00280F4B"/>
    <w:rsid w:val="002816D0"/>
    <w:rsid w:val="002821E9"/>
    <w:rsid w:val="002827D2"/>
    <w:rsid w:val="002835B7"/>
    <w:rsid w:val="00284C1F"/>
    <w:rsid w:val="00284F69"/>
    <w:rsid w:val="002851AF"/>
    <w:rsid w:val="00285866"/>
    <w:rsid w:val="00286129"/>
    <w:rsid w:val="0028787B"/>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A11CE"/>
    <w:rsid w:val="002A13E2"/>
    <w:rsid w:val="002A180F"/>
    <w:rsid w:val="002A1B36"/>
    <w:rsid w:val="002A37E6"/>
    <w:rsid w:val="002A4DFC"/>
    <w:rsid w:val="002B18D6"/>
    <w:rsid w:val="002B22D4"/>
    <w:rsid w:val="002B3984"/>
    <w:rsid w:val="002B4BF3"/>
    <w:rsid w:val="002B55C8"/>
    <w:rsid w:val="002B5E4B"/>
    <w:rsid w:val="002B64E9"/>
    <w:rsid w:val="002B660D"/>
    <w:rsid w:val="002B7969"/>
    <w:rsid w:val="002C0031"/>
    <w:rsid w:val="002C0485"/>
    <w:rsid w:val="002C0762"/>
    <w:rsid w:val="002C257A"/>
    <w:rsid w:val="002C2BEC"/>
    <w:rsid w:val="002C30C0"/>
    <w:rsid w:val="002C4F4B"/>
    <w:rsid w:val="002C5233"/>
    <w:rsid w:val="002C6EC0"/>
    <w:rsid w:val="002C7258"/>
    <w:rsid w:val="002D0189"/>
    <w:rsid w:val="002D0356"/>
    <w:rsid w:val="002D07C0"/>
    <w:rsid w:val="002D0F98"/>
    <w:rsid w:val="002D1DFB"/>
    <w:rsid w:val="002D45BF"/>
    <w:rsid w:val="002D4A85"/>
    <w:rsid w:val="002D6162"/>
    <w:rsid w:val="002D64DF"/>
    <w:rsid w:val="002D750A"/>
    <w:rsid w:val="002E242E"/>
    <w:rsid w:val="002E2FEC"/>
    <w:rsid w:val="002E38DB"/>
    <w:rsid w:val="002E3BEB"/>
    <w:rsid w:val="002E441D"/>
    <w:rsid w:val="002E4AB1"/>
    <w:rsid w:val="002E4F11"/>
    <w:rsid w:val="002E4F8A"/>
    <w:rsid w:val="002E505D"/>
    <w:rsid w:val="002E6F69"/>
    <w:rsid w:val="002E7296"/>
    <w:rsid w:val="002E73B8"/>
    <w:rsid w:val="002F04A7"/>
    <w:rsid w:val="002F0545"/>
    <w:rsid w:val="002F0823"/>
    <w:rsid w:val="002F2471"/>
    <w:rsid w:val="002F2B7A"/>
    <w:rsid w:val="002F2E1D"/>
    <w:rsid w:val="002F3105"/>
    <w:rsid w:val="002F59F2"/>
    <w:rsid w:val="002F5E6C"/>
    <w:rsid w:val="002F72FF"/>
    <w:rsid w:val="00300BF3"/>
    <w:rsid w:val="0030143F"/>
    <w:rsid w:val="00301A2B"/>
    <w:rsid w:val="00301BCD"/>
    <w:rsid w:val="00302988"/>
    <w:rsid w:val="00303ACF"/>
    <w:rsid w:val="0030463E"/>
    <w:rsid w:val="00304ED6"/>
    <w:rsid w:val="00306654"/>
    <w:rsid w:val="00306D5D"/>
    <w:rsid w:val="00306FF4"/>
    <w:rsid w:val="00310EE1"/>
    <w:rsid w:val="003122B0"/>
    <w:rsid w:val="00312390"/>
    <w:rsid w:val="003123F4"/>
    <w:rsid w:val="00312EAF"/>
    <w:rsid w:val="00313487"/>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7BA"/>
    <w:rsid w:val="00324A1D"/>
    <w:rsid w:val="00324C55"/>
    <w:rsid w:val="003250B4"/>
    <w:rsid w:val="00325742"/>
    <w:rsid w:val="00327224"/>
    <w:rsid w:val="00327AB3"/>
    <w:rsid w:val="00327F9E"/>
    <w:rsid w:val="00330527"/>
    <w:rsid w:val="00330C9F"/>
    <w:rsid w:val="003318A6"/>
    <w:rsid w:val="003321A8"/>
    <w:rsid w:val="00332EB1"/>
    <w:rsid w:val="00333E63"/>
    <w:rsid w:val="00334044"/>
    <w:rsid w:val="00334CB0"/>
    <w:rsid w:val="00335188"/>
    <w:rsid w:val="00335234"/>
    <w:rsid w:val="003373B8"/>
    <w:rsid w:val="003413F4"/>
    <w:rsid w:val="00342DC1"/>
    <w:rsid w:val="00342EF7"/>
    <w:rsid w:val="003432B6"/>
    <w:rsid w:val="003434E9"/>
    <w:rsid w:val="00343F41"/>
    <w:rsid w:val="00344BF3"/>
    <w:rsid w:val="00345CC1"/>
    <w:rsid w:val="00345EA7"/>
    <w:rsid w:val="0034652C"/>
    <w:rsid w:val="00346606"/>
    <w:rsid w:val="00346E73"/>
    <w:rsid w:val="00346F27"/>
    <w:rsid w:val="0035067B"/>
    <w:rsid w:val="00350681"/>
    <w:rsid w:val="00350B6E"/>
    <w:rsid w:val="00350FA8"/>
    <w:rsid w:val="00351A4A"/>
    <w:rsid w:val="00351D95"/>
    <w:rsid w:val="00351FB4"/>
    <w:rsid w:val="00353860"/>
    <w:rsid w:val="00354CD9"/>
    <w:rsid w:val="003556C1"/>
    <w:rsid w:val="00355EEE"/>
    <w:rsid w:val="00356FC1"/>
    <w:rsid w:val="00357883"/>
    <w:rsid w:val="00360494"/>
    <w:rsid w:val="00360B7E"/>
    <w:rsid w:val="00360C00"/>
    <w:rsid w:val="00361243"/>
    <w:rsid w:val="00361633"/>
    <w:rsid w:val="00361935"/>
    <w:rsid w:val="003626AE"/>
    <w:rsid w:val="0036292A"/>
    <w:rsid w:val="00362AF3"/>
    <w:rsid w:val="0036467D"/>
    <w:rsid w:val="00364BEE"/>
    <w:rsid w:val="0036508D"/>
    <w:rsid w:val="003651C8"/>
    <w:rsid w:val="00366321"/>
    <w:rsid w:val="00366419"/>
    <w:rsid w:val="003665E3"/>
    <w:rsid w:val="003669F1"/>
    <w:rsid w:val="00366F10"/>
    <w:rsid w:val="003700A3"/>
    <w:rsid w:val="00370B40"/>
    <w:rsid w:val="00371A92"/>
    <w:rsid w:val="00371C15"/>
    <w:rsid w:val="00372CDF"/>
    <w:rsid w:val="00373411"/>
    <w:rsid w:val="0037369C"/>
    <w:rsid w:val="00373D40"/>
    <w:rsid w:val="003741F6"/>
    <w:rsid w:val="00374A29"/>
    <w:rsid w:val="00374FA4"/>
    <w:rsid w:val="003756C6"/>
    <w:rsid w:val="00376548"/>
    <w:rsid w:val="00376E35"/>
    <w:rsid w:val="003773AC"/>
    <w:rsid w:val="00377F6C"/>
    <w:rsid w:val="00380094"/>
    <w:rsid w:val="00380256"/>
    <w:rsid w:val="0038165D"/>
    <w:rsid w:val="00383071"/>
    <w:rsid w:val="00385175"/>
    <w:rsid w:val="00385444"/>
    <w:rsid w:val="00385F39"/>
    <w:rsid w:val="00386070"/>
    <w:rsid w:val="00387DCF"/>
    <w:rsid w:val="00390006"/>
    <w:rsid w:val="003900A5"/>
    <w:rsid w:val="0039012D"/>
    <w:rsid w:val="003917AD"/>
    <w:rsid w:val="003917D1"/>
    <w:rsid w:val="00391FAB"/>
    <w:rsid w:val="00392539"/>
    <w:rsid w:val="00392677"/>
    <w:rsid w:val="0039320C"/>
    <w:rsid w:val="00393431"/>
    <w:rsid w:val="00393633"/>
    <w:rsid w:val="003945E2"/>
    <w:rsid w:val="00394981"/>
    <w:rsid w:val="00395100"/>
    <w:rsid w:val="003953A8"/>
    <w:rsid w:val="003958E6"/>
    <w:rsid w:val="00395D76"/>
    <w:rsid w:val="00396F7B"/>
    <w:rsid w:val="00396FA3"/>
    <w:rsid w:val="0039788E"/>
    <w:rsid w:val="00397F0D"/>
    <w:rsid w:val="003A011D"/>
    <w:rsid w:val="003A0DC3"/>
    <w:rsid w:val="003A1675"/>
    <w:rsid w:val="003A1CA9"/>
    <w:rsid w:val="003A1CF5"/>
    <w:rsid w:val="003A2812"/>
    <w:rsid w:val="003A2D0C"/>
    <w:rsid w:val="003A3304"/>
    <w:rsid w:val="003A3551"/>
    <w:rsid w:val="003A38F0"/>
    <w:rsid w:val="003A3EBB"/>
    <w:rsid w:val="003A443D"/>
    <w:rsid w:val="003A4DE4"/>
    <w:rsid w:val="003A6A5A"/>
    <w:rsid w:val="003A72E9"/>
    <w:rsid w:val="003B11DA"/>
    <w:rsid w:val="003B175A"/>
    <w:rsid w:val="003B3231"/>
    <w:rsid w:val="003B357A"/>
    <w:rsid w:val="003B4274"/>
    <w:rsid w:val="003B499C"/>
    <w:rsid w:val="003B4CCD"/>
    <w:rsid w:val="003B53D4"/>
    <w:rsid w:val="003B56D7"/>
    <w:rsid w:val="003B7298"/>
    <w:rsid w:val="003C0FF8"/>
    <w:rsid w:val="003C1D0C"/>
    <w:rsid w:val="003C1F2E"/>
    <w:rsid w:val="003C42A3"/>
    <w:rsid w:val="003C49D5"/>
    <w:rsid w:val="003C4FD5"/>
    <w:rsid w:val="003C582B"/>
    <w:rsid w:val="003C6BFF"/>
    <w:rsid w:val="003D2333"/>
    <w:rsid w:val="003D2E1B"/>
    <w:rsid w:val="003D3241"/>
    <w:rsid w:val="003D39AE"/>
    <w:rsid w:val="003D3B44"/>
    <w:rsid w:val="003D4804"/>
    <w:rsid w:val="003D5413"/>
    <w:rsid w:val="003D7685"/>
    <w:rsid w:val="003D7E9A"/>
    <w:rsid w:val="003E0366"/>
    <w:rsid w:val="003E100C"/>
    <w:rsid w:val="003E1C0C"/>
    <w:rsid w:val="003E2FFE"/>
    <w:rsid w:val="003E37AA"/>
    <w:rsid w:val="003E4310"/>
    <w:rsid w:val="003E47DE"/>
    <w:rsid w:val="003E4FFA"/>
    <w:rsid w:val="003E6E11"/>
    <w:rsid w:val="003F0536"/>
    <w:rsid w:val="003F10D3"/>
    <w:rsid w:val="003F1548"/>
    <w:rsid w:val="003F2B3D"/>
    <w:rsid w:val="003F2FBA"/>
    <w:rsid w:val="003F3105"/>
    <w:rsid w:val="003F3C44"/>
    <w:rsid w:val="003F4172"/>
    <w:rsid w:val="003F4249"/>
    <w:rsid w:val="003F4768"/>
    <w:rsid w:val="003F4E3B"/>
    <w:rsid w:val="003F5086"/>
    <w:rsid w:val="003F5108"/>
    <w:rsid w:val="003F5C9D"/>
    <w:rsid w:val="003F5D2C"/>
    <w:rsid w:val="003F7679"/>
    <w:rsid w:val="00400C13"/>
    <w:rsid w:val="00401AD9"/>
    <w:rsid w:val="00401F48"/>
    <w:rsid w:val="00402311"/>
    <w:rsid w:val="0040239F"/>
    <w:rsid w:val="00402C97"/>
    <w:rsid w:val="00403364"/>
    <w:rsid w:val="0040415C"/>
    <w:rsid w:val="00404AA4"/>
    <w:rsid w:val="00404AF1"/>
    <w:rsid w:val="00404C61"/>
    <w:rsid w:val="004050C9"/>
    <w:rsid w:val="004051F0"/>
    <w:rsid w:val="00405C04"/>
    <w:rsid w:val="00406314"/>
    <w:rsid w:val="00406376"/>
    <w:rsid w:val="00406896"/>
    <w:rsid w:val="00411B37"/>
    <w:rsid w:val="0041244F"/>
    <w:rsid w:val="004125ED"/>
    <w:rsid w:val="0041353D"/>
    <w:rsid w:val="00413B39"/>
    <w:rsid w:val="0041450E"/>
    <w:rsid w:val="0041456E"/>
    <w:rsid w:val="00415370"/>
    <w:rsid w:val="00415781"/>
    <w:rsid w:val="00416485"/>
    <w:rsid w:val="00416F40"/>
    <w:rsid w:val="00417769"/>
    <w:rsid w:val="00417F0D"/>
    <w:rsid w:val="00420765"/>
    <w:rsid w:val="00421EF2"/>
    <w:rsid w:val="00422668"/>
    <w:rsid w:val="0042482B"/>
    <w:rsid w:val="00424946"/>
    <w:rsid w:val="0042602D"/>
    <w:rsid w:val="004261DA"/>
    <w:rsid w:val="00427004"/>
    <w:rsid w:val="00431540"/>
    <w:rsid w:val="00431AC1"/>
    <w:rsid w:val="00431DE1"/>
    <w:rsid w:val="004329C9"/>
    <w:rsid w:val="00432CD5"/>
    <w:rsid w:val="00432EF0"/>
    <w:rsid w:val="0043396E"/>
    <w:rsid w:val="00433CDB"/>
    <w:rsid w:val="00435D29"/>
    <w:rsid w:val="004363FA"/>
    <w:rsid w:val="004364CC"/>
    <w:rsid w:val="00437141"/>
    <w:rsid w:val="004405B0"/>
    <w:rsid w:val="00440853"/>
    <w:rsid w:val="00441905"/>
    <w:rsid w:val="00441FF9"/>
    <w:rsid w:val="0044382F"/>
    <w:rsid w:val="00443B96"/>
    <w:rsid w:val="00443E1D"/>
    <w:rsid w:val="004442EB"/>
    <w:rsid w:val="00444FA3"/>
    <w:rsid w:val="004459DC"/>
    <w:rsid w:val="00446553"/>
    <w:rsid w:val="00446A92"/>
    <w:rsid w:val="004501B4"/>
    <w:rsid w:val="0045082F"/>
    <w:rsid w:val="00450C00"/>
    <w:rsid w:val="0045135E"/>
    <w:rsid w:val="00452434"/>
    <w:rsid w:val="00452C53"/>
    <w:rsid w:val="004539C7"/>
    <w:rsid w:val="00454597"/>
    <w:rsid w:val="004548E6"/>
    <w:rsid w:val="0045543A"/>
    <w:rsid w:val="0045543C"/>
    <w:rsid w:val="004556FB"/>
    <w:rsid w:val="00455880"/>
    <w:rsid w:val="004561F9"/>
    <w:rsid w:val="0045637C"/>
    <w:rsid w:val="004563C4"/>
    <w:rsid w:val="004569A3"/>
    <w:rsid w:val="004578ED"/>
    <w:rsid w:val="00457EFC"/>
    <w:rsid w:val="0046064C"/>
    <w:rsid w:val="004611B6"/>
    <w:rsid w:val="00461997"/>
    <w:rsid w:val="00463F8B"/>
    <w:rsid w:val="004644C2"/>
    <w:rsid w:val="004649AD"/>
    <w:rsid w:val="004650E7"/>
    <w:rsid w:val="0046687B"/>
    <w:rsid w:val="00466CB4"/>
    <w:rsid w:val="00470418"/>
    <w:rsid w:val="004704EA"/>
    <w:rsid w:val="0047071D"/>
    <w:rsid w:val="004720F6"/>
    <w:rsid w:val="004727C4"/>
    <w:rsid w:val="00472F62"/>
    <w:rsid w:val="00473579"/>
    <w:rsid w:val="00473E50"/>
    <w:rsid w:val="00474E5A"/>
    <w:rsid w:val="00475355"/>
    <w:rsid w:val="0047558F"/>
    <w:rsid w:val="00475FD5"/>
    <w:rsid w:val="00476FED"/>
    <w:rsid w:val="0047725A"/>
    <w:rsid w:val="004812F4"/>
    <w:rsid w:val="0048231B"/>
    <w:rsid w:val="004838D4"/>
    <w:rsid w:val="004845AC"/>
    <w:rsid w:val="00484C31"/>
    <w:rsid w:val="00485E3C"/>
    <w:rsid w:val="00486F09"/>
    <w:rsid w:val="004877FB"/>
    <w:rsid w:val="004906DB"/>
    <w:rsid w:val="00490C0F"/>
    <w:rsid w:val="00491FF2"/>
    <w:rsid w:val="004925EE"/>
    <w:rsid w:val="00492735"/>
    <w:rsid w:val="00493926"/>
    <w:rsid w:val="004945E8"/>
    <w:rsid w:val="00494FC9"/>
    <w:rsid w:val="00495228"/>
    <w:rsid w:val="004963B6"/>
    <w:rsid w:val="004A1AB1"/>
    <w:rsid w:val="004A2013"/>
    <w:rsid w:val="004A201B"/>
    <w:rsid w:val="004A2B7A"/>
    <w:rsid w:val="004A3EB3"/>
    <w:rsid w:val="004A4377"/>
    <w:rsid w:val="004A57EB"/>
    <w:rsid w:val="004A5824"/>
    <w:rsid w:val="004A59D3"/>
    <w:rsid w:val="004A6156"/>
    <w:rsid w:val="004A6D7C"/>
    <w:rsid w:val="004A6F11"/>
    <w:rsid w:val="004A7224"/>
    <w:rsid w:val="004A74DD"/>
    <w:rsid w:val="004B00D1"/>
    <w:rsid w:val="004B0AC8"/>
    <w:rsid w:val="004B0B57"/>
    <w:rsid w:val="004B0BBE"/>
    <w:rsid w:val="004B0EB0"/>
    <w:rsid w:val="004B1246"/>
    <w:rsid w:val="004B1CAB"/>
    <w:rsid w:val="004B2FF9"/>
    <w:rsid w:val="004B3506"/>
    <w:rsid w:val="004B36ED"/>
    <w:rsid w:val="004B40DB"/>
    <w:rsid w:val="004B4EF6"/>
    <w:rsid w:val="004B612E"/>
    <w:rsid w:val="004B623B"/>
    <w:rsid w:val="004B6554"/>
    <w:rsid w:val="004B6B22"/>
    <w:rsid w:val="004B6C50"/>
    <w:rsid w:val="004C0DA0"/>
    <w:rsid w:val="004C3E02"/>
    <w:rsid w:val="004C422D"/>
    <w:rsid w:val="004C440E"/>
    <w:rsid w:val="004C4CEB"/>
    <w:rsid w:val="004C5CBA"/>
    <w:rsid w:val="004C64D8"/>
    <w:rsid w:val="004C64F7"/>
    <w:rsid w:val="004C6C09"/>
    <w:rsid w:val="004C6EA3"/>
    <w:rsid w:val="004C7BCD"/>
    <w:rsid w:val="004D000F"/>
    <w:rsid w:val="004D055D"/>
    <w:rsid w:val="004D1240"/>
    <w:rsid w:val="004D12B8"/>
    <w:rsid w:val="004D12F6"/>
    <w:rsid w:val="004D1946"/>
    <w:rsid w:val="004D32ED"/>
    <w:rsid w:val="004D3E71"/>
    <w:rsid w:val="004D49EE"/>
    <w:rsid w:val="004D4AE0"/>
    <w:rsid w:val="004D4C0B"/>
    <w:rsid w:val="004D69FC"/>
    <w:rsid w:val="004D72BA"/>
    <w:rsid w:val="004D77BD"/>
    <w:rsid w:val="004D77DE"/>
    <w:rsid w:val="004D7BF4"/>
    <w:rsid w:val="004D7C92"/>
    <w:rsid w:val="004E295C"/>
    <w:rsid w:val="004E38B2"/>
    <w:rsid w:val="004E3936"/>
    <w:rsid w:val="004E490B"/>
    <w:rsid w:val="004E57F7"/>
    <w:rsid w:val="004E5D9C"/>
    <w:rsid w:val="004E6191"/>
    <w:rsid w:val="004E6707"/>
    <w:rsid w:val="004E6B8E"/>
    <w:rsid w:val="004F0543"/>
    <w:rsid w:val="004F0D33"/>
    <w:rsid w:val="004F2385"/>
    <w:rsid w:val="004F246C"/>
    <w:rsid w:val="004F3A97"/>
    <w:rsid w:val="004F5591"/>
    <w:rsid w:val="004F5D14"/>
    <w:rsid w:val="004F68DC"/>
    <w:rsid w:val="004F7F44"/>
    <w:rsid w:val="00500598"/>
    <w:rsid w:val="00500F52"/>
    <w:rsid w:val="00500F7A"/>
    <w:rsid w:val="005012AD"/>
    <w:rsid w:val="005016E5"/>
    <w:rsid w:val="00501A56"/>
    <w:rsid w:val="00502317"/>
    <w:rsid w:val="005027BB"/>
    <w:rsid w:val="00503415"/>
    <w:rsid w:val="005034C1"/>
    <w:rsid w:val="005037E1"/>
    <w:rsid w:val="00503B5C"/>
    <w:rsid w:val="0050456A"/>
    <w:rsid w:val="0050487B"/>
    <w:rsid w:val="00505C46"/>
    <w:rsid w:val="005068E1"/>
    <w:rsid w:val="005070B6"/>
    <w:rsid w:val="005077C5"/>
    <w:rsid w:val="00510111"/>
    <w:rsid w:val="00510B80"/>
    <w:rsid w:val="0051168A"/>
    <w:rsid w:val="005117D2"/>
    <w:rsid w:val="005118A6"/>
    <w:rsid w:val="005122F4"/>
    <w:rsid w:val="0051405F"/>
    <w:rsid w:val="00514277"/>
    <w:rsid w:val="0051444F"/>
    <w:rsid w:val="005156A6"/>
    <w:rsid w:val="00516393"/>
    <w:rsid w:val="00516669"/>
    <w:rsid w:val="005179A5"/>
    <w:rsid w:val="00520B4F"/>
    <w:rsid w:val="00522582"/>
    <w:rsid w:val="00524AD7"/>
    <w:rsid w:val="005254FD"/>
    <w:rsid w:val="005268A9"/>
    <w:rsid w:val="0052720F"/>
    <w:rsid w:val="00527421"/>
    <w:rsid w:val="005275C4"/>
    <w:rsid w:val="00527D36"/>
    <w:rsid w:val="00531076"/>
    <w:rsid w:val="00531D28"/>
    <w:rsid w:val="005328A8"/>
    <w:rsid w:val="005338EE"/>
    <w:rsid w:val="00533920"/>
    <w:rsid w:val="00535141"/>
    <w:rsid w:val="00535324"/>
    <w:rsid w:val="00535504"/>
    <w:rsid w:val="005363B4"/>
    <w:rsid w:val="0053712D"/>
    <w:rsid w:val="005403F4"/>
    <w:rsid w:val="00540B60"/>
    <w:rsid w:val="00541076"/>
    <w:rsid w:val="00541136"/>
    <w:rsid w:val="0054216F"/>
    <w:rsid w:val="00542F18"/>
    <w:rsid w:val="0054343C"/>
    <w:rsid w:val="00544853"/>
    <w:rsid w:val="00544CA5"/>
    <w:rsid w:val="005450E2"/>
    <w:rsid w:val="00545B19"/>
    <w:rsid w:val="00547404"/>
    <w:rsid w:val="005474A2"/>
    <w:rsid w:val="00547520"/>
    <w:rsid w:val="0055035F"/>
    <w:rsid w:val="005507FD"/>
    <w:rsid w:val="005511C0"/>
    <w:rsid w:val="00551D4B"/>
    <w:rsid w:val="00551E3C"/>
    <w:rsid w:val="0055232C"/>
    <w:rsid w:val="0055278E"/>
    <w:rsid w:val="00555488"/>
    <w:rsid w:val="0055549A"/>
    <w:rsid w:val="00555B18"/>
    <w:rsid w:val="00555C9C"/>
    <w:rsid w:val="00556A4D"/>
    <w:rsid w:val="00557319"/>
    <w:rsid w:val="0055764E"/>
    <w:rsid w:val="00560528"/>
    <w:rsid w:val="00560699"/>
    <w:rsid w:val="00561503"/>
    <w:rsid w:val="00561923"/>
    <w:rsid w:val="005622F8"/>
    <w:rsid w:val="0056310A"/>
    <w:rsid w:val="0056336F"/>
    <w:rsid w:val="00563B9D"/>
    <w:rsid w:val="00565AF7"/>
    <w:rsid w:val="00566024"/>
    <w:rsid w:val="005671C3"/>
    <w:rsid w:val="0057060C"/>
    <w:rsid w:val="00570C0B"/>
    <w:rsid w:val="0057189C"/>
    <w:rsid w:val="00571BD2"/>
    <w:rsid w:val="00571CD7"/>
    <w:rsid w:val="00571D59"/>
    <w:rsid w:val="00572E3E"/>
    <w:rsid w:val="0057332B"/>
    <w:rsid w:val="0057364D"/>
    <w:rsid w:val="005737FC"/>
    <w:rsid w:val="0057420B"/>
    <w:rsid w:val="0057593B"/>
    <w:rsid w:val="005762CE"/>
    <w:rsid w:val="00576DC0"/>
    <w:rsid w:val="00580280"/>
    <w:rsid w:val="00580B9E"/>
    <w:rsid w:val="00580DAB"/>
    <w:rsid w:val="0058135A"/>
    <w:rsid w:val="005817D9"/>
    <w:rsid w:val="00581F7C"/>
    <w:rsid w:val="00583358"/>
    <w:rsid w:val="005839BF"/>
    <w:rsid w:val="00584058"/>
    <w:rsid w:val="00584413"/>
    <w:rsid w:val="005844A5"/>
    <w:rsid w:val="005846B4"/>
    <w:rsid w:val="005850E5"/>
    <w:rsid w:val="005851E0"/>
    <w:rsid w:val="00585571"/>
    <w:rsid w:val="005856F9"/>
    <w:rsid w:val="00585B91"/>
    <w:rsid w:val="00586BB0"/>
    <w:rsid w:val="00586BF1"/>
    <w:rsid w:val="00587DC4"/>
    <w:rsid w:val="0059008F"/>
    <w:rsid w:val="005903E4"/>
    <w:rsid w:val="005907D5"/>
    <w:rsid w:val="005910C0"/>
    <w:rsid w:val="005913EE"/>
    <w:rsid w:val="00592461"/>
    <w:rsid w:val="005950D6"/>
    <w:rsid w:val="0059519C"/>
    <w:rsid w:val="00595524"/>
    <w:rsid w:val="005974F3"/>
    <w:rsid w:val="0059751C"/>
    <w:rsid w:val="00597919"/>
    <w:rsid w:val="00597F9F"/>
    <w:rsid w:val="005A0B9F"/>
    <w:rsid w:val="005A0EFC"/>
    <w:rsid w:val="005A44E7"/>
    <w:rsid w:val="005A5D8E"/>
    <w:rsid w:val="005A63D8"/>
    <w:rsid w:val="005A71A7"/>
    <w:rsid w:val="005A7420"/>
    <w:rsid w:val="005A7C14"/>
    <w:rsid w:val="005A7DBE"/>
    <w:rsid w:val="005B152C"/>
    <w:rsid w:val="005B1C64"/>
    <w:rsid w:val="005B1DE8"/>
    <w:rsid w:val="005B2294"/>
    <w:rsid w:val="005B271E"/>
    <w:rsid w:val="005B2807"/>
    <w:rsid w:val="005B3606"/>
    <w:rsid w:val="005B388D"/>
    <w:rsid w:val="005B3E08"/>
    <w:rsid w:val="005B49B6"/>
    <w:rsid w:val="005B56EE"/>
    <w:rsid w:val="005B63E1"/>
    <w:rsid w:val="005B672C"/>
    <w:rsid w:val="005B747D"/>
    <w:rsid w:val="005B7733"/>
    <w:rsid w:val="005B7A22"/>
    <w:rsid w:val="005C0602"/>
    <w:rsid w:val="005C0D5D"/>
    <w:rsid w:val="005C1415"/>
    <w:rsid w:val="005C191A"/>
    <w:rsid w:val="005C2AA9"/>
    <w:rsid w:val="005C330D"/>
    <w:rsid w:val="005C40C7"/>
    <w:rsid w:val="005C4114"/>
    <w:rsid w:val="005C4EFF"/>
    <w:rsid w:val="005C4F43"/>
    <w:rsid w:val="005C6CC6"/>
    <w:rsid w:val="005C6E71"/>
    <w:rsid w:val="005C7363"/>
    <w:rsid w:val="005D0B55"/>
    <w:rsid w:val="005D4A04"/>
    <w:rsid w:val="005D4CF7"/>
    <w:rsid w:val="005D5347"/>
    <w:rsid w:val="005D5CC5"/>
    <w:rsid w:val="005D5FE6"/>
    <w:rsid w:val="005D61EA"/>
    <w:rsid w:val="005D74D8"/>
    <w:rsid w:val="005D787B"/>
    <w:rsid w:val="005E031D"/>
    <w:rsid w:val="005E03AC"/>
    <w:rsid w:val="005E04B5"/>
    <w:rsid w:val="005E0621"/>
    <w:rsid w:val="005E12BE"/>
    <w:rsid w:val="005E2C81"/>
    <w:rsid w:val="005E4D3C"/>
    <w:rsid w:val="005E7158"/>
    <w:rsid w:val="005E7ECB"/>
    <w:rsid w:val="005F0C00"/>
    <w:rsid w:val="005F1037"/>
    <w:rsid w:val="005F2BF8"/>
    <w:rsid w:val="005F2EA8"/>
    <w:rsid w:val="005F3B04"/>
    <w:rsid w:val="005F5574"/>
    <w:rsid w:val="005F5D1D"/>
    <w:rsid w:val="005F60C9"/>
    <w:rsid w:val="005F64C6"/>
    <w:rsid w:val="006008F1"/>
    <w:rsid w:val="00601714"/>
    <w:rsid w:val="00601735"/>
    <w:rsid w:val="00602BD2"/>
    <w:rsid w:val="00604980"/>
    <w:rsid w:val="0060614D"/>
    <w:rsid w:val="006100A4"/>
    <w:rsid w:val="00610871"/>
    <w:rsid w:val="00610E48"/>
    <w:rsid w:val="00610FE0"/>
    <w:rsid w:val="00613C47"/>
    <w:rsid w:val="00615086"/>
    <w:rsid w:val="00616201"/>
    <w:rsid w:val="00616225"/>
    <w:rsid w:val="00616BA2"/>
    <w:rsid w:val="0061705E"/>
    <w:rsid w:val="00617070"/>
    <w:rsid w:val="006170F1"/>
    <w:rsid w:val="00617914"/>
    <w:rsid w:val="00617A8B"/>
    <w:rsid w:val="00621904"/>
    <w:rsid w:val="00622248"/>
    <w:rsid w:val="00622FEA"/>
    <w:rsid w:val="00623CDF"/>
    <w:rsid w:val="00623DB1"/>
    <w:rsid w:val="006245F3"/>
    <w:rsid w:val="0062485E"/>
    <w:rsid w:val="00624DBE"/>
    <w:rsid w:val="00625450"/>
    <w:rsid w:val="0062557A"/>
    <w:rsid w:val="0062624F"/>
    <w:rsid w:val="006319CA"/>
    <w:rsid w:val="00633B3E"/>
    <w:rsid w:val="00634EC0"/>
    <w:rsid w:val="0063627F"/>
    <w:rsid w:val="006376C4"/>
    <w:rsid w:val="006403E7"/>
    <w:rsid w:val="00642D72"/>
    <w:rsid w:val="006443CB"/>
    <w:rsid w:val="006448B8"/>
    <w:rsid w:val="00644F80"/>
    <w:rsid w:val="00645874"/>
    <w:rsid w:val="00647673"/>
    <w:rsid w:val="00650F81"/>
    <w:rsid w:val="00650FC7"/>
    <w:rsid w:val="00651822"/>
    <w:rsid w:val="00651F86"/>
    <w:rsid w:val="00652D6B"/>
    <w:rsid w:val="0065395E"/>
    <w:rsid w:val="00653C24"/>
    <w:rsid w:val="00653D68"/>
    <w:rsid w:val="00653E4E"/>
    <w:rsid w:val="00654275"/>
    <w:rsid w:val="0065446D"/>
    <w:rsid w:val="00654891"/>
    <w:rsid w:val="00654894"/>
    <w:rsid w:val="00655104"/>
    <w:rsid w:val="00656067"/>
    <w:rsid w:val="00660693"/>
    <w:rsid w:val="006611D6"/>
    <w:rsid w:val="00661918"/>
    <w:rsid w:val="00662A5A"/>
    <w:rsid w:val="006636D0"/>
    <w:rsid w:val="00663834"/>
    <w:rsid w:val="00663BF1"/>
    <w:rsid w:val="006647D7"/>
    <w:rsid w:val="00664F1B"/>
    <w:rsid w:val="006653D7"/>
    <w:rsid w:val="00665BFF"/>
    <w:rsid w:val="006665BA"/>
    <w:rsid w:val="00666A4F"/>
    <w:rsid w:val="00667477"/>
    <w:rsid w:val="006703D9"/>
    <w:rsid w:val="00672DFC"/>
    <w:rsid w:val="00672F5B"/>
    <w:rsid w:val="00673DEE"/>
    <w:rsid w:val="00674E69"/>
    <w:rsid w:val="00675720"/>
    <w:rsid w:val="0067738E"/>
    <w:rsid w:val="00677F23"/>
    <w:rsid w:val="0068015A"/>
    <w:rsid w:val="0068055B"/>
    <w:rsid w:val="00680936"/>
    <w:rsid w:val="00680D8C"/>
    <w:rsid w:val="00680D99"/>
    <w:rsid w:val="006821B2"/>
    <w:rsid w:val="00682725"/>
    <w:rsid w:val="00682A1B"/>
    <w:rsid w:val="00682D73"/>
    <w:rsid w:val="00682ED3"/>
    <w:rsid w:val="00683126"/>
    <w:rsid w:val="00683993"/>
    <w:rsid w:val="006846E8"/>
    <w:rsid w:val="00685EBD"/>
    <w:rsid w:val="006861C3"/>
    <w:rsid w:val="00686AF3"/>
    <w:rsid w:val="00690F1F"/>
    <w:rsid w:val="006915BD"/>
    <w:rsid w:val="006915F2"/>
    <w:rsid w:val="00691DC2"/>
    <w:rsid w:val="00692582"/>
    <w:rsid w:val="00692592"/>
    <w:rsid w:val="00692A2F"/>
    <w:rsid w:val="0069322C"/>
    <w:rsid w:val="00693652"/>
    <w:rsid w:val="006939E7"/>
    <w:rsid w:val="00693D3E"/>
    <w:rsid w:val="006942F7"/>
    <w:rsid w:val="006956FB"/>
    <w:rsid w:val="00697D85"/>
    <w:rsid w:val="006A1A71"/>
    <w:rsid w:val="006A1D3D"/>
    <w:rsid w:val="006A2150"/>
    <w:rsid w:val="006A2216"/>
    <w:rsid w:val="006A241D"/>
    <w:rsid w:val="006A3288"/>
    <w:rsid w:val="006A43E6"/>
    <w:rsid w:val="006A47EB"/>
    <w:rsid w:val="006A4A22"/>
    <w:rsid w:val="006A4AEE"/>
    <w:rsid w:val="006A5E74"/>
    <w:rsid w:val="006A70BE"/>
    <w:rsid w:val="006A7290"/>
    <w:rsid w:val="006A7934"/>
    <w:rsid w:val="006A7BC8"/>
    <w:rsid w:val="006B0001"/>
    <w:rsid w:val="006B054B"/>
    <w:rsid w:val="006B059F"/>
    <w:rsid w:val="006B0E3A"/>
    <w:rsid w:val="006B2048"/>
    <w:rsid w:val="006B215A"/>
    <w:rsid w:val="006B2AD6"/>
    <w:rsid w:val="006B342E"/>
    <w:rsid w:val="006B3812"/>
    <w:rsid w:val="006B3B80"/>
    <w:rsid w:val="006B6EF0"/>
    <w:rsid w:val="006B6F32"/>
    <w:rsid w:val="006B7130"/>
    <w:rsid w:val="006B73CC"/>
    <w:rsid w:val="006B7695"/>
    <w:rsid w:val="006C0176"/>
    <w:rsid w:val="006C2994"/>
    <w:rsid w:val="006C35EC"/>
    <w:rsid w:val="006C4150"/>
    <w:rsid w:val="006C4382"/>
    <w:rsid w:val="006C4891"/>
    <w:rsid w:val="006C52BC"/>
    <w:rsid w:val="006C5683"/>
    <w:rsid w:val="006C5E33"/>
    <w:rsid w:val="006C5E48"/>
    <w:rsid w:val="006C6434"/>
    <w:rsid w:val="006C6CD8"/>
    <w:rsid w:val="006C70BB"/>
    <w:rsid w:val="006C7EB1"/>
    <w:rsid w:val="006D013F"/>
    <w:rsid w:val="006D017F"/>
    <w:rsid w:val="006D08BD"/>
    <w:rsid w:val="006D0F8E"/>
    <w:rsid w:val="006D1416"/>
    <w:rsid w:val="006D1D3F"/>
    <w:rsid w:val="006D253B"/>
    <w:rsid w:val="006D325A"/>
    <w:rsid w:val="006D386A"/>
    <w:rsid w:val="006D4242"/>
    <w:rsid w:val="006D45F0"/>
    <w:rsid w:val="006D4C8F"/>
    <w:rsid w:val="006D52A0"/>
    <w:rsid w:val="006D57CB"/>
    <w:rsid w:val="006D5819"/>
    <w:rsid w:val="006D5E6F"/>
    <w:rsid w:val="006D693F"/>
    <w:rsid w:val="006D6CDD"/>
    <w:rsid w:val="006D7604"/>
    <w:rsid w:val="006D765E"/>
    <w:rsid w:val="006D76CB"/>
    <w:rsid w:val="006E0455"/>
    <w:rsid w:val="006E4238"/>
    <w:rsid w:val="006E4551"/>
    <w:rsid w:val="006E5F01"/>
    <w:rsid w:val="006E7033"/>
    <w:rsid w:val="006E7404"/>
    <w:rsid w:val="006E7B97"/>
    <w:rsid w:val="006F05B9"/>
    <w:rsid w:val="006F1972"/>
    <w:rsid w:val="006F1EA3"/>
    <w:rsid w:val="006F2627"/>
    <w:rsid w:val="006F2A57"/>
    <w:rsid w:val="006F3187"/>
    <w:rsid w:val="006F3568"/>
    <w:rsid w:val="006F40AD"/>
    <w:rsid w:val="006F53EB"/>
    <w:rsid w:val="006F6360"/>
    <w:rsid w:val="006F6436"/>
    <w:rsid w:val="006F65C5"/>
    <w:rsid w:val="006F687A"/>
    <w:rsid w:val="006F68EF"/>
    <w:rsid w:val="006F6D4C"/>
    <w:rsid w:val="006F6E67"/>
    <w:rsid w:val="006F7157"/>
    <w:rsid w:val="006F78E0"/>
    <w:rsid w:val="007023EA"/>
    <w:rsid w:val="00702B1B"/>
    <w:rsid w:val="007032B3"/>
    <w:rsid w:val="00704164"/>
    <w:rsid w:val="007063BD"/>
    <w:rsid w:val="00706446"/>
    <w:rsid w:val="00706A58"/>
    <w:rsid w:val="00707517"/>
    <w:rsid w:val="007078ED"/>
    <w:rsid w:val="00710187"/>
    <w:rsid w:val="007101D7"/>
    <w:rsid w:val="00710D6E"/>
    <w:rsid w:val="007110E1"/>
    <w:rsid w:val="00711B18"/>
    <w:rsid w:val="007126D1"/>
    <w:rsid w:val="00714394"/>
    <w:rsid w:val="00714C87"/>
    <w:rsid w:val="00714ED6"/>
    <w:rsid w:val="00715E8D"/>
    <w:rsid w:val="00721C26"/>
    <w:rsid w:val="00721F7E"/>
    <w:rsid w:val="00722E29"/>
    <w:rsid w:val="00723ECB"/>
    <w:rsid w:val="00724606"/>
    <w:rsid w:val="00724A36"/>
    <w:rsid w:val="00724A60"/>
    <w:rsid w:val="00724E85"/>
    <w:rsid w:val="0072525D"/>
    <w:rsid w:val="00726E8A"/>
    <w:rsid w:val="00727047"/>
    <w:rsid w:val="00727A0E"/>
    <w:rsid w:val="00727C81"/>
    <w:rsid w:val="00730B33"/>
    <w:rsid w:val="00734510"/>
    <w:rsid w:val="00734887"/>
    <w:rsid w:val="007365B6"/>
    <w:rsid w:val="00737394"/>
    <w:rsid w:val="007401E2"/>
    <w:rsid w:val="00740205"/>
    <w:rsid w:val="007411E5"/>
    <w:rsid w:val="00741605"/>
    <w:rsid w:val="00742788"/>
    <w:rsid w:val="007436F2"/>
    <w:rsid w:val="00743B2E"/>
    <w:rsid w:val="0074436D"/>
    <w:rsid w:val="00746951"/>
    <w:rsid w:val="00746F65"/>
    <w:rsid w:val="007472C3"/>
    <w:rsid w:val="0074791E"/>
    <w:rsid w:val="00750948"/>
    <w:rsid w:val="00750A23"/>
    <w:rsid w:val="0075115D"/>
    <w:rsid w:val="00751A33"/>
    <w:rsid w:val="00751E0A"/>
    <w:rsid w:val="00753890"/>
    <w:rsid w:val="0075466D"/>
    <w:rsid w:val="007555DF"/>
    <w:rsid w:val="007569DC"/>
    <w:rsid w:val="0075711E"/>
    <w:rsid w:val="00757549"/>
    <w:rsid w:val="007579F2"/>
    <w:rsid w:val="00761434"/>
    <w:rsid w:val="00761FD5"/>
    <w:rsid w:val="00762BB6"/>
    <w:rsid w:val="0076341D"/>
    <w:rsid w:val="0076446D"/>
    <w:rsid w:val="007647EF"/>
    <w:rsid w:val="00765DD8"/>
    <w:rsid w:val="00766230"/>
    <w:rsid w:val="00766B33"/>
    <w:rsid w:val="00766D36"/>
    <w:rsid w:val="00767607"/>
    <w:rsid w:val="00767ACD"/>
    <w:rsid w:val="007705B5"/>
    <w:rsid w:val="0077270D"/>
    <w:rsid w:val="00773874"/>
    <w:rsid w:val="0077393B"/>
    <w:rsid w:val="00775D3B"/>
    <w:rsid w:val="0077615A"/>
    <w:rsid w:val="007806A0"/>
    <w:rsid w:val="00780FDB"/>
    <w:rsid w:val="007822E4"/>
    <w:rsid w:val="00782346"/>
    <w:rsid w:val="007838CD"/>
    <w:rsid w:val="007839A9"/>
    <w:rsid w:val="007840F3"/>
    <w:rsid w:val="007849BE"/>
    <w:rsid w:val="00785491"/>
    <w:rsid w:val="007858C0"/>
    <w:rsid w:val="0078679A"/>
    <w:rsid w:val="00786BDC"/>
    <w:rsid w:val="007871FE"/>
    <w:rsid w:val="00787C89"/>
    <w:rsid w:val="007908ED"/>
    <w:rsid w:val="00790F74"/>
    <w:rsid w:val="00792014"/>
    <w:rsid w:val="007921CD"/>
    <w:rsid w:val="00792288"/>
    <w:rsid w:val="00792447"/>
    <w:rsid w:val="007928C6"/>
    <w:rsid w:val="00792E73"/>
    <w:rsid w:val="0079694C"/>
    <w:rsid w:val="007A0187"/>
    <w:rsid w:val="007A19AC"/>
    <w:rsid w:val="007A23A3"/>
    <w:rsid w:val="007A268F"/>
    <w:rsid w:val="007A29EC"/>
    <w:rsid w:val="007A4A53"/>
    <w:rsid w:val="007A4C93"/>
    <w:rsid w:val="007A4E17"/>
    <w:rsid w:val="007A7F6D"/>
    <w:rsid w:val="007B0FBD"/>
    <w:rsid w:val="007B10EC"/>
    <w:rsid w:val="007B1BAF"/>
    <w:rsid w:val="007B20C3"/>
    <w:rsid w:val="007B2FE8"/>
    <w:rsid w:val="007B35F7"/>
    <w:rsid w:val="007B4DD5"/>
    <w:rsid w:val="007B4F72"/>
    <w:rsid w:val="007B5148"/>
    <w:rsid w:val="007B5A16"/>
    <w:rsid w:val="007B71AA"/>
    <w:rsid w:val="007B7F09"/>
    <w:rsid w:val="007C03FE"/>
    <w:rsid w:val="007C0E04"/>
    <w:rsid w:val="007C17D3"/>
    <w:rsid w:val="007C1FA2"/>
    <w:rsid w:val="007C2827"/>
    <w:rsid w:val="007C294A"/>
    <w:rsid w:val="007C3A26"/>
    <w:rsid w:val="007C4032"/>
    <w:rsid w:val="007C4CE1"/>
    <w:rsid w:val="007C537A"/>
    <w:rsid w:val="007C57D1"/>
    <w:rsid w:val="007C6B3E"/>
    <w:rsid w:val="007C7130"/>
    <w:rsid w:val="007C74E5"/>
    <w:rsid w:val="007C7F57"/>
    <w:rsid w:val="007D0348"/>
    <w:rsid w:val="007D0E43"/>
    <w:rsid w:val="007D13E7"/>
    <w:rsid w:val="007D1A3E"/>
    <w:rsid w:val="007D1E37"/>
    <w:rsid w:val="007D2335"/>
    <w:rsid w:val="007D358B"/>
    <w:rsid w:val="007D370E"/>
    <w:rsid w:val="007D4624"/>
    <w:rsid w:val="007D4A8F"/>
    <w:rsid w:val="007D563E"/>
    <w:rsid w:val="007D5A49"/>
    <w:rsid w:val="007D5FC1"/>
    <w:rsid w:val="007D6EB6"/>
    <w:rsid w:val="007D715A"/>
    <w:rsid w:val="007D7EF9"/>
    <w:rsid w:val="007E002B"/>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F6F"/>
    <w:rsid w:val="007F48A9"/>
    <w:rsid w:val="007F4E28"/>
    <w:rsid w:val="007F4F82"/>
    <w:rsid w:val="007F5143"/>
    <w:rsid w:val="007F6758"/>
    <w:rsid w:val="007F6D96"/>
    <w:rsid w:val="00800D05"/>
    <w:rsid w:val="00801D7A"/>
    <w:rsid w:val="008020F2"/>
    <w:rsid w:val="00803F74"/>
    <w:rsid w:val="00804653"/>
    <w:rsid w:val="00804C48"/>
    <w:rsid w:val="0080505A"/>
    <w:rsid w:val="008060B3"/>
    <w:rsid w:val="00806205"/>
    <w:rsid w:val="00806639"/>
    <w:rsid w:val="00806A84"/>
    <w:rsid w:val="00806EF4"/>
    <w:rsid w:val="008073A4"/>
    <w:rsid w:val="00807C6C"/>
    <w:rsid w:val="008115ED"/>
    <w:rsid w:val="0081254B"/>
    <w:rsid w:val="0081340B"/>
    <w:rsid w:val="00815822"/>
    <w:rsid w:val="00815B93"/>
    <w:rsid w:val="00816585"/>
    <w:rsid w:val="0081760E"/>
    <w:rsid w:val="00817BB4"/>
    <w:rsid w:val="00817E4F"/>
    <w:rsid w:val="00820F5B"/>
    <w:rsid w:val="00821021"/>
    <w:rsid w:val="008214BB"/>
    <w:rsid w:val="00821B58"/>
    <w:rsid w:val="00822D4E"/>
    <w:rsid w:val="00822FBA"/>
    <w:rsid w:val="0082398C"/>
    <w:rsid w:val="00824FF1"/>
    <w:rsid w:val="00825196"/>
    <w:rsid w:val="00826F4C"/>
    <w:rsid w:val="008303A6"/>
    <w:rsid w:val="008310B4"/>
    <w:rsid w:val="00831573"/>
    <w:rsid w:val="00831C7F"/>
    <w:rsid w:val="00833C51"/>
    <w:rsid w:val="00834577"/>
    <w:rsid w:val="008349A6"/>
    <w:rsid w:val="00835271"/>
    <w:rsid w:val="00835679"/>
    <w:rsid w:val="008377DA"/>
    <w:rsid w:val="00841F21"/>
    <w:rsid w:val="00842991"/>
    <w:rsid w:val="008429B0"/>
    <w:rsid w:val="00843900"/>
    <w:rsid w:val="00844C5B"/>
    <w:rsid w:val="00845A15"/>
    <w:rsid w:val="0084632F"/>
    <w:rsid w:val="008474A9"/>
    <w:rsid w:val="00851180"/>
    <w:rsid w:val="00852528"/>
    <w:rsid w:val="0085434F"/>
    <w:rsid w:val="008543F7"/>
    <w:rsid w:val="008545DC"/>
    <w:rsid w:val="00854A7E"/>
    <w:rsid w:val="00855B06"/>
    <w:rsid w:val="00856B95"/>
    <w:rsid w:val="00856D1A"/>
    <w:rsid w:val="00857D29"/>
    <w:rsid w:val="00861313"/>
    <w:rsid w:val="0086161C"/>
    <w:rsid w:val="008617AF"/>
    <w:rsid w:val="00861DB0"/>
    <w:rsid w:val="00861E83"/>
    <w:rsid w:val="0086225C"/>
    <w:rsid w:val="008629A8"/>
    <w:rsid w:val="00863225"/>
    <w:rsid w:val="00863ADA"/>
    <w:rsid w:val="00865BAA"/>
    <w:rsid w:val="00865C83"/>
    <w:rsid w:val="008677CB"/>
    <w:rsid w:val="0087026D"/>
    <w:rsid w:val="0087056E"/>
    <w:rsid w:val="00870CB6"/>
    <w:rsid w:val="00870DF8"/>
    <w:rsid w:val="008722A6"/>
    <w:rsid w:val="008737AE"/>
    <w:rsid w:val="00873851"/>
    <w:rsid w:val="00873FEA"/>
    <w:rsid w:val="0087419B"/>
    <w:rsid w:val="008744CC"/>
    <w:rsid w:val="00874592"/>
    <w:rsid w:val="008751C1"/>
    <w:rsid w:val="0087595D"/>
    <w:rsid w:val="00876C1B"/>
    <w:rsid w:val="00876E70"/>
    <w:rsid w:val="008804E1"/>
    <w:rsid w:val="008815B6"/>
    <w:rsid w:val="008818F6"/>
    <w:rsid w:val="00881D45"/>
    <w:rsid w:val="0088398E"/>
    <w:rsid w:val="00885182"/>
    <w:rsid w:val="008858B7"/>
    <w:rsid w:val="0088647E"/>
    <w:rsid w:val="00886D52"/>
    <w:rsid w:val="00887215"/>
    <w:rsid w:val="00887E02"/>
    <w:rsid w:val="00890382"/>
    <w:rsid w:val="0089046A"/>
    <w:rsid w:val="00891106"/>
    <w:rsid w:val="00892833"/>
    <w:rsid w:val="00892DCB"/>
    <w:rsid w:val="00893479"/>
    <w:rsid w:val="0089375D"/>
    <w:rsid w:val="008943CB"/>
    <w:rsid w:val="008946B9"/>
    <w:rsid w:val="008A0882"/>
    <w:rsid w:val="008A10C1"/>
    <w:rsid w:val="008A181A"/>
    <w:rsid w:val="008A183F"/>
    <w:rsid w:val="008A1C47"/>
    <w:rsid w:val="008A2289"/>
    <w:rsid w:val="008A34BA"/>
    <w:rsid w:val="008A3766"/>
    <w:rsid w:val="008A4F66"/>
    <w:rsid w:val="008A5290"/>
    <w:rsid w:val="008A593A"/>
    <w:rsid w:val="008A6A60"/>
    <w:rsid w:val="008A6C5A"/>
    <w:rsid w:val="008A6CCA"/>
    <w:rsid w:val="008B1B8C"/>
    <w:rsid w:val="008B2C59"/>
    <w:rsid w:val="008B2DF3"/>
    <w:rsid w:val="008B376A"/>
    <w:rsid w:val="008B444E"/>
    <w:rsid w:val="008B569F"/>
    <w:rsid w:val="008B7220"/>
    <w:rsid w:val="008C0669"/>
    <w:rsid w:val="008C0814"/>
    <w:rsid w:val="008C0867"/>
    <w:rsid w:val="008C08A5"/>
    <w:rsid w:val="008C1DD7"/>
    <w:rsid w:val="008C26FA"/>
    <w:rsid w:val="008C2BC1"/>
    <w:rsid w:val="008C33B4"/>
    <w:rsid w:val="008C4566"/>
    <w:rsid w:val="008C46B6"/>
    <w:rsid w:val="008C4935"/>
    <w:rsid w:val="008C522A"/>
    <w:rsid w:val="008C5E71"/>
    <w:rsid w:val="008C64E3"/>
    <w:rsid w:val="008C6A8B"/>
    <w:rsid w:val="008C77F7"/>
    <w:rsid w:val="008D00EA"/>
    <w:rsid w:val="008D0D1E"/>
    <w:rsid w:val="008D1175"/>
    <w:rsid w:val="008D1627"/>
    <w:rsid w:val="008D1DA0"/>
    <w:rsid w:val="008D2828"/>
    <w:rsid w:val="008D284E"/>
    <w:rsid w:val="008D4ED3"/>
    <w:rsid w:val="008D54BF"/>
    <w:rsid w:val="008D5DC6"/>
    <w:rsid w:val="008D6A11"/>
    <w:rsid w:val="008E0D4B"/>
    <w:rsid w:val="008E1C27"/>
    <w:rsid w:val="008E1E54"/>
    <w:rsid w:val="008E2057"/>
    <w:rsid w:val="008E31EC"/>
    <w:rsid w:val="008E3C88"/>
    <w:rsid w:val="008E488D"/>
    <w:rsid w:val="008E4E17"/>
    <w:rsid w:val="008E5337"/>
    <w:rsid w:val="008E610D"/>
    <w:rsid w:val="008E69A2"/>
    <w:rsid w:val="008E78F2"/>
    <w:rsid w:val="008E7B12"/>
    <w:rsid w:val="008F022C"/>
    <w:rsid w:val="008F152D"/>
    <w:rsid w:val="008F2A60"/>
    <w:rsid w:val="008F310D"/>
    <w:rsid w:val="008F3888"/>
    <w:rsid w:val="008F3B22"/>
    <w:rsid w:val="008F43C7"/>
    <w:rsid w:val="008F4823"/>
    <w:rsid w:val="008F606D"/>
    <w:rsid w:val="008F7150"/>
    <w:rsid w:val="008F71CC"/>
    <w:rsid w:val="008F721C"/>
    <w:rsid w:val="00900662"/>
    <w:rsid w:val="00900B2A"/>
    <w:rsid w:val="00901953"/>
    <w:rsid w:val="00902166"/>
    <w:rsid w:val="00903C31"/>
    <w:rsid w:val="009040A1"/>
    <w:rsid w:val="0090473B"/>
    <w:rsid w:val="0090487F"/>
    <w:rsid w:val="00904A00"/>
    <w:rsid w:val="00904EAB"/>
    <w:rsid w:val="00904EAC"/>
    <w:rsid w:val="00905282"/>
    <w:rsid w:val="00905908"/>
    <w:rsid w:val="00906AD1"/>
    <w:rsid w:val="009075A4"/>
    <w:rsid w:val="009101AF"/>
    <w:rsid w:val="00911808"/>
    <w:rsid w:val="009145FB"/>
    <w:rsid w:val="0091555E"/>
    <w:rsid w:val="00915786"/>
    <w:rsid w:val="0091746C"/>
    <w:rsid w:val="00917816"/>
    <w:rsid w:val="00917D06"/>
    <w:rsid w:val="009207DB"/>
    <w:rsid w:val="00921202"/>
    <w:rsid w:val="00922024"/>
    <w:rsid w:val="009222A3"/>
    <w:rsid w:val="009224EE"/>
    <w:rsid w:val="00922D24"/>
    <w:rsid w:val="00924853"/>
    <w:rsid w:val="009248C9"/>
    <w:rsid w:val="009252E0"/>
    <w:rsid w:val="00925501"/>
    <w:rsid w:val="00926982"/>
    <w:rsid w:val="00926D4C"/>
    <w:rsid w:val="009270C4"/>
    <w:rsid w:val="0093083B"/>
    <w:rsid w:val="0093092B"/>
    <w:rsid w:val="00930C8D"/>
    <w:rsid w:val="009319D7"/>
    <w:rsid w:val="009325F7"/>
    <w:rsid w:val="00932BCF"/>
    <w:rsid w:val="00933396"/>
    <w:rsid w:val="00934D73"/>
    <w:rsid w:val="00935042"/>
    <w:rsid w:val="009354F5"/>
    <w:rsid w:val="0093740F"/>
    <w:rsid w:val="00937B4A"/>
    <w:rsid w:val="00937BE9"/>
    <w:rsid w:val="00937C1D"/>
    <w:rsid w:val="00940804"/>
    <w:rsid w:val="00940E9B"/>
    <w:rsid w:val="00940FC3"/>
    <w:rsid w:val="009410B3"/>
    <w:rsid w:val="0094131D"/>
    <w:rsid w:val="0094166C"/>
    <w:rsid w:val="00942120"/>
    <w:rsid w:val="00942292"/>
    <w:rsid w:val="0094245E"/>
    <w:rsid w:val="009425F7"/>
    <w:rsid w:val="00943BC0"/>
    <w:rsid w:val="00944BF0"/>
    <w:rsid w:val="00945EC2"/>
    <w:rsid w:val="00946136"/>
    <w:rsid w:val="00946CD9"/>
    <w:rsid w:val="00946E7C"/>
    <w:rsid w:val="00947046"/>
    <w:rsid w:val="00950297"/>
    <w:rsid w:val="009505F4"/>
    <w:rsid w:val="00951216"/>
    <w:rsid w:val="00951614"/>
    <w:rsid w:val="0095279B"/>
    <w:rsid w:val="009533C3"/>
    <w:rsid w:val="009535D3"/>
    <w:rsid w:val="00953807"/>
    <w:rsid w:val="00954282"/>
    <w:rsid w:val="00954427"/>
    <w:rsid w:val="0095611C"/>
    <w:rsid w:val="009564ED"/>
    <w:rsid w:val="00956CA2"/>
    <w:rsid w:val="0096079B"/>
    <w:rsid w:val="0096218D"/>
    <w:rsid w:val="00964509"/>
    <w:rsid w:val="0096501B"/>
    <w:rsid w:val="0096625E"/>
    <w:rsid w:val="0096662B"/>
    <w:rsid w:val="009666AF"/>
    <w:rsid w:val="00967180"/>
    <w:rsid w:val="0096797D"/>
    <w:rsid w:val="00970704"/>
    <w:rsid w:val="00970B65"/>
    <w:rsid w:val="00970D66"/>
    <w:rsid w:val="00971127"/>
    <w:rsid w:val="0097119E"/>
    <w:rsid w:val="009718E9"/>
    <w:rsid w:val="009734B8"/>
    <w:rsid w:val="00973514"/>
    <w:rsid w:val="009739F9"/>
    <w:rsid w:val="009741E7"/>
    <w:rsid w:val="00975C75"/>
    <w:rsid w:val="00977506"/>
    <w:rsid w:val="00977DFD"/>
    <w:rsid w:val="0098177A"/>
    <w:rsid w:val="00983583"/>
    <w:rsid w:val="00983EFD"/>
    <w:rsid w:val="009855B0"/>
    <w:rsid w:val="009859A8"/>
    <w:rsid w:val="00985F2F"/>
    <w:rsid w:val="00986257"/>
    <w:rsid w:val="00986564"/>
    <w:rsid w:val="0098658A"/>
    <w:rsid w:val="00986861"/>
    <w:rsid w:val="00987CBC"/>
    <w:rsid w:val="00991EB0"/>
    <w:rsid w:val="0099212B"/>
    <w:rsid w:val="0099245F"/>
    <w:rsid w:val="00993891"/>
    <w:rsid w:val="00995768"/>
    <w:rsid w:val="00995F21"/>
    <w:rsid w:val="00996203"/>
    <w:rsid w:val="00996326"/>
    <w:rsid w:val="009964FB"/>
    <w:rsid w:val="00996F95"/>
    <w:rsid w:val="00997B35"/>
    <w:rsid w:val="00997B6A"/>
    <w:rsid w:val="00997EA5"/>
    <w:rsid w:val="009A07D5"/>
    <w:rsid w:val="009A1FE7"/>
    <w:rsid w:val="009A2967"/>
    <w:rsid w:val="009A3274"/>
    <w:rsid w:val="009A36B7"/>
    <w:rsid w:val="009A3720"/>
    <w:rsid w:val="009A392B"/>
    <w:rsid w:val="009A3D58"/>
    <w:rsid w:val="009A42CF"/>
    <w:rsid w:val="009A44E8"/>
    <w:rsid w:val="009A581E"/>
    <w:rsid w:val="009A698D"/>
    <w:rsid w:val="009A6AB4"/>
    <w:rsid w:val="009A7461"/>
    <w:rsid w:val="009B0BF0"/>
    <w:rsid w:val="009B1DA5"/>
    <w:rsid w:val="009B1E1D"/>
    <w:rsid w:val="009B28FD"/>
    <w:rsid w:val="009B2AD6"/>
    <w:rsid w:val="009B3172"/>
    <w:rsid w:val="009B461D"/>
    <w:rsid w:val="009B4F1F"/>
    <w:rsid w:val="009B5594"/>
    <w:rsid w:val="009B59ED"/>
    <w:rsid w:val="009B6405"/>
    <w:rsid w:val="009B6D8D"/>
    <w:rsid w:val="009B729E"/>
    <w:rsid w:val="009B7498"/>
    <w:rsid w:val="009C217C"/>
    <w:rsid w:val="009C264B"/>
    <w:rsid w:val="009C34F1"/>
    <w:rsid w:val="009C3B80"/>
    <w:rsid w:val="009C3D84"/>
    <w:rsid w:val="009C3F5A"/>
    <w:rsid w:val="009C48C6"/>
    <w:rsid w:val="009C5D76"/>
    <w:rsid w:val="009C5DFB"/>
    <w:rsid w:val="009C5FDE"/>
    <w:rsid w:val="009C623B"/>
    <w:rsid w:val="009C667D"/>
    <w:rsid w:val="009C69E7"/>
    <w:rsid w:val="009C7B1D"/>
    <w:rsid w:val="009C7F10"/>
    <w:rsid w:val="009C7FF8"/>
    <w:rsid w:val="009D03F1"/>
    <w:rsid w:val="009D0921"/>
    <w:rsid w:val="009D101B"/>
    <w:rsid w:val="009D118E"/>
    <w:rsid w:val="009D1CF4"/>
    <w:rsid w:val="009D271A"/>
    <w:rsid w:val="009D380F"/>
    <w:rsid w:val="009D57A7"/>
    <w:rsid w:val="009D65EE"/>
    <w:rsid w:val="009D6865"/>
    <w:rsid w:val="009D6903"/>
    <w:rsid w:val="009E02F1"/>
    <w:rsid w:val="009E0525"/>
    <w:rsid w:val="009E199C"/>
    <w:rsid w:val="009E1F76"/>
    <w:rsid w:val="009E20A6"/>
    <w:rsid w:val="009E233F"/>
    <w:rsid w:val="009E323A"/>
    <w:rsid w:val="009E328B"/>
    <w:rsid w:val="009E68C1"/>
    <w:rsid w:val="009E6DD0"/>
    <w:rsid w:val="009E6DEE"/>
    <w:rsid w:val="009E700C"/>
    <w:rsid w:val="009F082A"/>
    <w:rsid w:val="009F0BD9"/>
    <w:rsid w:val="009F12B4"/>
    <w:rsid w:val="009F33FA"/>
    <w:rsid w:val="009F347C"/>
    <w:rsid w:val="009F3F14"/>
    <w:rsid w:val="009F54D7"/>
    <w:rsid w:val="009F5B9D"/>
    <w:rsid w:val="009F6619"/>
    <w:rsid w:val="009F68FF"/>
    <w:rsid w:val="00A00E77"/>
    <w:rsid w:val="00A01A4C"/>
    <w:rsid w:val="00A01C1F"/>
    <w:rsid w:val="00A01C98"/>
    <w:rsid w:val="00A020F7"/>
    <w:rsid w:val="00A025E5"/>
    <w:rsid w:val="00A04B2F"/>
    <w:rsid w:val="00A054CB"/>
    <w:rsid w:val="00A05E8F"/>
    <w:rsid w:val="00A06A54"/>
    <w:rsid w:val="00A10423"/>
    <w:rsid w:val="00A10A6F"/>
    <w:rsid w:val="00A115B1"/>
    <w:rsid w:val="00A118B4"/>
    <w:rsid w:val="00A129C6"/>
    <w:rsid w:val="00A14BDD"/>
    <w:rsid w:val="00A15A52"/>
    <w:rsid w:val="00A169FE"/>
    <w:rsid w:val="00A1706F"/>
    <w:rsid w:val="00A1721D"/>
    <w:rsid w:val="00A20630"/>
    <w:rsid w:val="00A20956"/>
    <w:rsid w:val="00A210DB"/>
    <w:rsid w:val="00A21667"/>
    <w:rsid w:val="00A220FB"/>
    <w:rsid w:val="00A223A5"/>
    <w:rsid w:val="00A22946"/>
    <w:rsid w:val="00A23770"/>
    <w:rsid w:val="00A241FD"/>
    <w:rsid w:val="00A24BC5"/>
    <w:rsid w:val="00A2504C"/>
    <w:rsid w:val="00A26CA4"/>
    <w:rsid w:val="00A26D2E"/>
    <w:rsid w:val="00A26E5D"/>
    <w:rsid w:val="00A276A6"/>
    <w:rsid w:val="00A276FF"/>
    <w:rsid w:val="00A27A41"/>
    <w:rsid w:val="00A30C82"/>
    <w:rsid w:val="00A31A01"/>
    <w:rsid w:val="00A32211"/>
    <w:rsid w:val="00A3279A"/>
    <w:rsid w:val="00A33842"/>
    <w:rsid w:val="00A33A1E"/>
    <w:rsid w:val="00A33FDC"/>
    <w:rsid w:val="00A34114"/>
    <w:rsid w:val="00A34C81"/>
    <w:rsid w:val="00A34E19"/>
    <w:rsid w:val="00A35C90"/>
    <w:rsid w:val="00A362F9"/>
    <w:rsid w:val="00A36BE7"/>
    <w:rsid w:val="00A36F35"/>
    <w:rsid w:val="00A373CC"/>
    <w:rsid w:val="00A3760C"/>
    <w:rsid w:val="00A37704"/>
    <w:rsid w:val="00A378A0"/>
    <w:rsid w:val="00A37E59"/>
    <w:rsid w:val="00A40108"/>
    <w:rsid w:val="00A404AF"/>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0D10"/>
    <w:rsid w:val="00A533D5"/>
    <w:rsid w:val="00A5510E"/>
    <w:rsid w:val="00A559F4"/>
    <w:rsid w:val="00A56173"/>
    <w:rsid w:val="00A56547"/>
    <w:rsid w:val="00A57079"/>
    <w:rsid w:val="00A570E0"/>
    <w:rsid w:val="00A606A0"/>
    <w:rsid w:val="00A60943"/>
    <w:rsid w:val="00A60A2E"/>
    <w:rsid w:val="00A60A60"/>
    <w:rsid w:val="00A61263"/>
    <w:rsid w:val="00A614AD"/>
    <w:rsid w:val="00A61608"/>
    <w:rsid w:val="00A616BD"/>
    <w:rsid w:val="00A61886"/>
    <w:rsid w:val="00A61E92"/>
    <w:rsid w:val="00A63D89"/>
    <w:rsid w:val="00A63EF3"/>
    <w:rsid w:val="00A650F1"/>
    <w:rsid w:val="00A6526E"/>
    <w:rsid w:val="00A65DA4"/>
    <w:rsid w:val="00A66E04"/>
    <w:rsid w:val="00A67194"/>
    <w:rsid w:val="00A671B3"/>
    <w:rsid w:val="00A67864"/>
    <w:rsid w:val="00A70242"/>
    <w:rsid w:val="00A7040E"/>
    <w:rsid w:val="00A7286F"/>
    <w:rsid w:val="00A734F2"/>
    <w:rsid w:val="00A73DEE"/>
    <w:rsid w:val="00A74678"/>
    <w:rsid w:val="00A75AEA"/>
    <w:rsid w:val="00A76063"/>
    <w:rsid w:val="00A767EB"/>
    <w:rsid w:val="00A771BF"/>
    <w:rsid w:val="00A77299"/>
    <w:rsid w:val="00A803C1"/>
    <w:rsid w:val="00A815B6"/>
    <w:rsid w:val="00A815F6"/>
    <w:rsid w:val="00A81953"/>
    <w:rsid w:val="00A823D7"/>
    <w:rsid w:val="00A827C9"/>
    <w:rsid w:val="00A8350D"/>
    <w:rsid w:val="00A85B31"/>
    <w:rsid w:val="00A861F3"/>
    <w:rsid w:val="00A86C48"/>
    <w:rsid w:val="00A90DB1"/>
    <w:rsid w:val="00A90FB8"/>
    <w:rsid w:val="00A9147B"/>
    <w:rsid w:val="00A91BA8"/>
    <w:rsid w:val="00A91EF1"/>
    <w:rsid w:val="00A91EF2"/>
    <w:rsid w:val="00A9325C"/>
    <w:rsid w:val="00A93680"/>
    <w:rsid w:val="00A9430B"/>
    <w:rsid w:val="00A94483"/>
    <w:rsid w:val="00A959CA"/>
    <w:rsid w:val="00A96FC6"/>
    <w:rsid w:val="00A97A16"/>
    <w:rsid w:val="00A97B61"/>
    <w:rsid w:val="00A97C2E"/>
    <w:rsid w:val="00A97CE3"/>
    <w:rsid w:val="00A97E0C"/>
    <w:rsid w:val="00AA01DA"/>
    <w:rsid w:val="00AA1178"/>
    <w:rsid w:val="00AA11BA"/>
    <w:rsid w:val="00AA2755"/>
    <w:rsid w:val="00AA2D62"/>
    <w:rsid w:val="00AA2E2C"/>
    <w:rsid w:val="00AA2E90"/>
    <w:rsid w:val="00AA3077"/>
    <w:rsid w:val="00AA375B"/>
    <w:rsid w:val="00AA38AF"/>
    <w:rsid w:val="00AA450C"/>
    <w:rsid w:val="00AA4B62"/>
    <w:rsid w:val="00AA5EB3"/>
    <w:rsid w:val="00AA6916"/>
    <w:rsid w:val="00AB040A"/>
    <w:rsid w:val="00AB110E"/>
    <w:rsid w:val="00AB11CF"/>
    <w:rsid w:val="00AB1287"/>
    <w:rsid w:val="00AB1CE8"/>
    <w:rsid w:val="00AB2655"/>
    <w:rsid w:val="00AB2F06"/>
    <w:rsid w:val="00AB4FFF"/>
    <w:rsid w:val="00AB5190"/>
    <w:rsid w:val="00AB5513"/>
    <w:rsid w:val="00AB5A0C"/>
    <w:rsid w:val="00AB6070"/>
    <w:rsid w:val="00AB6DFC"/>
    <w:rsid w:val="00AB7354"/>
    <w:rsid w:val="00AB7BFE"/>
    <w:rsid w:val="00AB7C46"/>
    <w:rsid w:val="00AB7DD5"/>
    <w:rsid w:val="00AC05D0"/>
    <w:rsid w:val="00AC3637"/>
    <w:rsid w:val="00AC3D4F"/>
    <w:rsid w:val="00AC3DB7"/>
    <w:rsid w:val="00AC4699"/>
    <w:rsid w:val="00AC5650"/>
    <w:rsid w:val="00AC59DF"/>
    <w:rsid w:val="00AC72C7"/>
    <w:rsid w:val="00AC7899"/>
    <w:rsid w:val="00AD13D6"/>
    <w:rsid w:val="00AD4087"/>
    <w:rsid w:val="00AD4E84"/>
    <w:rsid w:val="00AD629C"/>
    <w:rsid w:val="00AD6A21"/>
    <w:rsid w:val="00AD6BE0"/>
    <w:rsid w:val="00AD752F"/>
    <w:rsid w:val="00AE0C8D"/>
    <w:rsid w:val="00AE0E2A"/>
    <w:rsid w:val="00AE1411"/>
    <w:rsid w:val="00AE19B4"/>
    <w:rsid w:val="00AE2330"/>
    <w:rsid w:val="00AE55BC"/>
    <w:rsid w:val="00AE62E7"/>
    <w:rsid w:val="00AE686D"/>
    <w:rsid w:val="00AE6B27"/>
    <w:rsid w:val="00AF0DC0"/>
    <w:rsid w:val="00AF0F96"/>
    <w:rsid w:val="00AF21D7"/>
    <w:rsid w:val="00AF28EB"/>
    <w:rsid w:val="00AF31BA"/>
    <w:rsid w:val="00AF36B6"/>
    <w:rsid w:val="00AF4803"/>
    <w:rsid w:val="00AF4D10"/>
    <w:rsid w:val="00AF58CB"/>
    <w:rsid w:val="00AF726F"/>
    <w:rsid w:val="00B00506"/>
    <w:rsid w:val="00B00ED5"/>
    <w:rsid w:val="00B0128C"/>
    <w:rsid w:val="00B0190C"/>
    <w:rsid w:val="00B01C3F"/>
    <w:rsid w:val="00B02315"/>
    <w:rsid w:val="00B02BF0"/>
    <w:rsid w:val="00B02EA8"/>
    <w:rsid w:val="00B034DD"/>
    <w:rsid w:val="00B03AB4"/>
    <w:rsid w:val="00B05B91"/>
    <w:rsid w:val="00B06ED4"/>
    <w:rsid w:val="00B077CC"/>
    <w:rsid w:val="00B07A28"/>
    <w:rsid w:val="00B102E7"/>
    <w:rsid w:val="00B12A63"/>
    <w:rsid w:val="00B13397"/>
    <w:rsid w:val="00B1400D"/>
    <w:rsid w:val="00B147C9"/>
    <w:rsid w:val="00B15BB2"/>
    <w:rsid w:val="00B16EBE"/>
    <w:rsid w:val="00B20E3B"/>
    <w:rsid w:val="00B21D0E"/>
    <w:rsid w:val="00B22C57"/>
    <w:rsid w:val="00B23C76"/>
    <w:rsid w:val="00B23EEE"/>
    <w:rsid w:val="00B27298"/>
    <w:rsid w:val="00B27384"/>
    <w:rsid w:val="00B276E4"/>
    <w:rsid w:val="00B27A6D"/>
    <w:rsid w:val="00B309F9"/>
    <w:rsid w:val="00B30DAD"/>
    <w:rsid w:val="00B31782"/>
    <w:rsid w:val="00B32D93"/>
    <w:rsid w:val="00B3402E"/>
    <w:rsid w:val="00B360B7"/>
    <w:rsid w:val="00B36928"/>
    <w:rsid w:val="00B37293"/>
    <w:rsid w:val="00B4076A"/>
    <w:rsid w:val="00B413EB"/>
    <w:rsid w:val="00B428F3"/>
    <w:rsid w:val="00B42C20"/>
    <w:rsid w:val="00B43287"/>
    <w:rsid w:val="00B43864"/>
    <w:rsid w:val="00B43AD9"/>
    <w:rsid w:val="00B443D5"/>
    <w:rsid w:val="00B44482"/>
    <w:rsid w:val="00B450D9"/>
    <w:rsid w:val="00B46FF2"/>
    <w:rsid w:val="00B51B75"/>
    <w:rsid w:val="00B52AD3"/>
    <w:rsid w:val="00B539EB"/>
    <w:rsid w:val="00B54B76"/>
    <w:rsid w:val="00B55ECC"/>
    <w:rsid w:val="00B560E5"/>
    <w:rsid w:val="00B5610F"/>
    <w:rsid w:val="00B576E1"/>
    <w:rsid w:val="00B6088D"/>
    <w:rsid w:val="00B608F1"/>
    <w:rsid w:val="00B60F79"/>
    <w:rsid w:val="00B61158"/>
    <w:rsid w:val="00B6252C"/>
    <w:rsid w:val="00B62CBE"/>
    <w:rsid w:val="00B62EFD"/>
    <w:rsid w:val="00B63999"/>
    <w:rsid w:val="00B63B4A"/>
    <w:rsid w:val="00B63E1F"/>
    <w:rsid w:val="00B641C5"/>
    <w:rsid w:val="00B64F8D"/>
    <w:rsid w:val="00B6533C"/>
    <w:rsid w:val="00B65388"/>
    <w:rsid w:val="00B65FD8"/>
    <w:rsid w:val="00B6731A"/>
    <w:rsid w:val="00B673CA"/>
    <w:rsid w:val="00B70903"/>
    <w:rsid w:val="00B7108D"/>
    <w:rsid w:val="00B7117A"/>
    <w:rsid w:val="00B713F0"/>
    <w:rsid w:val="00B72053"/>
    <w:rsid w:val="00B733A9"/>
    <w:rsid w:val="00B73BEF"/>
    <w:rsid w:val="00B74530"/>
    <w:rsid w:val="00B7458C"/>
    <w:rsid w:val="00B74E4D"/>
    <w:rsid w:val="00B75D3F"/>
    <w:rsid w:val="00B75D4C"/>
    <w:rsid w:val="00B76F2C"/>
    <w:rsid w:val="00B77723"/>
    <w:rsid w:val="00B77863"/>
    <w:rsid w:val="00B801AC"/>
    <w:rsid w:val="00B815D3"/>
    <w:rsid w:val="00B8270D"/>
    <w:rsid w:val="00B827F1"/>
    <w:rsid w:val="00B82B33"/>
    <w:rsid w:val="00B8384C"/>
    <w:rsid w:val="00B83AF4"/>
    <w:rsid w:val="00B843A1"/>
    <w:rsid w:val="00B8441F"/>
    <w:rsid w:val="00B854BE"/>
    <w:rsid w:val="00B85704"/>
    <w:rsid w:val="00B86421"/>
    <w:rsid w:val="00B866BF"/>
    <w:rsid w:val="00B868D6"/>
    <w:rsid w:val="00B86D0A"/>
    <w:rsid w:val="00B8748B"/>
    <w:rsid w:val="00B87B3F"/>
    <w:rsid w:val="00B90972"/>
    <w:rsid w:val="00B91818"/>
    <w:rsid w:val="00B922D6"/>
    <w:rsid w:val="00B92819"/>
    <w:rsid w:val="00B93E18"/>
    <w:rsid w:val="00B93E2C"/>
    <w:rsid w:val="00B94BE5"/>
    <w:rsid w:val="00B95B44"/>
    <w:rsid w:val="00B96069"/>
    <w:rsid w:val="00BA0A76"/>
    <w:rsid w:val="00BA11A9"/>
    <w:rsid w:val="00BA1642"/>
    <w:rsid w:val="00BA30C2"/>
    <w:rsid w:val="00BA31C6"/>
    <w:rsid w:val="00BA4B0A"/>
    <w:rsid w:val="00BA4FE7"/>
    <w:rsid w:val="00BA699B"/>
    <w:rsid w:val="00BA76AB"/>
    <w:rsid w:val="00BB0225"/>
    <w:rsid w:val="00BB0423"/>
    <w:rsid w:val="00BB1D73"/>
    <w:rsid w:val="00BB2CE4"/>
    <w:rsid w:val="00BB2D17"/>
    <w:rsid w:val="00BB2D1B"/>
    <w:rsid w:val="00BB42D2"/>
    <w:rsid w:val="00BB6ECF"/>
    <w:rsid w:val="00BB74B3"/>
    <w:rsid w:val="00BB777A"/>
    <w:rsid w:val="00BC06FE"/>
    <w:rsid w:val="00BC1765"/>
    <w:rsid w:val="00BC1FD6"/>
    <w:rsid w:val="00BC25D7"/>
    <w:rsid w:val="00BC320C"/>
    <w:rsid w:val="00BC4883"/>
    <w:rsid w:val="00BC5454"/>
    <w:rsid w:val="00BC5F7F"/>
    <w:rsid w:val="00BC74EE"/>
    <w:rsid w:val="00BC777E"/>
    <w:rsid w:val="00BD056C"/>
    <w:rsid w:val="00BD219A"/>
    <w:rsid w:val="00BD2C42"/>
    <w:rsid w:val="00BD2EF9"/>
    <w:rsid w:val="00BD2F1D"/>
    <w:rsid w:val="00BD3997"/>
    <w:rsid w:val="00BD5D7E"/>
    <w:rsid w:val="00BD6EF9"/>
    <w:rsid w:val="00BD754C"/>
    <w:rsid w:val="00BD764C"/>
    <w:rsid w:val="00BD78C6"/>
    <w:rsid w:val="00BE01E1"/>
    <w:rsid w:val="00BE07A5"/>
    <w:rsid w:val="00BE15DA"/>
    <w:rsid w:val="00BE19AD"/>
    <w:rsid w:val="00BE369C"/>
    <w:rsid w:val="00BE4FBC"/>
    <w:rsid w:val="00BE5B7C"/>
    <w:rsid w:val="00BE6DBE"/>
    <w:rsid w:val="00BE72FD"/>
    <w:rsid w:val="00BE733C"/>
    <w:rsid w:val="00BE73D4"/>
    <w:rsid w:val="00BE7AF2"/>
    <w:rsid w:val="00BF1EF8"/>
    <w:rsid w:val="00BF25A9"/>
    <w:rsid w:val="00BF2DE5"/>
    <w:rsid w:val="00BF4429"/>
    <w:rsid w:val="00BF4C49"/>
    <w:rsid w:val="00BF4D1A"/>
    <w:rsid w:val="00BF5168"/>
    <w:rsid w:val="00BF51C9"/>
    <w:rsid w:val="00BF5A5B"/>
    <w:rsid w:val="00BF62DF"/>
    <w:rsid w:val="00BF6338"/>
    <w:rsid w:val="00BF6D56"/>
    <w:rsid w:val="00BF7EB2"/>
    <w:rsid w:val="00C00D03"/>
    <w:rsid w:val="00C00D9C"/>
    <w:rsid w:val="00C01DFC"/>
    <w:rsid w:val="00C0270E"/>
    <w:rsid w:val="00C0282B"/>
    <w:rsid w:val="00C03262"/>
    <w:rsid w:val="00C047A4"/>
    <w:rsid w:val="00C05013"/>
    <w:rsid w:val="00C067E0"/>
    <w:rsid w:val="00C0773D"/>
    <w:rsid w:val="00C1025D"/>
    <w:rsid w:val="00C11733"/>
    <w:rsid w:val="00C12CC1"/>
    <w:rsid w:val="00C12D93"/>
    <w:rsid w:val="00C12EE2"/>
    <w:rsid w:val="00C12EE5"/>
    <w:rsid w:val="00C1324B"/>
    <w:rsid w:val="00C139DE"/>
    <w:rsid w:val="00C13B55"/>
    <w:rsid w:val="00C13CB8"/>
    <w:rsid w:val="00C151CE"/>
    <w:rsid w:val="00C1561B"/>
    <w:rsid w:val="00C15BBB"/>
    <w:rsid w:val="00C16087"/>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3614"/>
    <w:rsid w:val="00C33AEC"/>
    <w:rsid w:val="00C357CB"/>
    <w:rsid w:val="00C35C8E"/>
    <w:rsid w:val="00C36B1D"/>
    <w:rsid w:val="00C3742C"/>
    <w:rsid w:val="00C410D2"/>
    <w:rsid w:val="00C41363"/>
    <w:rsid w:val="00C42A78"/>
    <w:rsid w:val="00C437D6"/>
    <w:rsid w:val="00C4471B"/>
    <w:rsid w:val="00C45C94"/>
    <w:rsid w:val="00C4601D"/>
    <w:rsid w:val="00C46612"/>
    <w:rsid w:val="00C509D2"/>
    <w:rsid w:val="00C51CCA"/>
    <w:rsid w:val="00C523ED"/>
    <w:rsid w:val="00C53131"/>
    <w:rsid w:val="00C54473"/>
    <w:rsid w:val="00C54789"/>
    <w:rsid w:val="00C55945"/>
    <w:rsid w:val="00C55D94"/>
    <w:rsid w:val="00C55DCB"/>
    <w:rsid w:val="00C55FBB"/>
    <w:rsid w:val="00C57582"/>
    <w:rsid w:val="00C608EF"/>
    <w:rsid w:val="00C60D60"/>
    <w:rsid w:val="00C612BB"/>
    <w:rsid w:val="00C612BF"/>
    <w:rsid w:val="00C61338"/>
    <w:rsid w:val="00C6207E"/>
    <w:rsid w:val="00C6324D"/>
    <w:rsid w:val="00C64FAE"/>
    <w:rsid w:val="00C66344"/>
    <w:rsid w:val="00C66EDC"/>
    <w:rsid w:val="00C674F7"/>
    <w:rsid w:val="00C67D05"/>
    <w:rsid w:val="00C714EE"/>
    <w:rsid w:val="00C731E1"/>
    <w:rsid w:val="00C73883"/>
    <w:rsid w:val="00C73B64"/>
    <w:rsid w:val="00C7443F"/>
    <w:rsid w:val="00C745D7"/>
    <w:rsid w:val="00C7702A"/>
    <w:rsid w:val="00C7732F"/>
    <w:rsid w:val="00C773C8"/>
    <w:rsid w:val="00C80A25"/>
    <w:rsid w:val="00C80E5E"/>
    <w:rsid w:val="00C82930"/>
    <w:rsid w:val="00C82C9E"/>
    <w:rsid w:val="00C841BF"/>
    <w:rsid w:val="00C84F61"/>
    <w:rsid w:val="00C8531E"/>
    <w:rsid w:val="00C85560"/>
    <w:rsid w:val="00C85A3E"/>
    <w:rsid w:val="00C85A50"/>
    <w:rsid w:val="00C85B6C"/>
    <w:rsid w:val="00C85ECE"/>
    <w:rsid w:val="00C86BFE"/>
    <w:rsid w:val="00C86D8A"/>
    <w:rsid w:val="00C86FF3"/>
    <w:rsid w:val="00C87E2F"/>
    <w:rsid w:val="00C900B0"/>
    <w:rsid w:val="00C9080B"/>
    <w:rsid w:val="00C90EA7"/>
    <w:rsid w:val="00C90EF9"/>
    <w:rsid w:val="00C9146C"/>
    <w:rsid w:val="00C91711"/>
    <w:rsid w:val="00C91A95"/>
    <w:rsid w:val="00C92931"/>
    <w:rsid w:val="00C92949"/>
    <w:rsid w:val="00C9312F"/>
    <w:rsid w:val="00C94499"/>
    <w:rsid w:val="00C9491A"/>
    <w:rsid w:val="00C94BE9"/>
    <w:rsid w:val="00C95701"/>
    <w:rsid w:val="00C95DD7"/>
    <w:rsid w:val="00C95ED6"/>
    <w:rsid w:val="00C96BBB"/>
    <w:rsid w:val="00CA04D5"/>
    <w:rsid w:val="00CA0F7D"/>
    <w:rsid w:val="00CA1AC8"/>
    <w:rsid w:val="00CA1FB0"/>
    <w:rsid w:val="00CA24D1"/>
    <w:rsid w:val="00CA2AD9"/>
    <w:rsid w:val="00CA39CC"/>
    <w:rsid w:val="00CA3C11"/>
    <w:rsid w:val="00CA403D"/>
    <w:rsid w:val="00CA4743"/>
    <w:rsid w:val="00CA57FE"/>
    <w:rsid w:val="00CA5FF6"/>
    <w:rsid w:val="00CA6F32"/>
    <w:rsid w:val="00CA735E"/>
    <w:rsid w:val="00CB01B1"/>
    <w:rsid w:val="00CB138F"/>
    <w:rsid w:val="00CB13CF"/>
    <w:rsid w:val="00CB13E0"/>
    <w:rsid w:val="00CB199A"/>
    <w:rsid w:val="00CB2282"/>
    <w:rsid w:val="00CB2F02"/>
    <w:rsid w:val="00CB44CC"/>
    <w:rsid w:val="00CB4522"/>
    <w:rsid w:val="00CB76B8"/>
    <w:rsid w:val="00CB7703"/>
    <w:rsid w:val="00CB77EE"/>
    <w:rsid w:val="00CB783B"/>
    <w:rsid w:val="00CB7AE2"/>
    <w:rsid w:val="00CC1C1E"/>
    <w:rsid w:val="00CC2611"/>
    <w:rsid w:val="00CC2803"/>
    <w:rsid w:val="00CC295E"/>
    <w:rsid w:val="00CC48D6"/>
    <w:rsid w:val="00CC4B7F"/>
    <w:rsid w:val="00CC544C"/>
    <w:rsid w:val="00CC559E"/>
    <w:rsid w:val="00CC707F"/>
    <w:rsid w:val="00CC708A"/>
    <w:rsid w:val="00CC79CD"/>
    <w:rsid w:val="00CD0365"/>
    <w:rsid w:val="00CD1447"/>
    <w:rsid w:val="00CD1841"/>
    <w:rsid w:val="00CD1BF1"/>
    <w:rsid w:val="00CD1D2E"/>
    <w:rsid w:val="00CD27CD"/>
    <w:rsid w:val="00CD4BF8"/>
    <w:rsid w:val="00CD52CD"/>
    <w:rsid w:val="00CD652E"/>
    <w:rsid w:val="00CD6828"/>
    <w:rsid w:val="00CD685C"/>
    <w:rsid w:val="00CD68DD"/>
    <w:rsid w:val="00CD7B8B"/>
    <w:rsid w:val="00CE01F8"/>
    <w:rsid w:val="00CE0D43"/>
    <w:rsid w:val="00CE19B6"/>
    <w:rsid w:val="00CE24B9"/>
    <w:rsid w:val="00CE2B04"/>
    <w:rsid w:val="00CE3E8B"/>
    <w:rsid w:val="00CE47DC"/>
    <w:rsid w:val="00CE5298"/>
    <w:rsid w:val="00CE5322"/>
    <w:rsid w:val="00CE58EB"/>
    <w:rsid w:val="00CE6939"/>
    <w:rsid w:val="00CE705F"/>
    <w:rsid w:val="00CE745E"/>
    <w:rsid w:val="00CF0041"/>
    <w:rsid w:val="00CF0D4B"/>
    <w:rsid w:val="00CF2605"/>
    <w:rsid w:val="00CF2804"/>
    <w:rsid w:val="00CF35B2"/>
    <w:rsid w:val="00CF36C4"/>
    <w:rsid w:val="00CF38D4"/>
    <w:rsid w:val="00CF5C07"/>
    <w:rsid w:val="00CF5CFC"/>
    <w:rsid w:val="00D00272"/>
    <w:rsid w:val="00D00AF5"/>
    <w:rsid w:val="00D00E75"/>
    <w:rsid w:val="00D00EE2"/>
    <w:rsid w:val="00D01917"/>
    <w:rsid w:val="00D01EBC"/>
    <w:rsid w:val="00D036AC"/>
    <w:rsid w:val="00D03DE1"/>
    <w:rsid w:val="00D03EDD"/>
    <w:rsid w:val="00D03EEF"/>
    <w:rsid w:val="00D04F08"/>
    <w:rsid w:val="00D050BB"/>
    <w:rsid w:val="00D058B9"/>
    <w:rsid w:val="00D07010"/>
    <w:rsid w:val="00D07087"/>
    <w:rsid w:val="00D07A1B"/>
    <w:rsid w:val="00D07E2A"/>
    <w:rsid w:val="00D11666"/>
    <w:rsid w:val="00D11D07"/>
    <w:rsid w:val="00D138F2"/>
    <w:rsid w:val="00D1489F"/>
    <w:rsid w:val="00D159F8"/>
    <w:rsid w:val="00D15DD2"/>
    <w:rsid w:val="00D16E55"/>
    <w:rsid w:val="00D16ECF"/>
    <w:rsid w:val="00D17564"/>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DF4"/>
    <w:rsid w:val="00D26113"/>
    <w:rsid w:val="00D27131"/>
    <w:rsid w:val="00D30B0E"/>
    <w:rsid w:val="00D31AD0"/>
    <w:rsid w:val="00D31BBD"/>
    <w:rsid w:val="00D34305"/>
    <w:rsid w:val="00D34E83"/>
    <w:rsid w:val="00D35189"/>
    <w:rsid w:val="00D352D0"/>
    <w:rsid w:val="00D37354"/>
    <w:rsid w:val="00D404B1"/>
    <w:rsid w:val="00D4104F"/>
    <w:rsid w:val="00D43988"/>
    <w:rsid w:val="00D4707E"/>
    <w:rsid w:val="00D47238"/>
    <w:rsid w:val="00D4762C"/>
    <w:rsid w:val="00D47867"/>
    <w:rsid w:val="00D47B4E"/>
    <w:rsid w:val="00D47EAF"/>
    <w:rsid w:val="00D50B2A"/>
    <w:rsid w:val="00D51517"/>
    <w:rsid w:val="00D52D4A"/>
    <w:rsid w:val="00D52D7F"/>
    <w:rsid w:val="00D53034"/>
    <w:rsid w:val="00D538B0"/>
    <w:rsid w:val="00D541A8"/>
    <w:rsid w:val="00D55A05"/>
    <w:rsid w:val="00D562A8"/>
    <w:rsid w:val="00D61A9F"/>
    <w:rsid w:val="00D61EDD"/>
    <w:rsid w:val="00D628AF"/>
    <w:rsid w:val="00D6294B"/>
    <w:rsid w:val="00D654F8"/>
    <w:rsid w:val="00D66697"/>
    <w:rsid w:val="00D676B3"/>
    <w:rsid w:val="00D6787A"/>
    <w:rsid w:val="00D67ACA"/>
    <w:rsid w:val="00D67F69"/>
    <w:rsid w:val="00D70FAD"/>
    <w:rsid w:val="00D71103"/>
    <w:rsid w:val="00D71213"/>
    <w:rsid w:val="00D713E4"/>
    <w:rsid w:val="00D72FAD"/>
    <w:rsid w:val="00D7314F"/>
    <w:rsid w:val="00D73259"/>
    <w:rsid w:val="00D732D3"/>
    <w:rsid w:val="00D73678"/>
    <w:rsid w:val="00D73AF1"/>
    <w:rsid w:val="00D73E64"/>
    <w:rsid w:val="00D74504"/>
    <w:rsid w:val="00D74639"/>
    <w:rsid w:val="00D74926"/>
    <w:rsid w:val="00D75407"/>
    <w:rsid w:val="00D75449"/>
    <w:rsid w:val="00D7563E"/>
    <w:rsid w:val="00D76E21"/>
    <w:rsid w:val="00D770D5"/>
    <w:rsid w:val="00D809B7"/>
    <w:rsid w:val="00D812A9"/>
    <w:rsid w:val="00D813B0"/>
    <w:rsid w:val="00D8141C"/>
    <w:rsid w:val="00D81A57"/>
    <w:rsid w:val="00D81A98"/>
    <w:rsid w:val="00D8269A"/>
    <w:rsid w:val="00D82962"/>
    <w:rsid w:val="00D82A4C"/>
    <w:rsid w:val="00D830B5"/>
    <w:rsid w:val="00D83A65"/>
    <w:rsid w:val="00D846CF"/>
    <w:rsid w:val="00D84999"/>
    <w:rsid w:val="00D85683"/>
    <w:rsid w:val="00D86D21"/>
    <w:rsid w:val="00D8772B"/>
    <w:rsid w:val="00D9031D"/>
    <w:rsid w:val="00D90824"/>
    <w:rsid w:val="00D90F8A"/>
    <w:rsid w:val="00D91621"/>
    <w:rsid w:val="00D9180B"/>
    <w:rsid w:val="00D925BC"/>
    <w:rsid w:val="00D9323B"/>
    <w:rsid w:val="00D94EB6"/>
    <w:rsid w:val="00D95111"/>
    <w:rsid w:val="00D954B6"/>
    <w:rsid w:val="00D9553A"/>
    <w:rsid w:val="00D958D2"/>
    <w:rsid w:val="00D95C5C"/>
    <w:rsid w:val="00D96B91"/>
    <w:rsid w:val="00D9740F"/>
    <w:rsid w:val="00D97545"/>
    <w:rsid w:val="00D9787B"/>
    <w:rsid w:val="00D97BA1"/>
    <w:rsid w:val="00DA09FC"/>
    <w:rsid w:val="00DA0A19"/>
    <w:rsid w:val="00DA16AA"/>
    <w:rsid w:val="00DA28A7"/>
    <w:rsid w:val="00DA2BB0"/>
    <w:rsid w:val="00DA2FCA"/>
    <w:rsid w:val="00DA348E"/>
    <w:rsid w:val="00DA373A"/>
    <w:rsid w:val="00DA4A4E"/>
    <w:rsid w:val="00DA59D2"/>
    <w:rsid w:val="00DA5A9C"/>
    <w:rsid w:val="00DA5F60"/>
    <w:rsid w:val="00DA6E9D"/>
    <w:rsid w:val="00DA6FF3"/>
    <w:rsid w:val="00DB0066"/>
    <w:rsid w:val="00DB0F33"/>
    <w:rsid w:val="00DB1595"/>
    <w:rsid w:val="00DB297D"/>
    <w:rsid w:val="00DB2B7E"/>
    <w:rsid w:val="00DB2BA7"/>
    <w:rsid w:val="00DB2F6C"/>
    <w:rsid w:val="00DB345D"/>
    <w:rsid w:val="00DB5719"/>
    <w:rsid w:val="00DB624E"/>
    <w:rsid w:val="00DB65FF"/>
    <w:rsid w:val="00DB7C6B"/>
    <w:rsid w:val="00DC02EA"/>
    <w:rsid w:val="00DC1309"/>
    <w:rsid w:val="00DC16F9"/>
    <w:rsid w:val="00DC1CA6"/>
    <w:rsid w:val="00DC20CF"/>
    <w:rsid w:val="00DC3472"/>
    <w:rsid w:val="00DC4B44"/>
    <w:rsid w:val="00DC5C38"/>
    <w:rsid w:val="00DC61A3"/>
    <w:rsid w:val="00DC76E7"/>
    <w:rsid w:val="00DC7E69"/>
    <w:rsid w:val="00DD0467"/>
    <w:rsid w:val="00DD15EF"/>
    <w:rsid w:val="00DD1738"/>
    <w:rsid w:val="00DD190E"/>
    <w:rsid w:val="00DD3316"/>
    <w:rsid w:val="00DD3E02"/>
    <w:rsid w:val="00DD45AF"/>
    <w:rsid w:val="00DD5654"/>
    <w:rsid w:val="00DD5E57"/>
    <w:rsid w:val="00DD60E3"/>
    <w:rsid w:val="00DD7F9B"/>
    <w:rsid w:val="00DE1C74"/>
    <w:rsid w:val="00DE1CCF"/>
    <w:rsid w:val="00DE3385"/>
    <w:rsid w:val="00DE3CA1"/>
    <w:rsid w:val="00DE4007"/>
    <w:rsid w:val="00DE4053"/>
    <w:rsid w:val="00DE4638"/>
    <w:rsid w:val="00DE4651"/>
    <w:rsid w:val="00DE4FEE"/>
    <w:rsid w:val="00DE534A"/>
    <w:rsid w:val="00DE55FD"/>
    <w:rsid w:val="00DE60A8"/>
    <w:rsid w:val="00DE7265"/>
    <w:rsid w:val="00DE7525"/>
    <w:rsid w:val="00DE787B"/>
    <w:rsid w:val="00DE7C1C"/>
    <w:rsid w:val="00DF0111"/>
    <w:rsid w:val="00DF01E6"/>
    <w:rsid w:val="00DF14DF"/>
    <w:rsid w:val="00DF2247"/>
    <w:rsid w:val="00DF2353"/>
    <w:rsid w:val="00DF3AB2"/>
    <w:rsid w:val="00DF4116"/>
    <w:rsid w:val="00DF5129"/>
    <w:rsid w:val="00DF5784"/>
    <w:rsid w:val="00DF58B8"/>
    <w:rsid w:val="00DF5FF8"/>
    <w:rsid w:val="00DF6EE5"/>
    <w:rsid w:val="00DF7E7E"/>
    <w:rsid w:val="00E0077B"/>
    <w:rsid w:val="00E00898"/>
    <w:rsid w:val="00E03634"/>
    <w:rsid w:val="00E050B6"/>
    <w:rsid w:val="00E0557E"/>
    <w:rsid w:val="00E05980"/>
    <w:rsid w:val="00E05D14"/>
    <w:rsid w:val="00E0628E"/>
    <w:rsid w:val="00E06460"/>
    <w:rsid w:val="00E073CF"/>
    <w:rsid w:val="00E07997"/>
    <w:rsid w:val="00E07A6A"/>
    <w:rsid w:val="00E07EB8"/>
    <w:rsid w:val="00E107B2"/>
    <w:rsid w:val="00E10EB1"/>
    <w:rsid w:val="00E114CF"/>
    <w:rsid w:val="00E120E4"/>
    <w:rsid w:val="00E13636"/>
    <w:rsid w:val="00E149F4"/>
    <w:rsid w:val="00E14A90"/>
    <w:rsid w:val="00E16CF1"/>
    <w:rsid w:val="00E17F53"/>
    <w:rsid w:val="00E20354"/>
    <w:rsid w:val="00E207DB"/>
    <w:rsid w:val="00E20BB5"/>
    <w:rsid w:val="00E21F5A"/>
    <w:rsid w:val="00E221D8"/>
    <w:rsid w:val="00E234F1"/>
    <w:rsid w:val="00E23ACB"/>
    <w:rsid w:val="00E23BDA"/>
    <w:rsid w:val="00E25124"/>
    <w:rsid w:val="00E261F8"/>
    <w:rsid w:val="00E26E25"/>
    <w:rsid w:val="00E27DF3"/>
    <w:rsid w:val="00E3110A"/>
    <w:rsid w:val="00E319DC"/>
    <w:rsid w:val="00E324AD"/>
    <w:rsid w:val="00E3342D"/>
    <w:rsid w:val="00E33683"/>
    <w:rsid w:val="00E33734"/>
    <w:rsid w:val="00E33F82"/>
    <w:rsid w:val="00E34AA9"/>
    <w:rsid w:val="00E36A4F"/>
    <w:rsid w:val="00E376C4"/>
    <w:rsid w:val="00E37D5F"/>
    <w:rsid w:val="00E429A0"/>
    <w:rsid w:val="00E42D39"/>
    <w:rsid w:val="00E44CD4"/>
    <w:rsid w:val="00E45B91"/>
    <w:rsid w:val="00E46804"/>
    <w:rsid w:val="00E46C57"/>
    <w:rsid w:val="00E513EE"/>
    <w:rsid w:val="00E5176B"/>
    <w:rsid w:val="00E527C9"/>
    <w:rsid w:val="00E528BA"/>
    <w:rsid w:val="00E52A91"/>
    <w:rsid w:val="00E53497"/>
    <w:rsid w:val="00E534DF"/>
    <w:rsid w:val="00E55A50"/>
    <w:rsid w:val="00E565C2"/>
    <w:rsid w:val="00E56C9D"/>
    <w:rsid w:val="00E5723E"/>
    <w:rsid w:val="00E57362"/>
    <w:rsid w:val="00E60269"/>
    <w:rsid w:val="00E60887"/>
    <w:rsid w:val="00E60C32"/>
    <w:rsid w:val="00E61619"/>
    <w:rsid w:val="00E61E25"/>
    <w:rsid w:val="00E6272B"/>
    <w:rsid w:val="00E627F6"/>
    <w:rsid w:val="00E62F1A"/>
    <w:rsid w:val="00E63F1D"/>
    <w:rsid w:val="00E646D5"/>
    <w:rsid w:val="00E64BB7"/>
    <w:rsid w:val="00E64EEE"/>
    <w:rsid w:val="00E66F49"/>
    <w:rsid w:val="00E721A9"/>
    <w:rsid w:val="00E73549"/>
    <w:rsid w:val="00E7484F"/>
    <w:rsid w:val="00E74861"/>
    <w:rsid w:val="00E74B50"/>
    <w:rsid w:val="00E74EC9"/>
    <w:rsid w:val="00E75572"/>
    <w:rsid w:val="00E75733"/>
    <w:rsid w:val="00E75A9D"/>
    <w:rsid w:val="00E77754"/>
    <w:rsid w:val="00E80CF7"/>
    <w:rsid w:val="00E80FB4"/>
    <w:rsid w:val="00E81B8E"/>
    <w:rsid w:val="00E81ED7"/>
    <w:rsid w:val="00E8369B"/>
    <w:rsid w:val="00E8377F"/>
    <w:rsid w:val="00E83850"/>
    <w:rsid w:val="00E85244"/>
    <w:rsid w:val="00E85A96"/>
    <w:rsid w:val="00E86159"/>
    <w:rsid w:val="00E86741"/>
    <w:rsid w:val="00E87653"/>
    <w:rsid w:val="00E87AE4"/>
    <w:rsid w:val="00E90A5A"/>
    <w:rsid w:val="00E90C1F"/>
    <w:rsid w:val="00E9124A"/>
    <w:rsid w:val="00E9222C"/>
    <w:rsid w:val="00E9296D"/>
    <w:rsid w:val="00E92AA5"/>
    <w:rsid w:val="00E94509"/>
    <w:rsid w:val="00E94A0D"/>
    <w:rsid w:val="00E9558B"/>
    <w:rsid w:val="00E95A44"/>
    <w:rsid w:val="00E95D1B"/>
    <w:rsid w:val="00E969A4"/>
    <w:rsid w:val="00E9735C"/>
    <w:rsid w:val="00EA0266"/>
    <w:rsid w:val="00EA234B"/>
    <w:rsid w:val="00EA274B"/>
    <w:rsid w:val="00EA2EFA"/>
    <w:rsid w:val="00EA3184"/>
    <w:rsid w:val="00EA3732"/>
    <w:rsid w:val="00EA3794"/>
    <w:rsid w:val="00EA3CDD"/>
    <w:rsid w:val="00EA4124"/>
    <w:rsid w:val="00EA42EB"/>
    <w:rsid w:val="00EA5028"/>
    <w:rsid w:val="00EA50D6"/>
    <w:rsid w:val="00EA5714"/>
    <w:rsid w:val="00EA5E70"/>
    <w:rsid w:val="00EA60EF"/>
    <w:rsid w:val="00EA6A30"/>
    <w:rsid w:val="00EA6A41"/>
    <w:rsid w:val="00EA73C4"/>
    <w:rsid w:val="00EA7662"/>
    <w:rsid w:val="00EA7CC3"/>
    <w:rsid w:val="00EB016F"/>
    <w:rsid w:val="00EB04F4"/>
    <w:rsid w:val="00EB05E3"/>
    <w:rsid w:val="00EB212C"/>
    <w:rsid w:val="00EB2216"/>
    <w:rsid w:val="00EB27D1"/>
    <w:rsid w:val="00EB33F4"/>
    <w:rsid w:val="00EB3B9C"/>
    <w:rsid w:val="00EB40E0"/>
    <w:rsid w:val="00EB4C04"/>
    <w:rsid w:val="00EB6502"/>
    <w:rsid w:val="00EB7D9C"/>
    <w:rsid w:val="00EC01F0"/>
    <w:rsid w:val="00EC1406"/>
    <w:rsid w:val="00EC1526"/>
    <w:rsid w:val="00EC23F3"/>
    <w:rsid w:val="00EC2677"/>
    <w:rsid w:val="00EC2AB5"/>
    <w:rsid w:val="00EC36F2"/>
    <w:rsid w:val="00EC4B79"/>
    <w:rsid w:val="00EC4F33"/>
    <w:rsid w:val="00EC7E82"/>
    <w:rsid w:val="00ED0785"/>
    <w:rsid w:val="00ED0B81"/>
    <w:rsid w:val="00ED19B3"/>
    <w:rsid w:val="00ED1A64"/>
    <w:rsid w:val="00ED28DD"/>
    <w:rsid w:val="00ED421C"/>
    <w:rsid w:val="00ED43A6"/>
    <w:rsid w:val="00ED4E89"/>
    <w:rsid w:val="00ED502A"/>
    <w:rsid w:val="00ED69B3"/>
    <w:rsid w:val="00ED6AF3"/>
    <w:rsid w:val="00ED6FB9"/>
    <w:rsid w:val="00ED7371"/>
    <w:rsid w:val="00ED7E2F"/>
    <w:rsid w:val="00ED7EA8"/>
    <w:rsid w:val="00EE1162"/>
    <w:rsid w:val="00EE1313"/>
    <w:rsid w:val="00EE2126"/>
    <w:rsid w:val="00EE2FBF"/>
    <w:rsid w:val="00EE3363"/>
    <w:rsid w:val="00EE3725"/>
    <w:rsid w:val="00EE3F3C"/>
    <w:rsid w:val="00EE4C7E"/>
    <w:rsid w:val="00EE556D"/>
    <w:rsid w:val="00EE60A2"/>
    <w:rsid w:val="00EE6184"/>
    <w:rsid w:val="00EE679C"/>
    <w:rsid w:val="00EE686B"/>
    <w:rsid w:val="00EE7596"/>
    <w:rsid w:val="00EE7A2C"/>
    <w:rsid w:val="00EF06D3"/>
    <w:rsid w:val="00EF09D3"/>
    <w:rsid w:val="00EF108A"/>
    <w:rsid w:val="00EF1240"/>
    <w:rsid w:val="00EF1F75"/>
    <w:rsid w:val="00EF2240"/>
    <w:rsid w:val="00EF297A"/>
    <w:rsid w:val="00EF3069"/>
    <w:rsid w:val="00EF31A5"/>
    <w:rsid w:val="00EF3742"/>
    <w:rsid w:val="00EF3EB5"/>
    <w:rsid w:val="00EF57B9"/>
    <w:rsid w:val="00EF57DF"/>
    <w:rsid w:val="00EF632B"/>
    <w:rsid w:val="00EF6556"/>
    <w:rsid w:val="00EF689A"/>
    <w:rsid w:val="00F02BAD"/>
    <w:rsid w:val="00F0319D"/>
    <w:rsid w:val="00F07050"/>
    <w:rsid w:val="00F07890"/>
    <w:rsid w:val="00F07A4C"/>
    <w:rsid w:val="00F07B03"/>
    <w:rsid w:val="00F115A2"/>
    <w:rsid w:val="00F11635"/>
    <w:rsid w:val="00F11928"/>
    <w:rsid w:val="00F12D86"/>
    <w:rsid w:val="00F131AA"/>
    <w:rsid w:val="00F131FD"/>
    <w:rsid w:val="00F1350B"/>
    <w:rsid w:val="00F13B05"/>
    <w:rsid w:val="00F13B5A"/>
    <w:rsid w:val="00F13EED"/>
    <w:rsid w:val="00F15AF2"/>
    <w:rsid w:val="00F21290"/>
    <w:rsid w:val="00F2299F"/>
    <w:rsid w:val="00F231F0"/>
    <w:rsid w:val="00F24787"/>
    <w:rsid w:val="00F25311"/>
    <w:rsid w:val="00F259A5"/>
    <w:rsid w:val="00F263E5"/>
    <w:rsid w:val="00F301E0"/>
    <w:rsid w:val="00F307CC"/>
    <w:rsid w:val="00F30BBA"/>
    <w:rsid w:val="00F31630"/>
    <w:rsid w:val="00F31A8F"/>
    <w:rsid w:val="00F320C0"/>
    <w:rsid w:val="00F32C7D"/>
    <w:rsid w:val="00F32D63"/>
    <w:rsid w:val="00F33C8D"/>
    <w:rsid w:val="00F34012"/>
    <w:rsid w:val="00F343A3"/>
    <w:rsid w:val="00F34C99"/>
    <w:rsid w:val="00F3531A"/>
    <w:rsid w:val="00F353E8"/>
    <w:rsid w:val="00F35AB2"/>
    <w:rsid w:val="00F400FB"/>
    <w:rsid w:val="00F41DB0"/>
    <w:rsid w:val="00F43631"/>
    <w:rsid w:val="00F43947"/>
    <w:rsid w:val="00F439BB"/>
    <w:rsid w:val="00F43CEB"/>
    <w:rsid w:val="00F449D7"/>
    <w:rsid w:val="00F460C4"/>
    <w:rsid w:val="00F461AE"/>
    <w:rsid w:val="00F467F9"/>
    <w:rsid w:val="00F47426"/>
    <w:rsid w:val="00F50D6C"/>
    <w:rsid w:val="00F5184D"/>
    <w:rsid w:val="00F51B88"/>
    <w:rsid w:val="00F51CB2"/>
    <w:rsid w:val="00F534D3"/>
    <w:rsid w:val="00F5421D"/>
    <w:rsid w:val="00F55022"/>
    <w:rsid w:val="00F55184"/>
    <w:rsid w:val="00F5704A"/>
    <w:rsid w:val="00F60DF3"/>
    <w:rsid w:val="00F62057"/>
    <w:rsid w:val="00F62597"/>
    <w:rsid w:val="00F6264B"/>
    <w:rsid w:val="00F6290C"/>
    <w:rsid w:val="00F646C8"/>
    <w:rsid w:val="00F67988"/>
    <w:rsid w:val="00F67C01"/>
    <w:rsid w:val="00F70909"/>
    <w:rsid w:val="00F7114B"/>
    <w:rsid w:val="00F721EF"/>
    <w:rsid w:val="00F72AC2"/>
    <w:rsid w:val="00F72F17"/>
    <w:rsid w:val="00F73429"/>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32A"/>
    <w:rsid w:val="00F81A48"/>
    <w:rsid w:val="00F82021"/>
    <w:rsid w:val="00F82080"/>
    <w:rsid w:val="00F82A7B"/>
    <w:rsid w:val="00F8476C"/>
    <w:rsid w:val="00F850A1"/>
    <w:rsid w:val="00F85CBD"/>
    <w:rsid w:val="00F87810"/>
    <w:rsid w:val="00F905B8"/>
    <w:rsid w:val="00F91164"/>
    <w:rsid w:val="00F91292"/>
    <w:rsid w:val="00F91BFE"/>
    <w:rsid w:val="00F91D47"/>
    <w:rsid w:val="00F92B0F"/>
    <w:rsid w:val="00F9354E"/>
    <w:rsid w:val="00F941FC"/>
    <w:rsid w:val="00F96D24"/>
    <w:rsid w:val="00F97093"/>
    <w:rsid w:val="00F97FF3"/>
    <w:rsid w:val="00FA0091"/>
    <w:rsid w:val="00FA1AA9"/>
    <w:rsid w:val="00FA2C8B"/>
    <w:rsid w:val="00FA3E0C"/>
    <w:rsid w:val="00FA4DBA"/>
    <w:rsid w:val="00FA4FBA"/>
    <w:rsid w:val="00FA5580"/>
    <w:rsid w:val="00FA655A"/>
    <w:rsid w:val="00FA69C3"/>
    <w:rsid w:val="00FA6AAC"/>
    <w:rsid w:val="00FA6CBC"/>
    <w:rsid w:val="00FA6D48"/>
    <w:rsid w:val="00FA7027"/>
    <w:rsid w:val="00FA7775"/>
    <w:rsid w:val="00FA7EC0"/>
    <w:rsid w:val="00FB1729"/>
    <w:rsid w:val="00FB30A2"/>
    <w:rsid w:val="00FB4993"/>
    <w:rsid w:val="00FC072E"/>
    <w:rsid w:val="00FC1364"/>
    <w:rsid w:val="00FC4323"/>
    <w:rsid w:val="00FC51AE"/>
    <w:rsid w:val="00FC550A"/>
    <w:rsid w:val="00FC551E"/>
    <w:rsid w:val="00FC5790"/>
    <w:rsid w:val="00FC6275"/>
    <w:rsid w:val="00FD039F"/>
    <w:rsid w:val="00FD053B"/>
    <w:rsid w:val="00FD0910"/>
    <w:rsid w:val="00FD0A92"/>
    <w:rsid w:val="00FD0AF0"/>
    <w:rsid w:val="00FD1234"/>
    <w:rsid w:val="00FD18F3"/>
    <w:rsid w:val="00FD194F"/>
    <w:rsid w:val="00FD1995"/>
    <w:rsid w:val="00FD2333"/>
    <w:rsid w:val="00FD25E1"/>
    <w:rsid w:val="00FD4A75"/>
    <w:rsid w:val="00FD54E6"/>
    <w:rsid w:val="00FD5688"/>
    <w:rsid w:val="00FD5725"/>
    <w:rsid w:val="00FD5E1C"/>
    <w:rsid w:val="00FD5F36"/>
    <w:rsid w:val="00FD6624"/>
    <w:rsid w:val="00FD7F6B"/>
    <w:rsid w:val="00FE0948"/>
    <w:rsid w:val="00FE1880"/>
    <w:rsid w:val="00FE3256"/>
    <w:rsid w:val="00FE3F8E"/>
    <w:rsid w:val="00FE445D"/>
    <w:rsid w:val="00FE47ED"/>
    <w:rsid w:val="00FE5101"/>
    <w:rsid w:val="00FE61DC"/>
    <w:rsid w:val="00FE67D0"/>
    <w:rsid w:val="00FE689B"/>
    <w:rsid w:val="00FE7081"/>
    <w:rsid w:val="00FE79CE"/>
    <w:rsid w:val="00FF06FA"/>
    <w:rsid w:val="00FF081E"/>
    <w:rsid w:val="00FF145C"/>
    <w:rsid w:val="00FF26EE"/>
    <w:rsid w:val="00FF28EC"/>
    <w:rsid w:val="00FF2AA0"/>
    <w:rsid w:val="00FF47A3"/>
    <w:rsid w:val="00FF4B3F"/>
    <w:rsid w:val="00FF4B43"/>
    <w:rsid w:val="00FF574F"/>
    <w:rsid w:val="011E1404"/>
    <w:rsid w:val="011E42FB"/>
    <w:rsid w:val="012146C6"/>
    <w:rsid w:val="015D35F5"/>
    <w:rsid w:val="01B80B7A"/>
    <w:rsid w:val="01E55D35"/>
    <w:rsid w:val="01F72B36"/>
    <w:rsid w:val="02095687"/>
    <w:rsid w:val="02743188"/>
    <w:rsid w:val="02AC10D3"/>
    <w:rsid w:val="034033B2"/>
    <w:rsid w:val="03B866D0"/>
    <w:rsid w:val="03C40B3F"/>
    <w:rsid w:val="03E11E16"/>
    <w:rsid w:val="04833B9D"/>
    <w:rsid w:val="04E470A0"/>
    <w:rsid w:val="04FC5581"/>
    <w:rsid w:val="0513143C"/>
    <w:rsid w:val="05821997"/>
    <w:rsid w:val="05891928"/>
    <w:rsid w:val="05BF24C9"/>
    <w:rsid w:val="05DF0DF0"/>
    <w:rsid w:val="06C559AF"/>
    <w:rsid w:val="06CE0008"/>
    <w:rsid w:val="07554285"/>
    <w:rsid w:val="0775586D"/>
    <w:rsid w:val="07EC528E"/>
    <w:rsid w:val="081C64DD"/>
    <w:rsid w:val="083E1B6F"/>
    <w:rsid w:val="08435461"/>
    <w:rsid w:val="08435AFA"/>
    <w:rsid w:val="087109F5"/>
    <w:rsid w:val="08825C78"/>
    <w:rsid w:val="08AF0DE8"/>
    <w:rsid w:val="090C7C1B"/>
    <w:rsid w:val="0929095D"/>
    <w:rsid w:val="09493091"/>
    <w:rsid w:val="09FF0058"/>
    <w:rsid w:val="0A914C01"/>
    <w:rsid w:val="0AD31787"/>
    <w:rsid w:val="0ADD6816"/>
    <w:rsid w:val="0AF96D6A"/>
    <w:rsid w:val="0B912479"/>
    <w:rsid w:val="0BCC39BB"/>
    <w:rsid w:val="0C2520CA"/>
    <w:rsid w:val="0C4C5587"/>
    <w:rsid w:val="0C7777A9"/>
    <w:rsid w:val="0CD30126"/>
    <w:rsid w:val="0CFC3FE1"/>
    <w:rsid w:val="0D490A8D"/>
    <w:rsid w:val="0DC668EA"/>
    <w:rsid w:val="0DC93D4A"/>
    <w:rsid w:val="0E172E1A"/>
    <w:rsid w:val="0E5643EF"/>
    <w:rsid w:val="0E6E6F80"/>
    <w:rsid w:val="0ED01EE2"/>
    <w:rsid w:val="0F7A7451"/>
    <w:rsid w:val="0F953AB1"/>
    <w:rsid w:val="0FF94323"/>
    <w:rsid w:val="107A34BF"/>
    <w:rsid w:val="107A51CD"/>
    <w:rsid w:val="108D4A90"/>
    <w:rsid w:val="10993984"/>
    <w:rsid w:val="10E67EAB"/>
    <w:rsid w:val="110D1AD5"/>
    <w:rsid w:val="11925F20"/>
    <w:rsid w:val="11C91423"/>
    <w:rsid w:val="1203536E"/>
    <w:rsid w:val="123821EC"/>
    <w:rsid w:val="124B69B1"/>
    <w:rsid w:val="12584AF5"/>
    <w:rsid w:val="1283439D"/>
    <w:rsid w:val="12E96032"/>
    <w:rsid w:val="12EC0F8D"/>
    <w:rsid w:val="13560879"/>
    <w:rsid w:val="13D4431F"/>
    <w:rsid w:val="151D38BF"/>
    <w:rsid w:val="1575445F"/>
    <w:rsid w:val="158B5F79"/>
    <w:rsid w:val="15BA18F1"/>
    <w:rsid w:val="15BF1762"/>
    <w:rsid w:val="15F31C73"/>
    <w:rsid w:val="160650C5"/>
    <w:rsid w:val="161A1EE6"/>
    <w:rsid w:val="16BA40A9"/>
    <w:rsid w:val="16E54E7B"/>
    <w:rsid w:val="16F47498"/>
    <w:rsid w:val="17051BB8"/>
    <w:rsid w:val="17727A45"/>
    <w:rsid w:val="181638D8"/>
    <w:rsid w:val="18841AD7"/>
    <w:rsid w:val="18A015D3"/>
    <w:rsid w:val="18A521C4"/>
    <w:rsid w:val="1944578F"/>
    <w:rsid w:val="198E1224"/>
    <w:rsid w:val="19A766B9"/>
    <w:rsid w:val="19AF5A77"/>
    <w:rsid w:val="19B1604A"/>
    <w:rsid w:val="19B95C26"/>
    <w:rsid w:val="19E46AD9"/>
    <w:rsid w:val="1A126E19"/>
    <w:rsid w:val="1A652503"/>
    <w:rsid w:val="1A78230D"/>
    <w:rsid w:val="1A7A5D34"/>
    <w:rsid w:val="1AC668AF"/>
    <w:rsid w:val="1B325F2A"/>
    <w:rsid w:val="1B405AA4"/>
    <w:rsid w:val="1B62301A"/>
    <w:rsid w:val="1B9C6430"/>
    <w:rsid w:val="1C1F1E0E"/>
    <w:rsid w:val="1C1F3E4C"/>
    <w:rsid w:val="1CF12935"/>
    <w:rsid w:val="1CF96B9F"/>
    <w:rsid w:val="1D190873"/>
    <w:rsid w:val="1D4B710C"/>
    <w:rsid w:val="1DCF425D"/>
    <w:rsid w:val="1DE3725E"/>
    <w:rsid w:val="1E330E9C"/>
    <w:rsid w:val="1E340CEE"/>
    <w:rsid w:val="1E9C6591"/>
    <w:rsid w:val="1F507A92"/>
    <w:rsid w:val="1FD21930"/>
    <w:rsid w:val="20043B19"/>
    <w:rsid w:val="203A1396"/>
    <w:rsid w:val="20BE2A44"/>
    <w:rsid w:val="20BE2B36"/>
    <w:rsid w:val="20D07BC2"/>
    <w:rsid w:val="20D17B68"/>
    <w:rsid w:val="2112344B"/>
    <w:rsid w:val="21481A39"/>
    <w:rsid w:val="219A1B7F"/>
    <w:rsid w:val="21B22A5C"/>
    <w:rsid w:val="21E65C8F"/>
    <w:rsid w:val="22296AB5"/>
    <w:rsid w:val="22F51417"/>
    <w:rsid w:val="235220CD"/>
    <w:rsid w:val="23AA6A32"/>
    <w:rsid w:val="23C9229F"/>
    <w:rsid w:val="23F24EDE"/>
    <w:rsid w:val="24195A43"/>
    <w:rsid w:val="245D31B5"/>
    <w:rsid w:val="247D5ABB"/>
    <w:rsid w:val="24826101"/>
    <w:rsid w:val="25735D35"/>
    <w:rsid w:val="25784A9C"/>
    <w:rsid w:val="2596668B"/>
    <w:rsid w:val="25C65FE5"/>
    <w:rsid w:val="25E16A45"/>
    <w:rsid w:val="25F11338"/>
    <w:rsid w:val="25F46AB0"/>
    <w:rsid w:val="27217B54"/>
    <w:rsid w:val="274348DC"/>
    <w:rsid w:val="277D1EE5"/>
    <w:rsid w:val="27A31B59"/>
    <w:rsid w:val="27B87AF2"/>
    <w:rsid w:val="27EE3E21"/>
    <w:rsid w:val="285E29E0"/>
    <w:rsid w:val="286C3B37"/>
    <w:rsid w:val="289002C6"/>
    <w:rsid w:val="28B86003"/>
    <w:rsid w:val="28C71A62"/>
    <w:rsid w:val="293801B5"/>
    <w:rsid w:val="298A23AD"/>
    <w:rsid w:val="2B033371"/>
    <w:rsid w:val="2B067EC8"/>
    <w:rsid w:val="2B3A56AF"/>
    <w:rsid w:val="2BB71443"/>
    <w:rsid w:val="2BDC0BC9"/>
    <w:rsid w:val="2BF00047"/>
    <w:rsid w:val="2C0853D9"/>
    <w:rsid w:val="2C160577"/>
    <w:rsid w:val="2C240F34"/>
    <w:rsid w:val="2C64115C"/>
    <w:rsid w:val="2C70392E"/>
    <w:rsid w:val="2D0B54A3"/>
    <w:rsid w:val="2D230138"/>
    <w:rsid w:val="2D355E3C"/>
    <w:rsid w:val="2D6F4378"/>
    <w:rsid w:val="2DED1D9C"/>
    <w:rsid w:val="2DFF521E"/>
    <w:rsid w:val="2E590BD6"/>
    <w:rsid w:val="2EA0509E"/>
    <w:rsid w:val="2F2E2929"/>
    <w:rsid w:val="2F3F3850"/>
    <w:rsid w:val="2F815A0A"/>
    <w:rsid w:val="2F884949"/>
    <w:rsid w:val="2FF73D1D"/>
    <w:rsid w:val="300801AF"/>
    <w:rsid w:val="3009697D"/>
    <w:rsid w:val="30104524"/>
    <w:rsid w:val="30113460"/>
    <w:rsid w:val="30204AC3"/>
    <w:rsid w:val="304B4E50"/>
    <w:rsid w:val="3063463F"/>
    <w:rsid w:val="308F3CFA"/>
    <w:rsid w:val="30B15CE7"/>
    <w:rsid w:val="30E262DA"/>
    <w:rsid w:val="312F7772"/>
    <w:rsid w:val="31A11AE9"/>
    <w:rsid w:val="31C45C63"/>
    <w:rsid w:val="31FC3EF9"/>
    <w:rsid w:val="322E5E24"/>
    <w:rsid w:val="324B16F5"/>
    <w:rsid w:val="32807B59"/>
    <w:rsid w:val="32CF303F"/>
    <w:rsid w:val="32FB0035"/>
    <w:rsid w:val="33235F77"/>
    <w:rsid w:val="3350673E"/>
    <w:rsid w:val="33977D4F"/>
    <w:rsid w:val="33B67A9F"/>
    <w:rsid w:val="33E02E1C"/>
    <w:rsid w:val="341D63B4"/>
    <w:rsid w:val="344233AC"/>
    <w:rsid w:val="346C42A4"/>
    <w:rsid w:val="34E60A39"/>
    <w:rsid w:val="3513289C"/>
    <w:rsid w:val="351D0A98"/>
    <w:rsid w:val="354F755A"/>
    <w:rsid w:val="355C0DE1"/>
    <w:rsid w:val="35893F26"/>
    <w:rsid w:val="35F03911"/>
    <w:rsid w:val="361D3B28"/>
    <w:rsid w:val="36383DD0"/>
    <w:rsid w:val="36A23E37"/>
    <w:rsid w:val="36C0037B"/>
    <w:rsid w:val="36F1018E"/>
    <w:rsid w:val="37503F9E"/>
    <w:rsid w:val="376857B1"/>
    <w:rsid w:val="377622CB"/>
    <w:rsid w:val="3780685D"/>
    <w:rsid w:val="37BA2F63"/>
    <w:rsid w:val="37C81053"/>
    <w:rsid w:val="37E817A5"/>
    <w:rsid w:val="38704532"/>
    <w:rsid w:val="38AA04E2"/>
    <w:rsid w:val="38B04014"/>
    <w:rsid w:val="38D77AF6"/>
    <w:rsid w:val="38DA1EF9"/>
    <w:rsid w:val="38E050B1"/>
    <w:rsid w:val="38FC0F21"/>
    <w:rsid w:val="393D75AA"/>
    <w:rsid w:val="394E75C1"/>
    <w:rsid w:val="39600993"/>
    <w:rsid w:val="398A2C99"/>
    <w:rsid w:val="39B41E0D"/>
    <w:rsid w:val="39B853D1"/>
    <w:rsid w:val="39DB34A5"/>
    <w:rsid w:val="3A3C23C2"/>
    <w:rsid w:val="3A3E27D3"/>
    <w:rsid w:val="3AA0244D"/>
    <w:rsid w:val="3B040851"/>
    <w:rsid w:val="3BA76A03"/>
    <w:rsid w:val="3BE30FA7"/>
    <w:rsid w:val="3BF40129"/>
    <w:rsid w:val="3BFE1F56"/>
    <w:rsid w:val="3C002C09"/>
    <w:rsid w:val="3C56385D"/>
    <w:rsid w:val="3C895347"/>
    <w:rsid w:val="3CDF3135"/>
    <w:rsid w:val="3CE41001"/>
    <w:rsid w:val="3D177A29"/>
    <w:rsid w:val="3D1D0F09"/>
    <w:rsid w:val="3D4153BD"/>
    <w:rsid w:val="3D5F6F75"/>
    <w:rsid w:val="3D605B64"/>
    <w:rsid w:val="3D6E7621"/>
    <w:rsid w:val="3DB66D48"/>
    <w:rsid w:val="3DFB5183"/>
    <w:rsid w:val="3E42676A"/>
    <w:rsid w:val="3F26350E"/>
    <w:rsid w:val="3F2B5786"/>
    <w:rsid w:val="3F3E428E"/>
    <w:rsid w:val="3F513CB1"/>
    <w:rsid w:val="3FA86688"/>
    <w:rsid w:val="3FB269C3"/>
    <w:rsid w:val="3FD032C7"/>
    <w:rsid w:val="3FDB1D7E"/>
    <w:rsid w:val="405F4E39"/>
    <w:rsid w:val="406D3E71"/>
    <w:rsid w:val="40767C0D"/>
    <w:rsid w:val="40E45FD9"/>
    <w:rsid w:val="410061AC"/>
    <w:rsid w:val="412A29CC"/>
    <w:rsid w:val="413E22CD"/>
    <w:rsid w:val="41571D6E"/>
    <w:rsid w:val="41B06223"/>
    <w:rsid w:val="41B829D4"/>
    <w:rsid w:val="41E77728"/>
    <w:rsid w:val="41F8244F"/>
    <w:rsid w:val="421F601D"/>
    <w:rsid w:val="42482AD4"/>
    <w:rsid w:val="424A2571"/>
    <w:rsid w:val="42896114"/>
    <w:rsid w:val="42BE5CDC"/>
    <w:rsid w:val="430C0C47"/>
    <w:rsid w:val="432B6014"/>
    <w:rsid w:val="43A73423"/>
    <w:rsid w:val="43E503D2"/>
    <w:rsid w:val="43E62EC8"/>
    <w:rsid w:val="443E7269"/>
    <w:rsid w:val="44AC22B9"/>
    <w:rsid w:val="451275EF"/>
    <w:rsid w:val="459C606B"/>
    <w:rsid w:val="46C076E7"/>
    <w:rsid w:val="46CC258D"/>
    <w:rsid w:val="46E42C4A"/>
    <w:rsid w:val="472C7633"/>
    <w:rsid w:val="47385FC3"/>
    <w:rsid w:val="474256D1"/>
    <w:rsid w:val="475D2AB1"/>
    <w:rsid w:val="47D965EA"/>
    <w:rsid w:val="48186FE3"/>
    <w:rsid w:val="48C3442B"/>
    <w:rsid w:val="48D43EA7"/>
    <w:rsid w:val="48DE0887"/>
    <w:rsid w:val="48EA0098"/>
    <w:rsid w:val="48ED46B3"/>
    <w:rsid w:val="4939352B"/>
    <w:rsid w:val="49451217"/>
    <w:rsid w:val="496D4057"/>
    <w:rsid w:val="49807693"/>
    <w:rsid w:val="49BF2665"/>
    <w:rsid w:val="49C56BCC"/>
    <w:rsid w:val="49D82CEC"/>
    <w:rsid w:val="49E44F5F"/>
    <w:rsid w:val="4A717B6B"/>
    <w:rsid w:val="4A986521"/>
    <w:rsid w:val="4AD36F68"/>
    <w:rsid w:val="4ADA6DED"/>
    <w:rsid w:val="4BC16430"/>
    <w:rsid w:val="4BE72D78"/>
    <w:rsid w:val="4BFD54DB"/>
    <w:rsid w:val="4C164FBE"/>
    <w:rsid w:val="4C271A49"/>
    <w:rsid w:val="4C325CE4"/>
    <w:rsid w:val="4C623D84"/>
    <w:rsid w:val="4CDE39A2"/>
    <w:rsid w:val="4CE935CD"/>
    <w:rsid w:val="4CF94C73"/>
    <w:rsid w:val="4DAE7818"/>
    <w:rsid w:val="4DC55A54"/>
    <w:rsid w:val="4DD637A3"/>
    <w:rsid w:val="4DEA0C18"/>
    <w:rsid w:val="4DF60365"/>
    <w:rsid w:val="4E0A79E6"/>
    <w:rsid w:val="4E0D2787"/>
    <w:rsid w:val="4E0D453F"/>
    <w:rsid w:val="4E537D88"/>
    <w:rsid w:val="4E5E2A3C"/>
    <w:rsid w:val="4E7B22CD"/>
    <w:rsid w:val="4ECD27ED"/>
    <w:rsid w:val="4EF179BD"/>
    <w:rsid w:val="4F227A3B"/>
    <w:rsid w:val="4F2B0C9E"/>
    <w:rsid w:val="4F3124AF"/>
    <w:rsid w:val="4FCD0FCF"/>
    <w:rsid w:val="4FDB49B8"/>
    <w:rsid w:val="4FEC07C0"/>
    <w:rsid w:val="4FF35972"/>
    <w:rsid w:val="4FF813ED"/>
    <w:rsid w:val="50043987"/>
    <w:rsid w:val="502F5B05"/>
    <w:rsid w:val="50382367"/>
    <w:rsid w:val="505144B9"/>
    <w:rsid w:val="509960DB"/>
    <w:rsid w:val="50F67A62"/>
    <w:rsid w:val="510E78E7"/>
    <w:rsid w:val="51574F3C"/>
    <w:rsid w:val="51D73B45"/>
    <w:rsid w:val="51F21254"/>
    <w:rsid w:val="523258FE"/>
    <w:rsid w:val="52DF6974"/>
    <w:rsid w:val="53292792"/>
    <w:rsid w:val="53B57275"/>
    <w:rsid w:val="53F20DBB"/>
    <w:rsid w:val="540A2A63"/>
    <w:rsid w:val="545E3EBA"/>
    <w:rsid w:val="54A27FE5"/>
    <w:rsid w:val="54E126EC"/>
    <w:rsid w:val="551A77A3"/>
    <w:rsid w:val="552B71DA"/>
    <w:rsid w:val="55C80ACA"/>
    <w:rsid w:val="55F9355F"/>
    <w:rsid w:val="5606548A"/>
    <w:rsid w:val="561B3BC9"/>
    <w:rsid w:val="564837DC"/>
    <w:rsid w:val="56562CF2"/>
    <w:rsid w:val="56927A26"/>
    <w:rsid w:val="572A016E"/>
    <w:rsid w:val="5730509E"/>
    <w:rsid w:val="573D71DF"/>
    <w:rsid w:val="573E1F05"/>
    <w:rsid w:val="577D0663"/>
    <w:rsid w:val="57AA2B3B"/>
    <w:rsid w:val="57AE734F"/>
    <w:rsid w:val="58236A15"/>
    <w:rsid w:val="583016CC"/>
    <w:rsid w:val="58321EC6"/>
    <w:rsid w:val="58501D07"/>
    <w:rsid w:val="585A3C87"/>
    <w:rsid w:val="58620FD6"/>
    <w:rsid w:val="586757C9"/>
    <w:rsid w:val="58807305"/>
    <w:rsid w:val="58A446B9"/>
    <w:rsid w:val="58DF11CE"/>
    <w:rsid w:val="597C3E85"/>
    <w:rsid w:val="59B30690"/>
    <w:rsid w:val="5A0C7DA1"/>
    <w:rsid w:val="5A2F24DA"/>
    <w:rsid w:val="5ABF28B9"/>
    <w:rsid w:val="5AC22B45"/>
    <w:rsid w:val="5ADD3C34"/>
    <w:rsid w:val="5B24477E"/>
    <w:rsid w:val="5B743E4F"/>
    <w:rsid w:val="5BCA3A6F"/>
    <w:rsid w:val="5D12364D"/>
    <w:rsid w:val="5D5F6EC4"/>
    <w:rsid w:val="5D652999"/>
    <w:rsid w:val="5D6730F6"/>
    <w:rsid w:val="5D8D7C8E"/>
    <w:rsid w:val="5DC61182"/>
    <w:rsid w:val="5DC7052B"/>
    <w:rsid w:val="5DDB3655"/>
    <w:rsid w:val="5E123C25"/>
    <w:rsid w:val="5E2935C7"/>
    <w:rsid w:val="5E515E45"/>
    <w:rsid w:val="5E643D94"/>
    <w:rsid w:val="5E6E14AE"/>
    <w:rsid w:val="5E8748C3"/>
    <w:rsid w:val="5E8819C0"/>
    <w:rsid w:val="5EB43E99"/>
    <w:rsid w:val="5EB54CAB"/>
    <w:rsid w:val="5EC74A26"/>
    <w:rsid w:val="5EDA4E15"/>
    <w:rsid w:val="5EEA182F"/>
    <w:rsid w:val="5EEC4F2C"/>
    <w:rsid w:val="5F137888"/>
    <w:rsid w:val="5F3118C0"/>
    <w:rsid w:val="5F362174"/>
    <w:rsid w:val="5F382F4C"/>
    <w:rsid w:val="5F5652B7"/>
    <w:rsid w:val="5F6C0876"/>
    <w:rsid w:val="5F93061C"/>
    <w:rsid w:val="5FAD15EE"/>
    <w:rsid w:val="60103A97"/>
    <w:rsid w:val="609B14DB"/>
    <w:rsid w:val="60C1328E"/>
    <w:rsid w:val="610C012A"/>
    <w:rsid w:val="61237EB8"/>
    <w:rsid w:val="61312D31"/>
    <w:rsid w:val="61622839"/>
    <w:rsid w:val="61FC3A17"/>
    <w:rsid w:val="623A3232"/>
    <w:rsid w:val="624C3ACF"/>
    <w:rsid w:val="626A1B08"/>
    <w:rsid w:val="629666C7"/>
    <w:rsid w:val="62D81168"/>
    <w:rsid w:val="633C34A4"/>
    <w:rsid w:val="63723E5E"/>
    <w:rsid w:val="63BA64B1"/>
    <w:rsid w:val="63F2576A"/>
    <w:rsid w:val="63FA13F4"/>
    <w:rsid w:val="64232B20"/>
    <w:rsid w:val="64365814"/>
    <w:rsid w:val="64A95D2E"/>
    <w:rsid w:val="64CB312C"/>
    <w:rsid w:val="64DB3FFC"/>
    <w:rsid w:val="64E32783"/>
    <w:rsid w:val="65007F4E"/>
    <w:rsid w:val="65633210"/>
    <w:rsid w:val="6585379C"/>
    <w:rsid w:val="658A3520"/>
    <w:rsid w:val="66072141"/>
    <w:rsid w:val="660C53BA"/>
    <w:rsid w:val="662D4763"/>
    <w:rsid w:val="664513D6"/>
    <w:rsid w:val="664B644A"/>
    <w:rsid w:val="666B09B5"/>
    <w:rsid w:val="66862357"/>
    <w:rsid w:val="66885224"/>
    <w:rsid w:val="66BA43AC"/>
    <w:rsid w:val="67000CC4"/>
    <w:rsid w:val="67236729"/>
    <w:rsid w:val="67397FD4"/>
    <w:rsid w:val="677360E3"/>
    <w:rsid w:val="67F65590"/>
    <w:rsid w:val="68D357B0"/>
    <w:rsid w:val="68E21A43"/>
    <w:rsid w:val="68F669DD"/>
    <w:rsid w:val="690C170A"/>
    <w:rsid w:val="69962BD5"/>
    <w:rsid w:val="69CB7493"/>
    <w:rsid w:val="69D4537F"/>
    <w:rsid w:val="6A365264"/>
    <w:rsid w:val="6AB30BF4"/>
    <w:rsid w:val="6AD0599B"/>
    <w:rsid w:val="6B981DF8"/>
    <w:rsid w:val="6B9D025C"/>
    <w:rsid w:val="6BA75FB6"/>
    <w:rsid w:val="6BCA0C7C"/>
    <w:rsid w:val="6BFE0F28"/>
    <w:rsid w:val="6BFF52D4"/>
    <w:rsid w:val="6C59487A"/>
    <w:rsid w:val="6CDA2501"/>
    <w:rsid w:val="6D202140"/>
    <w:rsid w:val="6D342340"/>
    <w:rsid w:val="6D7D59F8"/>
    <w:rsid w:val="6D9B19E5"/>
    <w:rsid w:val="6E984CF8"/>
    <w:rsid w:val="6F5E0FC0"/>
    <w:rsid w:val="6F6F4E5B"/>
    <w:rsid w:val="6FCD69D4"/>
    <w:rsid w:val="70A80E7F"/>
    <w:rsid w:val="70E241C6"/>
    <w:rsid w:val="71034F30"/>
    <w:rsid w:val="71603DA0"/>
    <w:rsid w:val="722515A8"/>
    <w:rsid w:val="722E2B52"/>
    <w:rsid w:val="728B1D53"/>
    <w:rsid w:val="72991E28"/>
    <w:rsid w:val="72D26514"/>
    <w:rsid w:val="7310706F"/>
    <w:rsid w:val="74564E86"/>
    <w:rsid w:val="74C434B7"/>
    <w:rsid w:val="753D3F57"/>
    <w:rsid w:val="756D573F"/>
    <w:rsid w:val="75BA3232"/>
    <w:rsid w:val="76516289"/>
    <w:rsid w:val="76A16BB3"/>
    <w:rsid w:val="76D10E3F"/>
    <w:rsid w:val="76E35326"/>
    <w:rsid w:val="76EB17F6"/>
    <w:rsid w:val="77390119"/>
    <w:rsid w:val="77747E1D"/>
    <w:rsid w:val="778411AD"/>
    <w:rsid w:val="77901832"/>
    <w:rsid w:val="77AC6648"/>
    <w:rsid w:val="77B9304C"/>
    <w:rsid w:val="78440AD8"/>
    <w:rsid w:val="786B73C0"/>
    <w:rsid w:val="78857573"/>
    <w:rsid w:val="789442E7"/>
    <w:rsid w:val="78E74F63"/>
    <w:rsid w:val="7919382F"/>
    <w:rsid w:val="79652BD2"/>
    <w:rsid w:val="79DD6591"/>
    <w:rsid w:val="79F41288"/>
    <w:rsid w:val="7A634C39"/>
    <w:rsid w:val="7A6B1587"/>
    <w:rsid w:val="7B1E65F5"/>
    <w:rsid w:val="7B9F5272"/>
    <w:rsid w:val="7BBB7C03"/>
    <w:rsid w:val="7C0741E9"/>
    <w:rsid w:val="7C230F73"/>
    <w:rsid w:val="7D1B52B4"/>
    <w:rsid w:val="7D3744CD"/>
    <w:rsid w:val="7D7173A1"/>
    <w:rsid w:val="7DB23C95"/>
    <w:rsid w:val="7E433576"/>
    <w:rsid w:val="7EAF5740"/>
    <w:rsid w:val="7EED3340"/>
    <w:rsid w:val="7F727327"/>
    <w:rsid w:val="7FCB4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58"/>
    <w:qFormat/>
    <w:uiPriority w:val="0"/>
    <w:pPr>
      <w:spacing w:before="340" w:after="330" w:line="360" w:lineRule="auto"/>
      <w:jc w:val="center"/>
      <w:outlineLvl w:val="0"/>
    </w:pPr>
    <w:rPr>
      <w:rFonts w:eastAsia="黑体"/>
      <w:kern w:val="44"/>
      <w:szCs w:val="44"/>
    </w:rPr>
  </w:style>
  <w:style w:type="paragraph" w:styleId="6">
    <w:name w:val="heading 2"/>
    <w:basedOn w:val="4"/>
    <w:next w:val="5"/>
    <w:link w:val="73"/>
    <w:qFormat/>
    <w:uiPriority w:val="0"/>
    <w:pPr>
      <w:adjustRightInd w:val="0"/>
      <w:jc w:val="center"/>
      <w:textAlignment w:val="baseline"/>
      <w:outlineLvl w:val="1"/>
    </w:pPr>
    <w:rPr>
      <w:kern w:val="0"/>
      <w:sz w:val="24"/>
      <w:szCs w:val="20"/>
    </w:rPr>
  </w:style>
  <w:style w:type="paragraph" w:styleId="4">
    <w:name w:val="heading 3"/>
    <w:basedOn w:val="5"/>
    <w:next w:val="1"/>
    <w:link w:val="57"/>
    <w:qFormat/>
    <w:uiPriority w:val="9"/>
    <w:pPr>
      <w:spacing w:before="260" w:after="260" w:line="240" w:lineRule="auto"/>
      <w:outlineLvl w:val="2"/>
    </w:pPr>
    <w:rPr>
      <w:rFonts w:ascii="宋体" w:hAnsi="宋体" w:eastAsia="宋体"/>
      <w:szCs w:val="32"/>
    </w:rPr>
  </w:style>
  <w:style w:type="paragraph" w:styleId="5">
    <w:name w:val="heading 4"/>
    <w:basedOn w:val="1"/>
    <w:next w:val="1"/>
    <w:link w:val="55"/>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2"/>
    <w:qFormat/>
    <w:uiPriority w:val="0"/>
    <w:pPr>
      <w:keepNext/>
      <w:keepLines/>
      <w:spacing w:before="280" w:after="290" w:line="376" w:lineRule="auto"/>
      <w:outlineLvl w:val="4"/>
    </w:pPr>
    <w:rPr>
      <w:b/>
      <w:sz w:val="28"/>
      <w:szCs w:val="20"/>
    </w:rPr>
  </w:style>
  <w:style w:type="paragraph" w:styleId="11">
    <w:name w:val="heading 6"/>
    <w:basedOn w:val="1"/>
    <w:next w:val="8"/>
    <w:link w:val="85"/>
    <w:qFormat/>
    <w:uiPriority w:val="0"/>
    <w:pPr>
      <w:keepNext/>
      <w:keepLines/>
      <w:spacing w:before="240" w:after="64" w:line="320" w:lineRule="auto"/>
      <w:outlineLvl w:val="5"/>
    </w:pPr>
    <w:rPr>
      <w:rFonts w:ascii="Arial" w:hAnsi="Arial" w:eastAsia="黑体"/>
      <w:b/>
      <w:sz w:val="24"/>
      <w:szCs w:val="20"/>
    </w:rPr>
  </w:style>
  <w:style w:type="paragraph" w:styleId="12">
    <w:name w:val="heading 7"/>
    <w:basedOn w:val="1"/>
    <w:next w:val="8"/>
    <w:link w:val="86"/>
    <w:qFormat/>
    <w:uiPriority w:val="0"/>
    <w:pPr>
      <w:keepNext/>
      <w:keepLines/>
      <w:spacing w:before="240" w:after="64" w:line="320" w:lineRule="auto"/>
      <w:outlineLvl w:val="6"/>
    </w:pPr>
    <w:rPr>
      <w:b/>
      <w:sz w:val="24"/>
      <w:szCs w:val="20"/>
    </w:rPr>
  </w:style>
  <w:style w:type="paragraph" w:styleId="13">
    <w:name w:val="heading 8"/>
    <w:basedOn w:val="1"/>
    <w:next w:val="8"/>
    <w:link w:val="87"/>
    <w:qFormat/>
    <w:uiPriority w:val="0"/>
    <w:pPr>
      <w:keepNext/>
      <w:keepLines/>
      <w:spacing w:before="240" w:after="64" w:line="320" w:lineRule="auto"/>
      <w:outlineLvl w:val="7"/>
    </w:pPr>
    <w:rPr>
      <w:rFonts w:ascii="Arial" w:hAnsi="Arial" w:eastAsia="黑体"/>
      <w:sz w:val="24"/>
      <w:szCs w:val="20"/>
    </w:rPr>
  </w:style>
  <w:style w:type="paragraph" w:styleId="14">
    <w:name w:val="heading 9"/>
    <w:basedOn w:val="1"/>
    <w:next w:val="8"/>
    <w:link w:val="88"/>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8">
    <w:name w:val="Normal Indent"/>
    <w:basedOn w:val="1"/>
    <w:next w:val="9"/>
    <w:link w:val="59"/>
    <w:qFormat/>
    <w:uiPriority w:val="0"/>
    <w:pPr>
      <w:ind w:firstLine="420"/>
    </w:pPr>
    <w:rPr>
      <w:szCs w:val="20"/>
    </w:rPr>
  </w:style>
  <w:style w:type="paragraph" w:styleId="9">
    <w:name w:val="Body Text"/>
    <w:basedOn w:val="1"/>
    <w:next w:val="10"/>
    <w:link w:val="94"/>
    <w:qFormat/>
    <w:uiPriority w:val="0"/>
    <w:pPr>
      <w:spacing w:line="360" w:lineRule="auto"/>
    </w:pPr>
    <w:rPr>
      <w:b/>
      <w:bCs/>
      <w:sz w:val="24"/>
    </w:rPr>
  </w:style>
  <w:style w:type="paragraph" w:styleId="10">
    <w:name w:val="Quote"/>
    <w:next w:val="1"/>
    <w:link w:val="440"/>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15">
    <w:name w:val="toc 7"/>
    <w:basedOn w:val="1"/>
    <w:next w:val="1"/>
    <w:semiHidden/>
    <w:qFormat/>
    <w:uiPriority w:val="0"/>
    <w:pPr>
      <w:ind w:left="1260"/>
      <w:jc w:val="left"/>
    </w:pPr>
    <w:rPr>
      <w:szCs w:val="21"/>
    </w:rPr>
  </w:style>
  <w:style w:type="paragraph" w:styleId="16">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7">
    <w:name w:val="List Bullet"/>
    <w:basedOn w:val="1"/>
    <w:qFormat/>
    <w:uiPriority w:val="0"/>
    <w:pPr>
      <w:numPr>
        <w:ilvl w:val="0"/>
        <w:numId w:val="1"/>
      </w:numPr>
    </w:pPr>
    <w:rPr>
      <w:szCs w:val="20"/>
    </w:rPr>
  </w:style>
  <w:style w:type="paragraph" w:styleId="18">
    <w:name w:val="Document Map"/>
    <w:basedOn w:val="1"/>
    <w:semiHidden/>
    <w:qFormat/>
    <w:uiPriority w:val="0"/>
    <w:pPr>
      <w:shd w:val="clear" w:color="auto" w:fill="000080"/>
    </w:pPr>
  </w:style>
  <w:style w:type="paragraph" w:styleId="19">
    <w:name w:val="annotation text"/>
    <w:basedOn w:val="1"/>
    <w:link w:val="186"/>
    <w:semiHidden/>
    <w:qFormat/>
    <w:uiPriority w:val="99"/>
    <w:pPr>
      <w:autoSpaceDE w:val="0"/>
      <w:autoSpaceDN w:val="0"/>
      <w:adjustRightInd w:val="0"/>
      <w:jc w:val="left"/>
      <w:textAlignment w:val="baseline"/>
    </w:pPr>
    <w:rPr>
      <w:rFonts w:ascii="宋体"/>
      <w:kern w:val="0"/>
      <w:sz w:val="34"/>
      <w:szCs w:val="20"/>
    </w:rPr>
  </w:style>
  <w:style w:type="paragraph" w:styleId="20">
    <w:name w:val="Body Text 3"/>
    <w:basedOn w:val="1"/>
    <w:link w:val="100"/>
    <w:qFormat/>
    <w:uiPriority w:val="0"/>
    <w:pPr>
      <w:spacing w:after="120"/>
    </w:pPr>
    <w:rPr>
      <w:sz w:val="16"/>
      <w:szCs w:val="16"/>
    </w:rPr>
  </w:style>
  <w:style w:type="paragraph" w:styleId="21">
    <w:name w:val="Body Text Indent"/>
    <w:basedOn w:val="1"/>
    <w:link w:val="81"/>
    <w:qFormat/>
    <w:uiPriority w:val="0"/>
    <w:pPr>
      <w:spacing w:line="360" w:lineRule="auto"/>
      <w:ind w:firstLine="420" w:firstLineChars="200"/>
    </w:pPr>
  </w:style>
  <w:style w:type="paragraph" w:styleId="22">
    <w:name w:val="toc 5"/>
    <w:basedOn w:val="1"/>
    <w:next w:val="1"/>
    <w:semiHidden/>
    <w:qFormat/>
    <w:uiPriority w:val="0"/>
    <w:pPr>
      <w:ind w:left="840"/>
      <w:jc w:val="left"/>
    </w:pPr>
    <w:rPr>
      <w:szCs w:val="21"/>
    </w:rPr>
  </w:style>
  <w:style w:type="paragraph" w:styleId="23">
    <w:name w:val="toc 3"/>
    <w:basedOn w:val="1"/>
    <w:next w:val="1"/>
    <w:semiHidden/>
    <w:qFormat/>
    <w:uiPriority w:val="0"/>
    <w:pPr>
      <w:ind w:left="420"/>
      <w:jc w:val="left"/>
    </w:pPr>
    <w:rPr>
      <w:i/>
      <w:iCs/>
    </w:rPr>
  </w:style>
  <w:style w:type="paragraph" w:styleId="24">
    <w:name w:val="Plain Text"/>
    <w:basedOn w:val="1"/>
    <w:link w:val="92"/>
    <w:qFormat/>
    <w:uiPriority w:val="0"/>
    <w:rPr>
      <w:rFonts w:ascii="宋体" w:hAnsi="Courier New"/>
      <w:szCs w:val="20"/>
    </w:rPr>
  </w:style>
  <w:style w:type="paragraph" w:styleId="25">
    <w:name w:val="toc 8"/>
    <w:basedOn w:val="1"/>
    <w:next w:val="1"/>
    <w:semiHidden/>
    <w:qFormat/>
    <w:uiPriority w:val="0"/>
    <w:pPr>
      <w:ind w:left="1470"/>
      <w:jc w:val="left"/>
    </w:pPr>
    <w:rPr>
      <w:szCs w:val="21"/>
    </w:rPr>
  </w:style>
  <w:style w:type="paragraph" w:styleId="26">
    <w:name w:val="Date"/>
    <w:basedOn w:val="1"/>
    <w:next w:val="1"/>
    <w:link w:val="90"/>
    <w:qFormat/>
    <w:uiPriority w:val="0"/>
    <w:rPr>
      <w:rFonts w:ascii="宋体" w:hAnsi="Courier New"/>
      <w:sz w:val="32"/>
      <w:szCs w:val="20"/>
    </w:rPr>
  </w:style>
  <w:style w:type="paragraph" w:styleId="27">
    <w:name w:val="Body Text Indent 2"/>
    <w:basedOn w:val="1"/>
    <w:link w:val="95"/>
    <w:qFormat/>
    <w:uiPriority w:val="0"/>
    <w:pPr>
      <w:spacing w:beforeLines="50" w:afterLines="50" w:line="120" w:lineRule="auto"/>
      <w:ind w:firstLine="840" w:firstLineChars="400"/>
      <w:jc w:val="left"/>
    </w:pPr>
    <w:rPr>
      <w:rFonts w:ascii="宋体" w:hAnsi="宋体"/>
    </w:rPr>
  </w:style>
  <w:style w:type="paragraph" w:styleId="28">
    <w:name w:val="Balloon Text"/>
    <w:basedOn w:val="1"/>
    <w:link w:val="101"/>
    <w:semiHidden/>
    <w:qFormat/>
    <w:uiPriority w:val="99"/>
    <w:rPr>
      <w:sz w:val="18"/>
      <w:szCs w:val="18"/>
    </w:rPr>
  </w:style>
  <w:style w:type="paragraph" w:styleId="29">
    <w:name w:val="footer"/>
    <w:basedOn w:val="1"/>
    <w:link w:val="99"/>
    <w:qFormat/>
    <w:uiPriority w:val="0"/>
    <w:pPr>
      <w:tabs>
        <w:tab w:val="center" w:pos="4153"/>
        <w:tab w:val="right" w:pos="8306"/>
      </w:tabs>
      <w:snapToGrid w:val="0"/>
      <w:jc w:val="left"/>
    </w:pPr>
    <w:rPr>
      <w:sz w:val="18"/>
      <w:szCs w:val="18"/>
    </w:rPr>
  </w:style>
  <w:style w:type="paragraph" w:styleId="30">
    <w:name w:val="header"/>
    <w:basedOn w:val="1"/>
    <w:link w:val="96"/>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rPr>
  </w:style>
  <w:style w:type="paragraph" w:styleId="32">
    <w:name w:val="toc 4"/>
    <w:basedOn w:val="1"/>
    <w:next w:val="1"/>
    <w:semiHidden/>
    <w:qFormat/>
    <w:uiPriority w:val="0"/>
    <w:pPr>
      <w:ind w:left="630"/>
      <w:jc w:val="left"/>
    </w:pPr>
    <w:rPr>
      <w:szCs w:val="21"/>
    </w:rPr>
  </w:style>
  <w:style w:type="paragraph" w:styleId="33">
    <w:name w:val="Subtitle"/>
    <w:next w:val="1"/>
    <w:link w:val="311"/>
    <w:qFormat/>
    <w:uiPriority w:val="0"/>
    <w:pPr>
      <w:wordWrap w:val="0"/>
      <w:spacing w:after="60"/>
      <w:jc w:val="center"/>
    </w:pPr>
    <w:rPr>
      <w:rFonts w:ascii="Calibri" w:hAnsi="Calibri" w:eastAsia="宋体" w:cs="Times New Roman"/>
      <w:sz w:val="24"/>
      <w:lang w:val="en-US" w:eastAsia="zh-CN" w:bidi="ar-SA"/>
    </w:rPr>
  </w:style>
  <w:style w:type="paragraph" w:styleId="34">
    <w:name w:val="toc 6"/>
    <w:basedOn w:val="1"/>
    <w:next w:val="1"/>
    <w:semiHidden/>
    <w:qFormat/>
    <w:uiPriority w:val="0"/>
    <w:pPr>
      <w:ind w:left="1050"/>
      <w:jc w:val="left"/>
    </w:pPr>
    <w:rPr>
      <w:szCs w:val="21"/>
    </w:rPr>
  </w:style>
  <w:style w:type="paragraph" w:styleId="35">
    <w:name w:val="Body Text Indent 3"/>
    <w:basedOn w:val="1"/>
    <w:link w:val="97"/>
    <w:qFormat/>
    <w:uiPriority w:val="0"/>
    <w:pPr>
      <w:spacing w:line="360" w:lineRule="auto"/>
      <w:ind w:firstLine="482" w:firstLineChars="200"/>
    </w:pPr>
    <w:rPr>
      <w:rFonts w:ascii="宋体"/>
      <w:b/>
      <w:bCs/>
      <w:sz w:val="24"/>
    </w:rPr>
  </w:style>
  <w:style w:type="paragraph" w:styleId="36">
    <w:name w:val="toc 2"/>
    <w:basedOn w:val="1"/>
    <w:next w:val="1"/>
    <w:semiHidden/>
    <w:qFormat/>
    <w:uiPriority w:val="0"/>
    <w:pPr>
      <w:tabs>
        <w:tab w:val="right" w:leader="dot" w:pos="8296"/>
      </w:tabs>
      <w:ind w:left="210"/>
      <w:jc w:val="left"/>
    </w:pPr>
    <w:rPr>
      <w:smallCaps/>
    </w:rPr>
  </w:style>
  <w:style w:type="paragraph" w:styleId="37">
    <w:name w:val="toc 9"/>
    <w:basedOn w:val="1"/>
    <w:next w:val="1"/>
    <w:semiHidden/>
    <w:qFormat/>
    <w:uiPriority w:val="0"/>
    <w:pPr>
      <w:ind w:left="1680"/>
      <w:jc w:val="left"/>
    </w:pPr>
    <w:rPr>
      <w:szCs w:val="21"/>
    </w:rPr>
  </w:style>
  <w:style w:type="paragraph" w:styleId="38">
    <w:name w:val="Body Text 2"/>
    <w:basedOn w:val="1"/>
    <w:link w:val="98"/>
    <w:qFormat/>
    <w:uiPriority w:val="0"/>
    <w:pPr>
      <w:spacing w:line="360" w:lineRule="auto"/>
    </w:pPr>
    <w:rPr>
      <w:sz w:val="24"/>
    </w:rPr>
  </w:style>
  <w:style w:type="paragraph" w:styleId="39">
    <w:name w:val="HTML Preformatted"/>
    <w:basedOn w:val="1"/>
    <w:link w:val="9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40">
    <w:name w:val="Normal (Web)"/>
    <w:basedOn w:val="1"/>
    <w:qFormat/>
    <w:uiPriority w:val="99"/>
    <w:pPr>
      <w:spacing w:beforeAutospacing="1" w:afterAutospacing="1"/>
      <w:jc w:val="left"/>
    </w:pPr>
    <w:rPr>
      <w:kern w:val="0"/>
      <w:sz w:val="24"/>
    </w:rPr>
  </w:style>
  <w:style w:type="paragraph" w:styleId="41">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2">
    <w:name w:val="Title"/>
    <w:basedOn w:val="1"/>
    <w:next w:val="1"/>
    <w:link w:val="89"/>
    <w:qFormat/>
    <w:uiPriority w:val="0"/>
    <w:pPr>
      <w:spacing w:before="240" w:after="60"/>
      <w:jc w:val="center"/>
      <w:outlineLvl w:val="0"/>
    </w:pPr>
    <w:rPr>
      <w:rFonts w:ascii="Arial" w:hAnsi="Arial" w:eastAsia="隶书" w:cs="Arial"/>
      <w:b/>
      <w:bCs/>
      <w:sz w:val="32"/>
      <w:szCs w:val="32"/>
    </w:rPr>
  </w:style>
  <w:style w:type="paragraph" w:styleId="43">
    <w:name w:val="annotation subject"/>
    <w:basedOn w:val="19"/>
    <w:next w:val="19"/>
    <w:link w:val="187"/>
    <w:qFormat/>
    <w:uiPriority w:val="99"/>
    <w:pPr>
      <w:autoSpaceDE/>
      <w:autoSpaceDN/>
      <w:adjustRightInd/>
      <w:textAlignment w:val="auto"/>
    </w:pPr>
    <w:rPr>
      <w:rFonts w:ascii="Times New Roman"/>
      <w:b/>
      <w:bCs/>
      <w:kern w:val="2"/>
      <w:sz w:val="21"/>
      <w:szCs w:val="24"/>
    </w:rPr>
  </w:style>
  <w:style w:type="paragraph" w:styleId="44">
    <w:name w:val="Body Text First Indent"/>
    <w:basedOn w:val="9"/>
    <w:link w:val="132"/>
    <w:qFormat/>
    <w:uiPriority w:val="0"/>
    <w:pPr>
      <w:spacing w:after="120" w:line="240" w:lineRule="auto"/>
      <w:ind w:firstLine="420" w:firstLineChars="100"/>
    </w:pPr>
    <w:rPr>
      <w:sz w:val="21"/>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7">
    <w:name w:val="Table Elegant"/>
    <w:basedOn w:val="45"/>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basedOn w:val="48"/>
    <w:qFormat/>
    <w:uiPriority w:val="0"/>
    <w:rPr>
      <w:sz w:val="20"/>
    </w:rPr>
  </w:style>
  <w:style w:type="character" w:styleId="53">
    <w:name w:val="Hyperlink"/>
    <w:qFormat/>
    <w:uiPriority w:val="0"/>
    <w:rPr>
      <w:color w:val="0000FF"/>
      <w:u w:val="single"/>
    </w:rPr>
  </w:style>
  <w:style w:type="character" w:styleId="54">
    <w:name w:val="annotation reference"/>
    <w:basedOn w:val="48"/>
    <w:qFormat/>
    <w:uiPriority w:val="99"/>
    <w:rPr>
      <w:sz w:val="21"/>
      <w:szCs w:val="21"/>
    </w:rPr>
  </w:style>
  <w:style w:type="character" w:customStyle="1" w:styleId="55">
    <w:name w:val="标题 4 Char"/>
    <w:link w:val="5"/>
    <w:qFormat/>
    <w:uiPriority w:val="9"/>
    <w:rPr>
      <w:rFonts w:ascii="Arial" w:hAnsi="Arial" w:eastAsia="黑体"/>
      <w:b/>
      <w:bCs/>
      <w:kern w:val="2"/>
      <w:sz w:val="28"/>
      <w:szCs w:val="28"/>
      <w:lang w:val="en-US" w:eastAsia="zh-CN" w:bidi="ar-SA"/>
    </w:rPr>
  </w:style>
  <w:style w:type="paragraph" w:customStyle="1" w:styleId="5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7">
    <w:name w:val="标题 3 Char1"/>
    <w:link w:val="4"/>
    <w:qFormat/>
    <w:uiPriority w:val="9"/>
    <w:rPr>
      <w:rFonts w:ascii="宋体" w:hAnsi="宋体" w:eastAsia="宋体"/>
      <w:b/>
      <w:bCs/>
      <w:kern w:val="2"/>
      <w:sz w:val="28"/>
      <w:szCs w:val="32"/>
      <w:lang w:val="en-US" w:eastAsia="zh-CN" w:bidi="ar-SA"/>
    </w:rPr>
  </w:style>
  <w:style w:type="character" w:customStyle="1" w:styleId="58">
    <w:name w:val="标题 1 Char"/>
    <w:link w:val="3"/>
    <w:qFormat/>
    <w:uiPriority w:val="0"/>
    <w:rPr>
      <w:rFonts w:ascii="宋体" w:hAnsi="宋体" w:eastAsia="黑体"/>
      <w:b/>
      <w:bCs/>
      <w:kern w:val="44"/>
      <w:sz w:val="28"/>
      <w:szCs w:val="44"/>
      <w:lang w:val="en-US" w:eastAsia="zh-CN" w:bidi="ar-SA"/>
    </w:rPr>
  </w:style>
  <w:style w:type="character" w:customStyle="1" w:styleId="59">
    <w:name w:val="正文缩进 Char"/>
    <w:link w:val="8"/>
    <w:qFormat/>
    <w:uiPriority w:val="0"/>
    <w:rPr>
      <w:rFonts w:eastAsia="宋体"/>
      <w:kern w:val="2"/>
      <w:sz w:val="21"/>
      <w:lang w:val="en-US" w:eastAsia="zh-CN" w:bidi="ar-SA"/>
    </w:rPr>
  </w:style>
  <w:style w:type="character" w:customStyle="1" w:styleId="60">
    <w:name w:val="标题 3 Char"/>
    <w:qFormat/>
    <w:uiPriority w:val="0"/>
    <w:rPr>
      <w:rFonts w:ascii="黑体" w:eastAsia="黑体"/>
      <w:bCs/>
      <w:sz w:val="30"/>
    </w:rPr>
  </w:style>
  <w:style w:type="paragraph" w:customStyle="1" w:styleId="61">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2">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3">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8">
    <w:name w:val="自定义正文"/>
    <w:basedOn w:val="1"/>
    <w:qFormat/>
    <w:uiPriority w:val="0"/>
    <w:pPr>
      <w:spacing w:afterLines="50"/>
      <w:ind w:left="600" w:leftChars="600"/>
    </w:pPr>
  </w:style>
  <w:style w:type="paragraph" w:customStyle="1" w:styleId="69">
    <w:name w:val="Char Char Char Char Char"/>
    <w:basedOn w:val="1"/>
    <w:qFormat/>
    <w:uiPriority w:val="0"/>
    <w:rPr>
      <w:rFonts w:ascii="Tahoma" w:hAnsi="Tahoma"/>
      <w:sz w:val="24"/>
      <w:szCs w:val="20"/>
    </w:rPr>
  </w:style>
  <w:style w:type="paragraph" w:customStyle="1" w:styleId="70">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1">
    <w:name w:val="Char Char"/>
    <w:basedOn w:val="1"/>
    <w:qFormat/>
    <w:uiPriority w:val="0"/>
    <w:rPr>
      <w:rFonts w:ascii="Tahoma" w:hAnsi="Tahoma"/>
      <w:sz w:val="24"/>
      <w:szCs w:val="20"/>
    </w:rPr>
  </w:style>
  <w:style w:type="paragraph" w:customStyle="1" w:styleId="72">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3">
    <w:name w:val="标题 2 Char"/>
    <w:link w:val="6"/>
    <w:qFormat/>
    <w:uiPriority w:val="0"/>
    <w:rPr>
      <w:rFonts w:ascii="宋体" w:hAnsi="宋体" w:eastAsia="宋体"/>
      <w:b/>
      <w:bCs/>
      <w:sz w:val="24"/>
      <w:lang w:val="en-US" w:eastAsia="zh-CN" w:bidi="ar-SA"/>
    </w:rPr>
  </w:style>
  <w:style w:type="paragraph" w:customStyle="1" w:styleId="7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5">
    <w:name w:val="List Paragraph"/>
    <w:basedOn w:val="1"/>
    <w:qFormat/>
    <w:uiPriority w:val="0"/>
    <w:pPr>
      <w:ind w:firstLine="420" w:firstLineChars="200"/>
    </w:pPr>
    <w:rPr>
      <w:rFonts w:ascii="Calibri" w:hAnsi="Calibri"/>
      <w:szCs w:val="22"/>
    </w:rPr>
  </w:style>
  <w:style w:type="paragraph" w:customStyle="1" w:styleId="76">
    <w:name w:val="USE 1"/>
    <w:basedOn w:val="1"/>
    <w:qFormat/>
    <w:uiPriority w:val="0"/>
    <w:pPr>
      <w:spacing w:line="200" w:lineRule="atLeast"/>
      <w:jc w:val="left"/>
    </w:pPr>
    <w:rPr>
      <w:rFonts w:ascii="宋体" w:hAnsi="宋体"/>
      <w:b/>
      <w:sz w:val="24"/>
      <w:szCs w:val="28"/>
    </w:rPr>
  </w:style>
  <w:style w:type="paragraph" w:customStyle="1" w:styleId="77">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8">
    <w:name w:val="正文文字缩进项目"/>
    <w:basedOn w:val="21"/>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9">
    <w:name w:val="样式 标题 2 + 段前: 13 磅 段后: 13 磅 行距: 单倍行距"/>
    <w:basedOn w:val="6"/>
    <w:qFormat/>
    <w:uiPriority w:val="0"/>
    <w:pPr>
      <w:adjustRightInd/>
      <w:spacing w:before="0" w:after="0"/>
      <w:jc w:val="both"/>
      <w:textAlignment w:val="auto"/>
    </w:pPr>
    <w:rPr>
      <w:rFonts w:ascii="Cambria" w:hAnsi="Cambria" w:cs="宋体"/>
      <w:kern w:val="2"/>
      <w:sz w:val="32"/>
    </w:rPr>
  </w:style>
  <w:style w:type="character" w:customStyle="1" w:styleId="80">
    <w:name w:val="H4 Char2"/>
    <w:qFormat/>
    <w:uiPriority w:val="0"/>
    <w:rPr>
      <w:rFonts w:ascii="Arial" w:hAnsi="Arial" w:eastAsia="黑体"/>
      <w:b/>
      <w:bCs/>
      <w:kern w:val="2"/>
      <w:sz w:val="28"/>
      <w:szCs w:val="28"/>
      <w:lang w:val="en-US" w:eastAsia="zh-CN" w:bidi="ar-SA"/>
    </w:rPr>
  </w:style>
  <w:style w:type="character" w:customStyle="1" w:styleId="81">
    <w:name w:val="正文文本缩进 Char"/>
    <w:link w:val="21"/>
    <w:qFormat/>
    <w:uiPriority w:val="0"/>
    <w:rPr>
      <w:rFonts w:eastAsia="宋体"/>
      <w:kern w:val="2"/>
      <w:sz w:val="21"/>
      <w:szCs w:val="24"/>
      <w:lang w:val="en-US" w:eastAsia="zh-CN" w:bidi="ar-SA"/>
    </w:rPr>
  </w:style>
  <w:style w:type="character" w:customStyle="1" w:styleId="82">
    <w:name w:val="标题 5 Char"/>
    <w:link w:val="7"/>
    <w:qFormat/>
    <w:uiPriority w:val="0"/>
    <w:rPr>
      <w:rFonts w:eastAsia="宋体"/>
      <w:b/>
      <w:kern w:val="2"/>
      <w:sz w:val="28"/>
      <w:lang w:val="en-US" w:eastAsia="zh-CN" w:bidi="ar-SA"/>
    </w:rPr>
  </w:style>
  <w:style w:type="character" w:customStyle="1" w:styleId="83">
    <w:name w:val="第*章 Char"/>
    <w:qFormat/>
    <w:uiPriority w:val="0"/>
    <w:rPr>
      <w:rFonts w:ascii="Arial" w:hAnsi="Arial" w:eastAsia="黑体"/>
      <w:b/>
      <w:bCs/>
      <w:kern w:val="2"/>
      <w:sz w:val="32"/>
      <w:szCs w:val="32"/>
    </w:rPr>
  </w:style>
  <w:style w:type="character" w:customStyle="1" w:styleId="84">
    <w:name w:val="章标题1 Char"/>
    <w:qFormat/>
    <w:uiPriority w:val="0"/>
    <w:rPr>
      <w:rFonts w:eastAsia="宋体"/>
      <w:b/>
      <w:bCs/>
      <w:kern w:val="2"/>
      <w:sz w:val="32"/>
      <w:szCs w:val="32"/>
      <w:lang w:val="en-US" w:eastAsia="zh-CN" w:bidi="ar-SA"/>
    </w:rPr>
  </w:style>
  <w:style w:type="character" w:customStyle="1" w:styleId="85">
    <w:name w:val="标题 6 Char"/>
    <w:link w:val="11"/>
    <w:qFormat/>
    <w:uiPriority w:val="0"/>
    <w:rPr>
      <w:rFonts w:ascii="Arial" w:hAnsi="Arial" w:eastAsia="黑体"/>
      <w:b/>
      <w:kern w:val="2"/>
      <w:sz w:val="24"/>
      <w:lang w:val="en-US" w:eastAsia="zh-CN" w:bidi="ar-SA"/>
    </w:rPr>
  </w:style>
  <w:style w:type="character" w:customStyle="1" w:styleId="86">
    <w:name w:val="标题 7 Char"/>
    <w:link w:val="12"/>
    <w:qFormat/>
    <w:uiPriority w:val="0"/>
    <w:rPr>
      <w:rFonts w:eastAsia="宋体"/>
      <w:b/>
      <w:kern w:val="2"/>
      <w:sz w:val="24"/>
      <w:lang w:val="en-US" w:eastAsia="zh-CN" w:bidi="ar-SA"/>
    </w:rPr>
  </w:style>
  <w:style w:type="character" w:customStyle="1" w:styleId="87">
    <w:name w:val="标题 8 Char"/>
    <w:link w:val="13"/>
    <w:qFormat/>
    <w:uiPriority w:val="0"/>
    <w:rPr>
      <w:rFonts w:ascii="Arial" w:hAnsi="Arial" w:eastAsia="黑体"/>
      <w:kern w:val="2"/>
      <w:sz w:val="24"/>
      <w:lang w:val="en-US" w:eastAsia="zh-CN" w:bidi="ar-SA"/>
    </w:rPr>
  </w:style>
  <w:style w:type="character" w:customStyle="1" w:styleId="88">
    <w:name w:val="标题 9 Char"/>
    <w:link w:val="14"/>
    <w:qFormat/>
    <w:uiPriority w:val="0"/>
    <w:rPr>
      <w:rFonts w:ascii="Arial" w:hAnsi="Arial" w:eastAsia="黑体"/>
      <w:kern w:val="2"/>
      <w:sz w:val="21"/>
      <w:lang w:val="en-US" w:eastAsia="zh-CN" w:bidi="ar-SA"/>
    </w:rPr>
  </w:style>
  <w:style w:type="character" w:customStyle="1" w:styleId="89">
    <w:name w:val="标题 Char"/>
    <w:link w:val="42"/>
    <w:qFormat/>
    <w:uiPriority w:val="0"/>
    <w:rPr>
      <w:rFonts w:ascii="Arial" w:hAnsi="Arial" w:eastAsia="隶书" w:cs="Arial"/>
      <w:b/>
      <w:bCs/>
      <w:kern w:val="2"/>
      <w:sz w:val="32"/>
      <w:szCs w:val="32"/>
      <w:lang w:val="en-US" w:eastAsia="zh-CN" w:bidi="ar-SA"/>
    </w:rPr>
  </w:style>
  <w:style w:type="character" w:customStyle="1" w:styleId="90">
    <w:name w:val="日期 Char"/>
    <w:link w:val="26"/>
    <w:qFormat/>
    <w:uiPriority w:val="0"/>
    <w:rPr>
      <w:rFonts w:ascii="宋体" w:hAnsi="Courier New" w:eastAsia="宋体"/>
      <w:kern w:val="2"/>
      <w:sz w:val="32"/>
      <w:lang w:val="en-US" w:eastAsia="zh-CN" w:bidi="ar-SA"/>
    </w:rPr>
  </w:style>
  <w:style w:type="character" w:customStyle="1" w:styleId="91">
    <w:name w:val="HTML 预设格式 Char"/>
    <w:link w:val="39"/>
    <w:qFormat/>
    <w:uiPriority w:val="0"/>
    <w:rPr>
      <w:rFonts w:ascii="Arial Unicode MS" w:hAnsi="Arial Unicode MS" w:eastAsia="Arial Unicode MS"/>
      <w:color w:val="000000"/>
      <w:lang w:val="en-US" w:eastAsia="zh-CN" w:bidi="ar-SA"/>
    </w:rPr>
  </w:style>
  <w:style w:type="character" w:customStyle="1" w:styleId="92">
    <w:name w:val="纯文本 Char"/>
    <w:link w:val="24"/>
    <w:qFormat/>
    <w:uiPriority w:val="0"/>
    <w:rPr>
      <w:rFonts w:ascii="宋体" w:hAnsi="Courier New" w:eastAsia="宋体"/>
      <w:kern w:val="2"/>
      <w:sz w:val="21"/>
      <w:lang w:val="en-US" w:eastAsia="zh-CN" w:bidi="ar-SA"/>
    </w:rPr>
  </w:style>
  <w:style w:type="character" w:customStyle="1" w:styleId="93">
    <w:name w:val="正文文字首行缩进 Char"/>
    <w:qFormat/>
    <w:uiPriority w:val="0"/>
    <w:rPr>
      <w:kern w:val="2"/>
      <w:sz w:val="21"/>
      <w:szCs w:val="24"/>
    </w:rPr>
  </w:style>
  <w:style w:type="character" w:customStyle="1" w:styleId="94">
    <w:name w:val="正文文本 Char"/>
    <w:link w:val="9"/>
    <w:qFormat/>
    <w:uiPriority w:val="0"/>
    <w:rPr>
      <w:rFonts w:eastAsia="宋体"/>
      <w:b/>
      <w:bCs/>
      <w:kern w:val="2"/>
      <w:sz w:val="24"/>
      <w:szCs w:val="24"/>
      <w:lang w:val="en-US" w:eastAsia="zh-CN" w:bidi="ar-SA"/>
    </w:rPr>
  </w:style>
  <w:style w:type="character" w:customStyle="1" w:styleId="95">
    <w:name w:val="正文文本缩进 2 Char"/>
    <w:link w:val="27"/>
    <w:qFormat/>
    <w:uiPriority w:val="0"/>
    <w:rPr>
      <w:rFonts w:ascii="宋体" w:hAnsi="宋体" w:eastAsia="宋体"/>
      <w:kern w:val="2"/>
      <w:sz w:val="21"/>
      <w:szCs w:val="24"/>
      <w:lang w:val="en-US" w:eastAsia="zh-CN" w:bidi="ar-SA"/>
    </w:rPr>
  </w:style>
  <w:style w:type="character" w:customStyle="1" w:styleId="96">
    <w:name w:val="页眉 Char"/>
    <w:link w:val="30"/>
    <w:qFormat/>
    <w:uiPriority w:val="99"/>
    <w:rPr>
      <w:rFonts w:eastAsia="宋体"/>
      <w:kern w:val="2"/>
      <w:sz w:val="18"/>
      <w:szCs w:val="18"/>
      <w:lang w:val="en-US" w:eastAsia="zh-CN" w:bidi="ar-SA"/>
    </w:rPr>
  </w:style>
  <w:style w:type="character" w:customStyle="1" w:styleId="97">
    <w:name w:val="正文文本缩进 3 Char"/>
    <w:link w:val="35"/>
    <w:qFormat/>
    <w:uiPriority w:val="0"/>
    <w:rPr>
      <w:rFonts w:ascii="宋体" w:eastAsia="宋体"/>
      <w:b/>
      <w:bCs/>
      <w:kern w:val="2"/>
      <w:sz w:val="24"/>
      <w:szCs w:val="24"/>
      <w:lang w:val="en-US" w:eastAsia="zh-CN" w:bidi="ar-SA"/>
    </w:rPr>
  </w:style>
  <w:style w:type="character" w:customStyle="1" w:styleId="98">
    <w:name w:val="正文文本 2 Char"/>
    <w:link w:val="38"/>
    <w:qFormat/>
    <w:uiPriority w:val="0"/>
    <w:rPr>
      <w:rFonts w:eastAsia="宋体"/>
      <w:kern w:val="2"/>
      <w:sz w:val="24"/>
      <w:szCs w:val="24"/>
      <w:lang w:val="en-US" w:eastAsia="zh-CN" w:bidi="ar-SA"/>
    </w:rPr>
  </w:style>
  <w:style w:type="character" w:customStyle="1" w:styleId="99">
    <w:name w:val="页脚 Char"/>
    <w:link w:val="29"/>
    <w:qFormat/>
    <w:uiPriority w:val="0"/>
    <w:rPr>
      <w:rFonts w:eastAsia="宋体"/>
      <w:kern w:val="2"/>
      <w:sz w:val="18"/>
      <w:szCs w:val="18"/>
      <w:lang w:val="en-US" w:eastAsia="zh-CN" w:bidi="ar-SA"/>
    </w:rPr>
  </w:style>
  <w:style w:type="character" w:customStyle="1" w:styleId="100">
    <w:name w:val="正文文本 3 Char"/>
    <w:link w:val="20"/>
    <w:qFormat/>
    <w:uiPriority w:val="0"/>
    <w:rPr>
      <w:rFonts w:eastAsia="宋体"/>
      <w:kern w:val="2"/>
      <w:sz w:val="16"/>
      <w:szCs w:val="16"/>
      <w:lang w:val="en-US" w:eastAsia="zh-CN" w:bidi="ar-SA"/>
    </w:rPr>
  </w:style>
  <w:style w:type="character" w:customStyle="1" w:styleId="101">
    <w:name w:val="批注框文本 Char"/>
    <w:link w:val="28"/>
    <w:semiHidden/>
    <w:qFormat/>
    <w:uiPriority w:val="99"/>
    <w:rPr>
      <w:rFonts w:eastAsia="宋体"/>
      <w:kern w:val="2"/>
      <w:sz w:val="18"/>
      <w:szCs w:val="18"/>
      <w:lang w:val="en-US" w:eastAsia="zh-CN" w:bidi="ar-SA"/>
    </w:rPr>
  </w:style>
  <w:style w:type="paragraph" w:customStyle="1" w:styleId="102">
    <w:name w:val="样式1"/>
    <w:basedOn w:val="42"/>
    <w:qFormat/>
    <w:uiPriority w:val="0"/>
    <w:pPr>
      <w:spacing w:before="120" w:after="120"/>
    </w:pPr>
    <w:rPr>
      <w:rFonts w:eastAsia="黑体"/>
      <w:b w:val="0"/>
      <w:sz w:val="30"/>
      <w:szCs w:val="21"/>
    </w:rPr>
  </w:style>
  <w:style w:type="paragraph" w:customStyle="1" w:styleId="103">
    <w:name w:val="样式2"/>
    <w:basedOn w:val="42"/>
    <w:next w:val="102"/>
    <w:qFormat/>
    <w:uiPriority w:val="0"/>
    <w:pPr>
      <w:spacing w:before="120" w:after="120"/>
    </w:pPr>
    <w:rPr>
      <w:rFonts w:eastAsia="黑体"/>
      <w:b w:val="0"/>
      <w:sz w:val="30"/>
      <w:szCs w:val="30"/>
    </w:rPr>
  </w:style>
  <w:style w:type="character" w:customStyle="1" w:styleId="104">
    <w:name w:val="标题 3 Char Char"/>
    <w:qFormat/>
    <w:uiPriority w:val="0"/>
    <w:rPr>
      <w:rFonts w:eastAsia="宋体"/>
      <w:b/>
      <w:bCs/>
      <w:kern w:val="2"/>
      <w:sz w:val="32"/>
      <w:szCs w:val="32"/>
      <w:lang w:val="en-US" w:eastAsia="zh-CN" w:bidi="ar-SA"/>
    </w:rPr>
  </w:style>
  <w:style w:type="paragraph" w:customStyle="1" w:styleId="105">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6">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7">
    <w:name w:val="--规划正文"/>
    <w:basedOn w:val="1"/>
    <w:qFormat/>
    <w:uiPriority w:val="0"/>
    <w:pPr>
      <w:spacing w:line="360" w:lineRule="auto"/>
      <w:ind w:firstLine="200" w:firstLineChars="200"/>
    </w:pPr>
    <w:rPr>
      <w:szCs w:val="20"/>
    </w:rPr>
  </w:style>
  <w:style w:type="paragraph" w:customStyle="1" w:styleId="108">
    <w:name w:val="设计依据"/>
    <w:basedOn w:val="9"/>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9">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0">
    <w:name w:val="样式4"/>
    <w:basedOn w:val="1"/>
    <w:qFormat/>
    <w:uiPriority w:val="0"/>
    <w:pPr>
      <w:tabs>
        <w:tab w:val="left" w:pos="842"/>
      </w:tabs>
      <w:spacing w:line="360" w:lineRule="auto"/>
      <w:ind w:left="842" w:hanging="420"/>
    </w:pPr>
    <w:rPr>
      <w:sz w:val="24"/>
    </w:rPr>
  </w:style>
  <w:style w:type="paragraph" w:customStyle="1" w:styleId="111">
    <w:name w:val="文字"/>
    <w:basedOn w:val="1"/>
    <w:qFormat/>
    <w:uiPriority w:val="0"/>
    <w:pPr>
      <w:tabs>
        <w:tab w:val="left" w:pos="8520"/>
      </w:tabs>
      <w:spacing w:line="312" w:lineRule="auto"/>
      <w:ind w:right="-210" w:firstLine="556"/>
    </w:pPr>
    <w:rPr>
      <w:rFonts w:ascii="宋体"/>
      <w:sz w:val="28"/>
      <w:szCs w:val="20"/>
    </w:rPr>
  </w:style>
  <w:style w:type="paragraph" w:customStyle="1" w:styleId="112">
    <w:name w:val="--规划-表格-居左"/>
    <w:basedOn w:val="107"/>
    <w:qFormat/>
    <w:uiPriority w:val="0"/>
    <w:pPr>
      <w:spacing w:line="240" w:lineRule="auto"/>
      <w:ind w:firstLine="0" w:firstLineChars="0"/>
    </w:pPr>
    <w:rPr>
      <w:sz w:val="20"/>
    </w:rPr>
  </w:style>
  <w:style w:type="paragraph" w:customStyle="1" w:styleId="113">
    <w:name w:val="--规划-表格-居中"/>
    <w:basedOn w:val="107"/>
    <w:qFormat/>
    <w:uiPriority w:val="0"/>
    <w:pPr>
      <w:spacing w:line="240" w:lineRule="auto"/>
      <w:ind w:firstLine="0" w:firstLineChars="0"/>
      <w:jc w:val="center"/>
    </w:pPr>
    <w:rPr>
      <w:sz w:val="20"/>
    </w:rPr>
  </w:style>
  <w:style w:type="paragraph" w:customStyle="1" w:styleId="114">
    <w:name w:val="--编号内缩进"/>
    <w:basedOn w:val="1"/>
    <w:qFormat/>
    <w:uiPriority w:val="0"/>
    <w:pPr>
      <w:spacing w:line="360" w:lineRule="auto"/>
      <w:ind w:left="420" w:firstLine="200" w:firstLineChars="200"/>
    </w:pPr>
    <w:rPr>
      <w:szCs w:val="21"/>
    </w:rPr>
  </w:style>
  <w:style w:type="paragraph" w:customStyle="1" w:styleId="115">
    <w:name w:val="--规划-题注"/>
    <w:basedOn w:val="1"/>
    <w:next w:val="107"/>
    <w:qFormat/>
    <w:uiPriority w:val="0"/>
    <w:pPr>
      <w:spacing w:line="360" w:lineRule="auto"/>
      <w:jc w:val="center"/>
    </w:pPr>
    <w:rPr>
      <w:rFonts w:eastAsia="黑体"/>
    </w:rPr>
  </w:style>
  <w:style w:type="paragraph" w:customStyle="1" w:styleId="116">
    <w:name w:val="--规划-图和表"/>
    <w:next w:val="107"/>
    <w:qFormat/>
    <w:uiPriority w:val="0"/>
    <w:pPr>
      <w:jc w:val="center"/>
    </w:pPr>
    <w:rPr>
      <w:rFonts w:ascii="Times New Roman" w:hAnsi="Times New Roman" w:eastAsia="宋体" w:cs="Times New Roman"/>
      <w:kern w:val="2"/>
      <w:sz w:val="21"/>
      <w:lang w:val="en-US" w:eastAsia="zh-CN" w:bidi="ar-SA"/>
    </w:rPr>
  </w:style>
  <w:style w:type="paragraph" w:customStyle="1" w:styleId="117">
    <w:name w:val="--规划-小标题"/>
    <w:basedOn w:val="1"/>
    <w:next w:val="107"/>
    <w:qFormat/>
    <w:uiPriority w:val="0"/>
    <w:pPr>
      <w:keepNext/>
      <w:keepLines/>
      <w:spacing w:line="360" w:lineRule="auto"/>
      <w:outlineLvl w:val="4"/>
    </w:pPr>
    <w:rPr>
      <w:rFonts w:eastAsia="黑体"/>
    </w:rPr>
  </w:style>
  <w:style w:type="paragraph" w:customStyle="1" w:styleId="118">
    <w:name w:val="--规划正文 Char"/>
    <w:basedOn w:val="1"/>
    <w:qFormat/>
    <w:uiPriority w:val="0"/>
    <w:pPr>
      <w:spacing w:line="360" w:lineRule="auto"/>
      <w:ind w:firstLine="200" w:firstLineChars="200"/>
    </w:pPr>
    <w:rPr>
      <w:sz w:val="24"/>
    </w:rPr>
  </w:style>
  <w:style w:type="paragraph" w:customStyle="1" w:styleId="119">
    <w:name w:val="缺省文本"/>
    <w:basedOn w:val="1"/>
    <w:qFormat/>
    <w:uiPriority w:val="0"/>
    <w:pPr>
      <w:autoSpaceDE w:val="0"/>
      <w:autoSpaceDN w:val="0"/>
      <w:adjustRightInd w:val="0"/>
      <w:jc w:val="left"/>
    </w:pPr>
    <w:rPr>
      <w:kern w:val="0"/>
    </w:rPr>
  </w:style>
  <w:style w:type="paragraph" w:customStyle="1" w:styleId="120">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1">
    <w:name w:val="--规划正文 Char Char"/>
    <w:qFormat/>
    <w:uiPriority w:val="0"/>
    <w:rPr>
      <w:rFonts w:eastAsia="宋体"/>
      <w:kern w:val="2"/>
      <w:sz w:val="24"/>
      <w:szCs w:val="24"/>
      <w:lang w:val="en-US" w:eastAsia="zh-CN" w:bidi="ar-SA"/>
    </w:rPr>
  </w:style>
  <w:style w:type="paragraph" w:customStyle="1" w:styleId="122">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3">
    <w:name w:val="--规划正文 Char1"/>
    <w:qFormat/>
    <w:uiPriority w:val="0"/>
    <w:rPr>
      <w:rFonts w:eastAsia="宋体"/>
      <w:kern w:val="2"/>
      <w:sz w:val="21"/>
      <w:lang w:val="en-US" w:eastAsia="zh-CN" w:bidi="ar-SA"/>
    </w:rPr>
  </w:style>
  <w:style w:type="paragraph" w:customStyle="1" w:styleId="124">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5">
    <w:name w:val="列表项目"/>
    <w:basedOn w:val="1"/>
    <w:qFormat/>
    <w:uiPriority w:val="0"/>
    <w:pPr>
      <w:tabs>
        <w:tab w:val="left" w:pos="420"/>
        <w:tab w:val="left" w:pos="1080"/>
      </w:tabs>
      <w:spacing w:line="288" w:lineRule="auto"/>
      <w:ind w:left="1080" w:hanging="360"/>
    </w:pPr>
    <w:rPr>
      <w:sz w:val="24"/>
      <w:szCs w:val="20"/>
    </w:rPr>
  </w:style>
  <w:style w:type="character" w:customStyle="1" w:styleId="126">
    <w:name w:val="content1"/>
    <w:qFormat/>
    <w:uiPriority w:val="0"/>
    <w:rPr>
      <w:rFonts w:hint="default" w:ascii="??" w:hAnsi="??"/>
      <w:sz w:val="16"/>
      <w:szCs w:val="16"/>
      <w:u w:val="none"/>
    </w:rPr>
  </w:style>
  <w:style w:type="character" w:customStyle="1" w:styleId="127">
    <w:name w:val="unnamed4"/>
    <w:basedOn w:val="48"/>
    <w:qFormat/>
    <w:uiPriority w:val="0"/>
  </w:style>
  <w:style w:type="character" w:customStyle="1" w:styleId="128">
    <w:name w:val="font2"/>
    <w:basedOn w:val="48"/>
    <w:qFormat/>
    <w:uiPriority w:val="0"/>
  </w:style>
  <w:style w:type="character" w:customStyle="1" w:styleId="129">
    <w:name w:val="font41"/>
    <w:qFormat/>
    <w:uiPriority w:val="0"/>
    <w:rPr>
      <w:color w:val="000000"/>
      <w:spacing w:val="260"/>
      <w:sz w:val="18"/>
      <w:szCs w:val="18"/>
      <w:u w:val="none"/>
    </w:rPr>
  </w:style>
  <w:style w:type="paragraph" w:customStyle="1" w:styleId="130">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1">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2">
    <w:name w:val="正文首行缩进 Char"/>
    <w:link w:val="44"/>
    <w:qFormat/>
    <w:uiPriority w:val="0"/>
    <w:rPr>
      <w:rFonts w:eastAsia="宋体"/>
      <w:b/>
      <w:bCs/>
      <w:kern w:val="2"/>
      <w:sz w:val="21"/>
      <w:szCs w:val="24"/>
      <w:lang w:val="en-US" w:eastAsia="zh-CN" w:bidi="ar-SA"/>
    </w:rPr>
  </w:style>
  <w:style w:type="paragraph" w:customStyle="1" w:styleId="133">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4">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5">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6">
    <w:name w:val="mode"/>
    <w:basedOn w:val="48"/>
    <w:qFormat/>
    <w:uiPriority w:val="0"/>
  </w:style>
  <w:style w:type="paragraph" w:customStyle="1" w:styleId="137">
    <w:name w:val="9"/>
    <w:basedOn w:val="1"/>
    <w:next w:val="8"/>
    <w:qFormat/>
    <w:uiPriority w:val="0"/>
    <w:pPr>
      <w:autoSpaceDE w:val="0"/>
      <w:autoSpaceDN w:val="0"/>
      <w:adjustRightInd w:val="0"/>
      <w:ind w:firstLine="420"/>
      <w:jc w:val="left"/>
      <w:textAlignment w:val="baseline"/>
    </w:pPr>
    <w:rPr>
      <w:rFonts w:ascii="宋体"/>
      <w:kern w:val="0"/>
      <w:sz w:val="34"/>
      <w:szCs w:val="20"/>
    </w:rPr>
  </w:style>
  <w:style w:type="character" w:customStyle="1" w:styleId="138">
    <w:name w:val="unnamed3"/>
    <w:basedOn w:val="48"/>
    <w:qFormat/>
    <w:uiPriority w:val="0"/>
  </w:style>
  <w:style w:type="paragraph" w:customStyle="1" w:styleId="139">
    <w:name w:val="8"/>
    <w:basedOn w:val="1"/>
    <w:next w:val="21"/>
    <w:qFormat/>
    <w:uiPriority w:val="0"/>
    <w:pPr>
      <w:spacing w:after="120"/>
      <w:ind w:left="420" w:leftChars="200"/>
    </w:pPr>
  </w:style>
  <w:style w:type="paragraph" w:customStyle="1" w:styleId="140">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1">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2">
    <w:name w:val="5"/>
    <w:basedOn w:val="1"/>
    <w:qFormat/>
    <w:uiPriority w:val="0"/>
    <w:pPr>
      <w:autoSpaceDE w:val="0"/>
      <w:autoSpaceDN w:val="0"/>
      <w:adjustRightInd w:val="0"/>
      <w:jc w:val="left"/>
    </w:pPr>
    <w:rPr>
      <w:rFonts w:ascii="宋体"/>
      <w:b/>
      <w:bCs/>
      <w:kern w:val="0"/>
      <w:sz w:val="18"/>
      <w:szCs w:val="18"/>
    </w:rPr>
  </w:style>
  <w:style w:type="paragraph" w:customStyle="1" w:styleId="143">
    <w:name w:val="6"/>
    <w:basedOn w:val="142"/>
    <w:qFormat/>
    <w:uiPriority w:val="0"/>
    <w:pPr>
      <w:spacing w:line="270" w:lineRule="atLeast"/>
      <w:jc w:val="both"/>
    </w:pPr>
    <w:rPr>
      <w:b w:val="0"/>
      <w:bCs w:val="0"/>
    </w:rPr>
  </w:style>
  <w:style w:type="paragraph" w:customStyle="1" w:styleId="144">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5">
    <w:name w:val="姜文清定义的正文"/>
    <w:basedOn w:val="1"/>
    <w:qFormat/>
    <w:uiPriority w:val="0"/>
    <w:pPr>
      <w:spacing w:line="240" w:lineRule="atLeast"/>
      <w:ind w:firstLine="567"/>
    </w:pPr>
    <w:rPr>
      <w:szCs w:val="20"/>
    </w:rPr>
  </w:style>
  <w:style w:type="paragraph" w:customStyle="1" w:styleId="146">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7">
    <w:name w:val="CM2"/>
    <w:basedOn w:val="146"/>
    <w:next w:val="146"/>
    <w:qFormat/>
    <w:uiPriority w:val="0"/>
    <w:pPr>
      <w:spacing w:line="200" w:lineRule="atLeast"/>
    </w:pPr>
    <w:rPr>
      <w:rFonts w:ascii="Arial" w:hAnsi="Arial" w:eastAsia="宋体" w:cs="Times New Roman"/>
      <w:color w:val="auto"/>
    </w:rPr>
  </w:style>
  <w:style w:type="paragraph" w:customStyle="1" w:styleId="148">
    <w:name w:val="Normal Paragraph"/>
    <w:basedOn w:val="1"/>
    <w:qFormat/>
    <w:uiPriority w:val="0"/>
    <w:pPr>
      <w:widowControl/>
      <w:spacing w:before="120" w:line="360" w:lineRule="auto"/>
      <w:ind w:firstLine="425"/>
    </w:pPr>
    <w:rPr>
      <w:kern w:val="0"/>
      <w:sz w:val="24"/>
    </w:rPr>
  </w:style>
  <w:style w:type="character" w:customStyle="1" w:styleId="149">
    <w:name w:val="blue"/>
    <w:basedOn w:val="48"/>
    <w:qFormat/>
    <w:uiPriority w:val="0"/>
  </w:style>
  <w:style w:type="paragraph" w:customStyle="1" w:styleId="150">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1">
    <w:name w:val="font"/>
    <w:basedOn w:val="48"/>
    <w:qFormat/>
    <w:uiPriority w:val="0"/>
  </w:style>
  <w:style w:type="character" w:customStyle="1" w:styleId="152">
    <w:name w:val="font11"/>
    <w:qFormat/>
    <w:uiPriority w:val="0"/>
    <w:rPr>
      <w:rFonts w:hint="default" w:ascii="ˎ̥" w:hAnsi="ˎ̥"/>
    </w:rPr>
  </w:style>
  <w:style w:type="paragraph" w:customStyle="1" w:styleId="153">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4">
    <w:name w:val="proddescription"/>
    <w:basedOn w:val="48"/>
    <w:qFormat/>
    <w:uiPriority w:val="0"/>
  </w:style>
  <w:style w:type="character" w:customStyle="1" w:styleId="155">
    <w:name w:val="prodheadlines"/>
    <w:basedOn w:val="48"/>
    <w:qFormat/>
    <w:uiPriority w:val="0"/>
  </w:style>
  <w:style w:type="character" w:customStyle="1" w:styleId="156">
    <w:name w:val="text"/>
    <w:basedOn w:val="48"/>
    <w:qFormat/>
    <w:uiPriority w:val="0"/>
  </w:style>
  <w:style w:type="paragraph" w:customStyle="1" w:styleId="157">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8">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9">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0">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1">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2">
    <w:name w:val="段落正文"/>
    <w:basedOn w:val="24"/>
    <w:qFormat/>
    <w:uiPriority w:val="0"/>
    <w:pPr>
      <w:ind w:firstLine="560" w:firstLineChars="200"/>
    </w:pPr>
    <w:rPr>
      <w:sz w:val="28"/>
    </w:rPr>
  </w:style>
  <w:style w:type="character" w:customStyle="1" w:styleId="163">
    <w:name w:val="gray6"/>
    <w:basedOn w:val="48"/>
    <w:qFormat/>
    <w:uiPriority w:val="0"/>
  </w:style>
  <w:style w:type="character" w:customStyle="1" w:styleId="164">
    <w:name w:val="style9"/>
    <w:basedOn w:val="48"/>
    <w:qFormat/>
    <w:uiPriority w:val="0"/>
  </w:style>
  <w:style w:type="paragraph" w:customStyle="1" w:styleId="165">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6">
    <w:name w:val="grame"/>
    <w:basedOn w:val="48"/>
    <w:qFormat/>
    <w:uiPriority w:val="0"/>
  </w:style>
  <w:style w:type="paragraph" w:customStyle="1" w:styleId="167">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8">
    <w:name w:val="Char1"/>
    <w:basedOn w:val="1"/>
    <w:qFormat/>
    <w:uiPriority w:val="0"/>
    <w:pPr>
      <w:jc w:val="left"/>
    </w:pPr>
    <w:rPr>
      <w:rFonts w:ascii="Tahoma" w:hAnsi="Tahoma"/>
      <w:sz w:val="24"/>
      <w:szCs w:val="20"/>
    </w:rPr>
  </w:style>
  <w:style w:type="paragraph" w:customStyle="1" w:styleId="169">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0">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1">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3">
    <w:name w:val="font6"/>
    <w:basedOn w:val="1"/>
    <w:qFormat/>
    <w:uiPriority w:val="0"/>
    <w:pPr>
      <w:widowControl/>
      <w:spacing w:before="100" w:beforeAutospacing="1" w:after="100" w:afterAutospacing="1"/>
      <w:jc w:val="left"/>
    </w:pPr>
    <w:rPr>
      <w:kern w:val="0"/>
      <w:sz w:val="24"/>
    </w:rPr>
  </w:style>
  <w:style w:type="paragraph" w:customStyle="1" w:styleId="17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6">
    <w:name w:val="表格字"/>
    <w:basedOn w:val="1"/>
    <w:qFormat/>
    <w:uiPriority w:val="0"/>
    <w:pPr>
      <w:adjustRightInd w:val="0"/>
      <w:jc w:val="center"/>
    </w:pPr>
    <w:rPr>
      <w:rFonts w:ascii="宋体"/>
      <w:sz w:val="24"/>
      <w:szCs w:val="20"/>
    </w:rPr>
  </w:style>
  <w:style w:type="character" w:customStyle="1" w:styleId="177">
    <w:name w:val="样式 小三 加粗"/>
    <w:qFormat/>
    <w:uiPriority w:val="0"/>
    <w:rPr>
      <w:rFonts w:eastAsia="宋体"/>
      <w:b/>
      <w:bCs/>
      <w:sz w:val="32"/>
    </w:rPr>
  </w:style>
  <w:style w:type="paragraph" w:customStyle="1" w:styleId="17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9">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0">
    <w:name w:val="Char Char Char"/>
    <w:basedOn w:val="1"/>
    <w:qFormat/>
    <w:uiPriority w:val="0"/>
    <w:rPr>
      <w:rFonts w:ascii="Tahoma" w:hAnsi="Tahoma"/>
      <w:sz w:val="24"/>
      <w:szCs w:val="20"/>
    </w:rPr>
  </w:style>
  <w:style w:type="paragraph" w:customStyle="1" w:styleId="181">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2">
    <w:name w:val="info4"/>
    <w:basedOn w:val="48"/>
    <w:qFormat/>
    <w:uiPriority w:val="0"/>
  </w:style>
  <w:style w:type="paragraph" w:customStyle="1" w:styleId="183">
    <w:name w:val="缩进正文"/>
    <w:basedOn w:val="1"/>
    <w:link w:val="184"/>
    <w:qFormat/>
    <w:uiPriority w:val="0"/>
    <w:pPr>
      <w:ind w:firstLine="560" w:firstLineChars="200"/>
    </w:pPr>
    <w:rPr>
      <w:rFonts w:eastAsia="仿宋_GB2312" w:cs="宋体"/>
      <w:sz w:val="28"/>
      <w:szCs w:val="20"/>
    </w:rPr>
  </w:style>
  <w:style w:type="character" w:customStyle="1" w:styleId="184">
    <w:name w:val="缩进正文 Char"/>
    <w:link w:val="183"/>
    <w:qFormat/>
    <w:uiPriority w:val="0"/>
    <w:rPr>
      <w:rFonts w:eastAsia="仿宋_GB2312" w:cs="宋体"/>
      <w:kern w:val="2"/>
      <w:sz w:val="28"/>
      <w:lang w:val="en-US" w:eastAsia="zh-CN" w:bidi="ar-SA"/>
    </w:rPr>
  </w:style>
  <w:style w:type="paragraph" w:customStyle="1" w:styleId="185">
    <w:name w:val="列出段落1"/>
    <w:basedOn w:val="1"/>
    <w:qFormat/>
    <w:uiPriority w:val="0"/>
    <w:pPr>
      <w:ind w:firstLine="420" w:firstLineChars="200"/>
    </w:pPr>
    <w:rPr>
      <w:rFonts w:ascii="Calibri" w:hAnsi="Calibri" w:cs="Calibri"/>
      <w:szCs w:val="21"/>
    </w:rPr>
  </w:style>
  <w:style w:type="character" w:customStyle="1" w:styleId="186">
    <w:name w:val="批注文字 Char"/>
    <w:basedOn w:val="48"/>
    <w:link w:val="19"/>
    <w:semiHidden/>
    <w:qFormat/>
    <w:uiPriority w:val="99"/>
    <w:rPr>
      <w:rFonts w:ascii="宋体"/>
      <w:sz w:val="34"/>
    </w:rPr>
  </w:style>
  <w:style w:type="character" w:customStyle="1" w:styleId="187">
    <w:name w:val="批注主题 Char"/>
    <w:basedOn w:val="186"/>
    <w:link w:val="43"/>
    <w:qFormat/>
    <w:uiPriority w:val="99"/>
    <w:rPr>
      <w:rFonts w:ascii="宋体"/>
      <w:sz w:val="34"/>
    </w:rPr>
  </w:style>
  <w:style w:type="paragraph" w:customStyle="1" w:styleId="188">
    <w:name w:val="评价"/>
    <w:basedOn w:val="1"/>
    <w:qFormat/>
    <w:uiPriority w:val="0"/>
    <w:pPr>
      <w:spacing w:afterLines="20"/>
      <w:ind w:firstLine="1446" w:firstLineChars="200"/>
    </w:pPr>
    <w:rPr>
      <w:rFonts w:ascii="Calibri" w:hAnsi="Calibri"/>
      <w:sz w:val="24"/>
    </w:rPr>
  </w:style>
  <w:style w:type="paragraph" w:customStyle="1" w:styleId="18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0">
    <w:name w:val="alt-edited1"/>
    <w:qFormat/>
    <w:uiPriority w:val="0"/>
    <w:rPr>
      <w:color w:val="4D90F0"/>
    </w:rPr>
  </w:style>
  <w:style w:type="paragraph" w:customStyle="1" w:styleId="191">
    <w:name w:val="toc 14"/>
    <w:next w:val="1"/>
    <w:qFormat/>
    <w:uiPriority w:val="0"/>
    <w:pPr>
      <w:wordWrap w:val="0"/>
      <w:jc w:val="both"/>
    </w:pPr>
    <w:rPr>
      <w:rFonts w:ascii="Calibri" w:hAnsi="Calibri" w:eastAsia="宋体" w:cs="Times New Roman"/>
      <w:sz w:val="21"/>
      <w:lang w:val="en-US" w:eastAsia="zh-CN" w:bidi="ar-SA"/>
    </w:rPr>
  </w:style>
  <w:style w:type="character" w:customStyle="1" w:styleId="192">
    <w:name w:val="文档结构图 Char1"/>
    <w:semiHidden/>
    <w:qFormat/>
    <w:uiPriority w:val="0"/>
    <w:rPr>
      <w:sz w:val="20"/>
    </w:rPr>
  </w:style>
  <w:style w:type="character" w:customStyle="1" w:styleId="193">
    <w:name w:val="文档结构图 Char"/>
    <w:semiHidden/>
    <w:qFormat/>
    <w:uiPriority w:val="0"/>
    <w:rPr>
      <w:sz w:val="20"/>
    </w:rPr>
  </w:style>
  <w:style w:type="character" w:customStyle="1" w:styleId="194">
    <w:name w:val="short_text"/>
    <w:basedOn w:val="48"/>
    <w:qFormat/>
    <w:uiPriority w:val="0"/>
    <w:rPr>
      <w:sz w:val="20"/>
    </w:rPr>
  </w:style>
  <w:style w:type="character" w:customStyle="1" w:styleId="195">
    <w:name w:val="标题 Char1"/>
    <w:qFormat/>
    <w:uiPriority w:val="0"/>
    <w:rPr>
      <w:b/>
      <w:sz w:val="20"/>
    </w:rPr>
  </w:style>
  <w:style w:type="character" w:customStyle="1" w:styleId="196">
    <w:name w:val="正文文本缩进 3 Char1"/>
    <w:semiHidden/>
    <w:qFormat/>
    <w:uiPriority w:val="0"/>
    <w:rPr>
      <w:sz w:val="20"/>
    </w:rPr>
  </w:style>
  <w:style w:type="character" w:customStyle="1" w:styleId="197">
    <w:name w:val="font21"/>
    <w:qFormat/>
    <w:uiPriority w:val="0"/>
    <w:rPr>
      <w:color w:val="FF0000"/>
      <w:sz w:val="20"/>
      <w:u w:val="none"/>
    </w:rPr>
  </w:style>
  <w:style w:type="character" w:customStyle="1" w:styleId="198">
    <w:name w:val="不明显强调1"/>
    <w:qFormat/>
    <w:uiPriority w:val="0"/>
    <w:rPr>
      <w:i/>
      <w:sz w:val="20"/>
    </w:rPr>
  </w:style>
  <w:style w:type="character" w:customStyle="1" w:styleId="199">
    <w:name w:val="font71"/>
    <w:qFormat/>
    <w:uiPriority w:val="0"/>
    <w:rPr>
      <w:sz w:val="20"/>
      <w:u w:val="none"/>
    </w:rPr>
  </w:style>
  <w:style w:type="character" w:customStyle="1" w:styleId="200">
    <w:name w:val="页眉 Char1"/>
    <w:semiHidden/>
    <w:qFormat/>
    <w:uiPriority w:val="0"/>
    <w:rPr>
      <w:sz w:val="20"/>
    </w:rPr>
  </w:style>
  <w:style w:type="character" w:customStyle="1" w:styleId="201">
    <w:name w:val="正文文本缩进 2 Char1"/>
    <w:semiHidden/>
    <w:qFormat/>
    <w:uiPriority w:val="0"/>
    <w:rPr>
      <w:sz w:val="20"/>
    </w:rPr>
  </w:style>
  <w:style w:type="character" w:customStyle="1" w:styleId="202">
    <w:name w:val="font61"/>
    <w:qFormat/>
    <w:uiPriority w:val="0"/>
    <w:rPr>
      <w:sz w:val="20"/>
      <w:u w:val="none"/>
    </w:rPr>
  </w:style>
  <w:style w:type="character" w:customStyle="1" w:styleId="203">
    <w:name w:val="纯文本 Char1"/>
    <w:semiHidden/>
    <w:qFormat/>
    <w:uiPriority w:val="0"/>
    <w:rPr>
      <w:sz w:val="20"/>
    </w:rPr>
  </w:style>
  <w:style w:type="character" w:customStyle="1" w:styleId="204">
    <w:name w:val="正文文本 3 Char1"/>
    <w:semiHidden/>
    <w:qFormat/>
    <w:uiPriority w:val="0"/>
    <w:rPr>
      <w:sz w:val="20"/>
    </w:rPr>
  </w:style>
  <w:style w:type="character" w:customStyle="1" w:styleId="205">
    <w:name w:val="正文文本缩进 Char1"/>
    <w:semiHidden/>
    <w:qFormat/>
    <w:uiPriority w:val="0"/>
    <w:rPr>
      <w:sz w:val="20"/>
    </w:rPr>
  </w:style>
  <w:style w:type="character" w:customStyle="1" w:styleId="206">
    <w:name w:val="明显参考1"/>
    <w:qFormat/>
    <w:uiPriority w:val="0"/>
    <w:rPr>
      <w:b/>
      <w:sz w:val="20"/>
    </w:rPr>
  </w:style>
  <w:style w:type="character" w:customStyle="1" w:styleId="207">
    <w:name w:val="apple-converted-space"/>
    <w:qFormat/>
    <w:uiPriority w:val="0"/>
    <w:rPr>
      <w:sz w:val="20"/>
    </w:rPr>
  </w:style>
  <w:style w:type="character" w:customStyle="1" w:styleId="208">
    <w:name w:val="书籍标题1"/>
    <w:qFormat/>
    <w:uiPriority w:val="0"/>
    <w:rPr>
      <w:b/>
      <w:i/>
      <w:sz w:val="20"/>
    </w:rPr>
  </w:style>
  <w:style w:type="character" w:customStyle="1" w:styleId="209">
    <w:name w:val="long_text"/>
    <w:qFormat/>
    <w:uiPriority w:val="0"/>
    <w:rPr>
      <w:sz w:val="20"/>
    </w:rPr>
  </w:style>
  <w:style w:type="character" w:customStyle="1" w:styleId="210">
    <w:name w:val="日期 Char1"/>
    <w:semiHidden/>
    <w:qFormat/>
    <w:uiPriority w:val="0"/>
    <w:rPr>
      <w:sz w:val="20"/>
    </w:rPr>
  </w:style>
  <w:style w:type="character" w:customStyle="1" w:styleId="211">
    <w:name w:val="批注文字 Char1"/>
    <w:semiHidden/>
    <w:qFormat/>
    <w:uiPriority w:val="0"/>
    <w:rPr>
      <w:sz w:val="20"/>
    </w:rPr>
  </w:style>
  <w:style w:type="character" w:customStyle="1" w:styleId="212">
    <w:name w:val="明显强调1"/>
    <w:qFormat/>
    <w:uiPriority w:val="0"/>
    <w:rPr>
      <w:i/>
      <w:sz w:val="20"/>
    </w:rPr>
  </w:style>
  <w:style w:type="character" w:customStyle="1" w:styleId="213">
    <w:name w:val="16"/>
    <w:qFormat/>
    <w:uiPriority w:val="0"/>
    <w:rPr>
      <w:b/>
      <w:color w:val="FF0356"/>
      <w:sz w:val="20"/>
    </w:rPr>
  </w:style>
  <w:style w:type="character" w:customStyle="1" w:styleId="214">
    <w:name w:val="批注主题 Char1"/>
    <w:semiHidden/>
    <w:qFormat/>
    <w:uiPriority w:val="0"/>
    <w:rPr>
      <w:b/>
      <w:sz w:val="20"/>
    </w:rPr>
  </w:style>
  <w:style w:type="character" w:customStyle="1" w:styleId="215">
    <w:name w:val="正文文本 2 Char1"/>
    <w:semiHidden/>
    <w:qFormat/>
    <w:uiPriority w:val="0"/>
    <w:rPr>
      <w:sz w:val="20"/>
    </w:rPr>
  </w:style>
  <w:style w:type="character" w:customStyle="1" w:styleId="216">
    <w:name w:val="font31"/>
    <w:qFormat/>
    <w:uiPriority w:val="0"/>
    <w:rPr>
      <w:color w:val="FF0000"/>
      <w:sz w:val="20"/>
      <w:u w:val="none"/>
      <w:vertAlign w:val="superscript"/>
    </w:rPr>
  </w:style>
  <w:style w:type="character" w:customStyle="1" w:styleId="217">
    <w:name w:val="不明显参考1"/>
    <w:qFormat/>
    <w:uiPriority w:val="0"/>
    <w:rPr>
      <w:sz w:val="20"/>
    </w:rPr>
  </w:style>
  <w:style w:type="character" w:customStyle="1" w:styleId="218">
    <w:name w:val="HTML 预设格式 Char1"/>
    <w:semiHidden/>
    <w:qFormat/>
    <w:uiPriority w:val="0"/>
    <w:rPr>
      <w:sz w:val="20"/>
    </w:rPr>
  </w:style>
  <w:style w:type="character" w:customStyle="1" w:styleId="219">
    <w:name w:val="font01"/>
    <w:basedOn w:val="48"/>
    <w:qFormat/>
    <w:uiPriority w:val="0"/>
    <w:rPr>
      <w:color w:val="FF0000"/>
      <w:sz w:val="20"/>
      <w:u w:val="none"/>
      <w:vertAlign w:val="superscript"/>
    </w:rPr>
  </w:style>
  <w:style w:type="character" w:customStyle="1" w:styleId="220">
    <w:name w:val="页脚 Char1"/>
    <w:semiHidden/>
    <w:qFormat/>
    <w:uiPriority w:val="0"/>
    <w:rPr>
      <w:sz w:val="20"/>
    </w:rPr>
  </w:style>
  <w:style w:type="character" w:customStyle="1" w:styleId="221">
    <w:name w:val="批注框文本 Char1"/>
    <w:semiHidden/>
    <w:qFormat/>
    <w:uiPriority w:val="0"/>
    <w:rPr>
      <w:sz w:val="20"/>
    </w:rPr>
  </w:style>
  <w:style w:type="paragraph" w:customStyle="1" w:styleId="222">
    <w:name w:val="列出段落2"/>
    <w:basedOn w:val="1"/>
    <w:next w:val="223"/>
    <w:qFormat/>
    <w:uiPriority w:val="0"/>
    <w:pPr>
      <w:ind w:firstLine="420"/>
    </w:pPr>
    <w:rPr>
      <w:rFonts w:hAnsi="Calibri"/>
      <w:kern w:val="0"/>
      <w:szCs w:val="20"/>
    </w:rPr>
  </w:style>
  <w:style w:type="paragraph" w:customStyle="1" w:styleId="223">
    <w:name w:val="toc 814"/>
    <w:next w:val="1"/>
    <w:qFormat/>
    <w:uiPriority w:val="0"/>
    <w:pPr>
      <w:wordWrap w:val="0"/>
      <w:ind w:left="2975"/>
      <w:jc w:val="both"/>
    </w:pPr>
    <w:rPr>
      <w:rFonts w:ascii="Calibri" w:hAnsi="Calibri" w:eastAsia="宋体" w:cs="Times New Roman"/>
      <w:sz w:val="21"/>
      <w:lang w:val="en-US" w:eastAsia="zh-CN" w:bidi="ar-SA"/>
    </w:rPr>
  </w:style>
  <w:style w:type="paragraph" w:customStyle="1" w:styleId="224">
    <w:name w:val="toc 62"/>
    <w:next w:val="1"/>
    <w:qFormat/>
    <w:uiPriority w:val="0"/>
    <w:pPr>
      <w:wordWrap w:val="0"/>
      <w:ind w:left="2125"/>
      <w:jc w:val="both"/>
    </w:pPr>
    <w:rPr>
      <w:rFonts w:ascii="Calibri" w:hAnsi="Calibri" w:eastAsia="宋体" w:cs="Times New Roman"/>
      <w:sz w:val="21"/>
      <w:lang w:val="en-US" w:eastAsia="zh-CN" w:bidi="ar-SA"/>
    </w:rPr>
  </w:style>
  <w:style w:type="paragraph" w:customStyle="1" w:styleId="225">
    <w:name w:val="toc 414"/>
    <w:next w:val="1"/>
    <w:qFormat/>
    <w:uiPriority w:val="0"/>
    <w:pPr>
      <w:wordWrap w:val="0"/>
      <w:ind w:left="1275"/>
      <w:jc w:val="both"/>
    </w:pPr>
    <w:rPr>
      <w:rFonts w:ascii="Calibri" w:hAnsi="Calibri" w:eastAsia="宋体" w:cs="Times New Roman"/>
      <w:sz w:val="21"/>
      <w:lang w:val="en-US" w:eastAsia="zh-CN" w:bidi="ar-SA"/>
    </w:rPr>
  </w:style>
  <w:style w:type="paragraph" w:customStyle="1" w:styleId="226">
    <w:name w:val="toc 411"/>
    <w:next w:val="1"/>
    <w:qFormat/>
    <w:uiPriority w:val="0"/>
    <w:pPr>
      <w:wordWrap w:val="0"/>
      <w:ind w:left="1275"/>
      <w:jc w:val="both"/>
    </w:pPr>
    <w:rPr>
      <w:rFonts w:ascii="Calibri" w:hAnsi="Calibri" w:eastAsia="宋体" w:cs="Times New Roman"/>
      <w:sz w:val="21"/>
      <w:lang w:val="en-US" w:eastAsia="zh-CN" w:bidi="ar-SA"/>
    </w:rPr>
  </w:style>
  <w:style w:type="paragraph" w:customStyle="1" w:styleId="227">
    <w:name w:val="xl86"/>
    <w:basedOn w:val="1"/>
    <w:next w:val="228"/>
    <w:qFormat/>
    <w:uiPriority w:val="0"/>
    <w:pPr>
      <w:widowControl/>
      <w:shd w:val="clear" w:color="000000" w:fill="FFFFFF"/>
      <w:spacing w:before="280" w:after="280"/>
      <w:jc w:val="center"/>
    </w:pPr>
    <w:rPr>
      <w:rFonts w:ascii="宋体" w:hAnsi="Calibri"/>
      <w:kern w:val="0"/>
      <w:sz w:val="20"/>
      <w:szCs w:val="20"/>
    </w:rPr>
  </w:style>
  <w:style w:type="paragraph" w:customStyle="1" w:styleId="228">
    <w:name w:val="toc 515"/>
    <w:next w:val="1"/>
    <w:qFormat/>
    <w:uiPriority w:val="0"/>
    <w:pPr>
      <w:wordWrap w:val="0"/>
      <w:ind w:left="1700"/>
      <w:jc w:val="both"/>
    </w:pPr>
    <w:rPr>
      <w:rFonts w:ascii="Calibri" w:hAnsi="Calibri" w:eastAsia="宋体" w:cs="Times New Roman"/>
      <w:sz w:val="21"/>
      <w:lang w:val="en-US" w:eastAsia="zh-CN" w:bidi="ar-SA"/>
    </w:rPr>
  </w:style>
  <w:style w:type="paragraph" w:customStyle="1" w:styleId="229">
    <w:name w:val="TOC Heading4"/>
    <w:next w:val="1"/>
    <w:qFormat/>
    <w:uiPriority w:val="0"/>
    <w:pPr>
      <w:wordWrap w:val="0"/>
    </w:pPr>
    <w:rPr>
      <w:rFonts w:ascii="Calibri" w:hAnsi="Calibri" w:eastAsia="宋体" w:cs="Times New Roman"/>
      <w:sz w:val="32"/>
      <w:lang w:val="en-US" w:eastAsia="zh-CN" w:bidi="ar-SA"/>
    </w:rPr>
  </w:style>
  <w:style w:type="paragraph" w:customStyle="1" w:styleId="230">
    <w:name w:val="toc 15"/>
    <w:next w:val="1"/>
    <w:qFormat/>
    <w:uiPriority w:val="0"/>
    <w:pPr>
      <w:wordWrap w:val="0"/>
      <w:jc w:val="both"/>
    </w:pPr>
    <w:rPr>
      <w:rFonts w:ascii="Calibri" w:hAnsi="Calibri" w:eastAsia="宋体" w:cs="Times New Roman"/>
      <w:sz w:val="21"/>
      <w:lang w:val="en-US" w:eastAsia="zh-CN" w:bidi="ar-SA"/>
    </w:rPr>
  </w:style>
  <w:style w:type="paragraph" w:customStyle="1" w:styleId="231">
    <w:name w:val="TOC Heading2"/>
    <w:next w:val="1"/>
    <w:qFormat/>
    <w:uiPriority w:val="0"/>
    <w:pPr>
      <w:wordWrap w:val="0"/>
    </w:pPr>
    <w:rPr>
      <w:rFonts w:ascii="Calibri" w:hAnsi="Calibri" w:eastAsia="宋体" w:cs="Times New Roman"/>
      <w:sz w:val="32"/>
      <w:lang w:val="en-US" w:eastAsia="zh-CN" w:bidi="ar-SA"/>
    </w:rPr>
  </w:style>
  <w:style w:type="paragraph" w:customStyle="1" w:styleId="232">
    <w:name w:val="TOC Heading1"/>
    <w:next w:val="1"/>
    <w:qFormat/>
    <w:uiPriority w:val="0"/>
    <w:pPr>
      <w:wordWrap w:val="0"/>
    </w:pPr>
    <w:rPr>
      <w:rFonts w:ascii="Calibri" w:hAnsi="Calibri" w:eastAsia="宋体" w:cs="Times New Roman"/>
      <w:sz w:val="32"/>
      <w:lang w:val="en-US" w:eastAsia="zh-CN" w:bidi="ar-SA"/>
    </w:rPr>
  </w:style>
  <w:style w:type="paragraph" w:customStyle="1" w:styleId="233">
    <w:name w:val="toc 73"/>
    <w:next w:val="1"/>
    <w:qFormat/>
    <w:uiPriority w:val="0"/>
    <w:pPr>
      <w:wordWrap w:val="0"/>
      <w:ind w:left="2550"/>
      <w:jc w:val="both"/>
    </w:pPr>
    <w:rPr>
      <w:rFonts w:ascii="Calibri" w:hAnsi="Calibri" w:eastAsia="宋体" w:cs="Times New Roman"/>
      <w:sz w:val="21"/>
      <w:lang w:val="en-US" w:eastAsia="zh-CN" w:bidi="ar-SA"/>
    </w:rPr>
  </w:style>
  <w:style w:type="paragraph" w:customStyle="1" w:styleId="234">
    <w:name w:val="font7"/>
    <w:basedOn w:val="1"/>
    <w:next w:val="235"/>
    <w:qFormat/>
    <w:uiPriority w:val="0"/>
    <w:pPr>
      <w:widowControl/>
      <w:spacing w:before="280" w:after="280"/>
    </w:pPr>
    <w:rPr>
      <w:rFonts w:ascii="Arial" w:hAnsi="Calibri"/>
      <w:kern w:val="0"/>
      <w:sz w:val="18"/>
      <w:szCs w:val="20"/>
    </w:rPr>
  </w:style>
  <w:style w:type="paragraph" w:customStyle="1" w:styleId="235">
    <w:name w:val="toc 810"/>
    <w:next w:val="1"/>
    <w:qFormat/>
    <w:uiPriority w:val="0"/>
    <w:pPr>
      <w:wordWrap w:val="0"/>
      <w:ind w:left="2975"/>
      <w:jc w:val="both"/>
    </w:pPr>
    <w:rPr>
      <w:rFonts w:ascii="Calibri" w:hAnsi="Calibri" w:eastAsia="宋体" w:cs="Times New Roman"/>
      <w:sz w:val="21"/>
      <w:lang w:val="en-US" w:eastAsia="zh-CN" w:bidi="ar-SA"/>
    </w:rPr>
  </w:style>
  <w:style w:type="paragraph" w:customStyle="1" w:styleId="236">
    <w:name w:val="xl113"/>
    <w:basedOn w:val="1"/>
    <w:next w:val="237"/>
    <w:qFormat/>
    <w:uiPriority w:val="0"/>
    <w:pPr>
      <w:widowControl/>
      <w:shd w:val="clear" w:color="000000" w:fill="FFFFFF"/>
      <w:spacing w:before="280" w:after="280"/>
      <w:jc w:val="center"/>
    </w:pPr>
    <w:rPr>
      <w:rFonts w:ascii="宋体" w:hAnsi="Calibri"/>
      <w:b/>
      <w:kern w:val="0"/>
      <w:sz w:val="20"/>
      <w:szCs w:val="20"/>
    </w:rPr>
  </w:style>
  <w:style w:type="paragraph" w:customStyle="1" w:styleId="237">
    <w:name w:val="TOC Heading10"/>
    <w:next w:val="1"/>
    <w:qFormat/>
    <w:uiPriority w:val="0"/>
    <w:pPr>
      <w:wordWrap w:val="0"/>
    </w:pPr>
    <w:rPr>
      <w:rFonts w:ascii="Calibri" w:hAnsi="Calibri" w:eastAsia="宋体" w:cs="Times New Roman"/>
      <w:sz w:val="32"/>
      <w:lang w:val="en-US" w:eastAsia="zh-CN" w:bidi="ar-SA"/>
    </w:rPr>
  </w:style>
  <w:style w:type="paragraph" w:customStyle="1" w:styleId="238">
    <w:name w:val="toc 89"/>
    <w:next w:val="1"/>
    <w:qFormat/>
    <w:uiPriority w:val="0"/>
    <w:pPr>
      <w:wordWrap w:val="0"/>
      <w:ind w:left="2975"/>
      <w:jc w:val="both"/>
    </w:pPr>
    <w:rPr>
      <w:rFonts w:ascii="Calibri" w:hAnsi="Calibri" w:eastAsia="宋体" w:cs="Times New Roman"/>
      <w:sz w:val="21"/>
      <w:lang w:val="en-US" w:eastAsia="zh-CN" w:bidi="ar-SA"/>
    </w:rPr>
  </w:style>
  <w:style w:type="paragraph" w:customStyle="1" w:styleId="239">
    <w:name w:val="xl73"/>
    <w:basedOn w:val="1"/>
    <w:next w:val="240"/>
    <w:qFormat/>
    <w:uiPriority w:val="0"/>
    <w:pPr>
      <w:widowControl/>
      <w:shd w:val="clear" w:color="000000" w:fill="FFFFFF"/>
      <w:spacing w:before="280" w:after="280"/>
      <w:jc w:val="center"/>
    </w:pPr>
    <w:rPr>
      <w:rFonts w:ascii="宋体" w:hAnsi="Calibri"/>
      <w:kern w:val="0"/>
      <w:sz w:val="20"/>
      <w:szCs w:val="20"/>
    </w:rPr>
  </w:style>
  <w:style w:type="paragraph" w:customStyle="1" w:styleId="240">
    <w:name w:val="toc 613"/>
    <w:next w:val="1"/>
    <w:qFormat/>
    <w:uiPriority w:val="0"/>
    <w:pPr>
      <w:wordWrap w:val="0"/>
      <w:ind w:left="2125"/>
      <w:jc w:val="both"/>
    </w:pPr>
    <w:rPr>
      <w:rFonts w:ascii="Calibri" w:hAnsi="Calibri" w:eastAsia="宋体" w:cs="Times New Roman"/>
      <w:sz w:val="21"/>
      <w:lang w:val="en-US" w:eastAsia="zh-CN" w:bidi="ar-SA"/>
    </w:rPr>
  </w:style>
  <w:style w:type="paragraph" w:customStyle="1" w:styleId="241">
    <w:name w:val="xl79"/>
    <w:basedOn w:val="1"/>
    <w:next w:val="242"/>
    <w:qFormat/>
    <w:uiPriority w:val="0"/>
    <w:pPr>
      <w:widowControl/>
      <w:shd w:val="clear" w:color="000000" w:fill="FFFFFF"/>
      <w:spacing w:before="280" w:after="280"/>
    </w:pPr>
    <w:rPr>
      <w:rFonts w:ascii="宋体" w:hAnsi="Calibri"/>
      <w:b/>
      <w:kern w:val="0"/>
      <w:sz w:val="20"/>
      <w:szCs w:val="20"/>
    </w:rPr>
  </w:style>
  <w:style w:type="paragraph" w:customStyle="1" w:styleId="242">
    <w:name w:val="toc 87"/>
    <w:next w:val="1"/>
    <w:qFormat/>
    <w:uiPriority w:val="0"/>
    <w:pPr>
      <w:wordWrap w:val="0"/>
      <w:ind w:left="2975"/>
      <w:jc w:val="both"/>
    </w:pPr>
    <w:rPr>
      <w:rFonts w:ascii="Calibri" w:hAnsi="Calibri" w:eastAsia="宋体" w:cs="Times New Roman"/>
      <w:sz w:val="21"/>
      <w:lang w:val="en-US" w:eastAsia="zh-CN" w:bidi="ar-SA"/>
    </w:rPr>
  </w:style>
  <w:style w:type="paragraph" w:customStyle="1" w:styleId="243">
    <w:name w:val="toc 11"/>
    <w:next w:val="1"/>
    <w:qFormat/>
    <w:uiPriority w:val="0"/>
    <w:pPr>
      <w:wordWrap w:val="0"/>
      <w:jc w:val="both"/>
    </w:pPr>
    <w:rPr>
      <w:rFonts w:ascii="Calibri" w:hAnsi="Calibri" w:eastAsia="宋体" w:cs="Times New Roman"/>
      <w:sz w:val="21"/>
      <w:lang w:val="en-US" w:eastAsia="zh-CN" w:bidi="ar-SA"/>
    </w:rPr>
  </w:style>
  <w:style w:type="paragraph" w:customStyle="1" w:styleId="244">
    <w:name w:val="toc 410"/>
    <w:next w:val="1"/>
    <w:qFormat/>
    <w:uiPriority w:val="0"/>
    <w:pPr>
      <w:wordWrap w:val="0"/>
      <w:ind w:left="1275"/>
      <w:jc w:val="both"/>
    </w:pPr>
    <w:rPr>
      <w:rFonts w:ascii="Calibri" w:hAnsi="Calibri" w:eastAsia="宋体" w:cs="Times New Roman"/>
      <w:sz w:val="21"/>
      <w:lang w:val="en-US" w:eastAsia="zh-CN" w:bidi="ar-SA"/>
    </w:rPr>
  </w:style>
  <w:style w:type="paragraph" w:customStyle="1" w:styleId="245">
    <w:name w:val="toc 611"/>
    <w:next w:val="1"/>
    <w:qFormat/>
    <w:uiPriority w:val="0"/>
    <w:pPr>
      <w:wordWrap w:val="0"/>
      <w:ind w:left="2125"/>
      <w:jc w:val="both"/>
    </w:pPr>
    <w:rPr>
      <w:rFonts w:ascii="Calibri" w:hAnsi="Calibri" w:eastAsia="宋体" w:cs="Times New Roman"/>
      <w:sz w:val="21"/>
      <w:lang w:val="en-US" w:eastAsia="zh-CN" w:bidi="ar-SA"/>
    </w:rPr>
  </w:style>
  <w:style w:type="paragraph" w:customStyle="1" w:styleId="246">
    <w:name w:val="xl112"/>
    <w:basedOn w:val="1"/>
    <w:next w:val="245"/>
    <w:qFormat/>
    <w:uiPriority w:val="0"/>
    <w:pPr>
      <w:widowControl/>
      <w:shd w:val="clear" w:color="000000" w:fill="FFFFFF"/>
      <w:spacing w:before="280" w:after="280"/>
      <w:jc w:val="center"/>
    </w:pPr>
    <w:rPr>
      <w:rFonts w:ascii="宋体" w:hAnsi="Calibri"/>
      <w:b/>
      <w:kern w:val="0"/>
      <w:sz w:val="20"/>
      <w:szCs w:val="20"/>
    </w:rPr>
  </w:style>
  <w:style w:type="paragraph" w:customStyle="1" w:styleId="247">
    <w:name w:val="toc 514"/>
    <w:next w:val="1"/>
    <w:qFormat/>
    <w:uiPriority w:val="0"/>
    <w:pPr>
      <w:wordWrap w:val="0"/>
      <w:ind w:left="1700"/>
      <w:jc w:val="both"/>
    </w:pPr>
    <w:rPr>
      <w:rFonts w:ascii="Calibri" w:hAnsi="Calibri" w:eastAsia="宋体" w:cs="Times New Roman"/>
      <w:sz w:val="21"/>
      <w:lang w:val="en-US" w:eastAsia="zh-CN" w:bidi="ar-SA"/>
    </w:rPr>
  </w:style>
  <w:style w:type="paragraph" w:customStyle="1" w:styleId="248">
    <w:name w:val="toc 44"/>
    <w:next w:val="1"/>
    <w:qFormat/>
    <w:uiPriority w:val="0"/>
    <w:pPr>
      <w:wordWrap w:val="0"/>
      <w:ind w:left="1275"/>
      <w:jc w:val="both"/>
    </w:pPr>
    <w:rPr>
      <w:rFonts w:ascii="Calibri" w:hAnsi="Calibri" w:eastAsia="宋体" w:cs="Times New Roman"/>
      <w:sz w:val="21"/>
      <w:lang w:val="en-US" w:eastAsia="zh-CN" w:bidi="ar-SA"/>
    </w:rPr>
  </w:style>
  <w:style w:type="paragraph" w:customStyle="1" w:styleId="249">
    <w:name w:val="toc 412"/>
    <w:next w:val="1"/>
    <w:qFormat/>
    <w:uiPriority w:val="0"/>
    <w:pPr>
      <w:wordWrap w:val="0"/>
      <w:ind w:left="1275"/>
      <w:jc w:val="both"/>
    </w:pPr>
    <w:rPr>
      <w:rFonts w:ascii="Calibri" w:hAnsi="Calibri" w:eastAsia="宋体" w:cs="Times New Roman"/>
      <w:sz w:val="21"/>
      <w:lang w:val="en-US" w:eastAsia="zh-CN" w:bidi="ar-SA"/>
    </w:rPr>
  </w:style>
  <w:style w:type="paragraph" w:customStyle="1" w:styleId="250">
    <w:name w:val="xl74"/>
    <w:basedOn w:val="1"/>
    <w:next w:val="251"/>
    <w:qFormat/>
    <w:uiPriority w:val="0"/>
    <w:pPr>
      <w:widowControl/>
      <w:shd w:val="clear" w:color="000000" w:fill="FFFFFF"/>
      <w:spacing w:before="280" w:after="280"/>
    </w:pPr>
    <w:rPr>
      <w:rFonts w:ascii="宋体" w:hAnsi="Calibri"/>
      <w:kern w:val="0"/>
      <w:sz w:val="20"/>
      <w:szCs w:val="20"/>
    </w:rPr>
  </w:style>
  <w:style w:type="paragraph" w:customStyle="1" w:styleId="251">
    <w:name w:val="toc 57"/>
    <w:next w:val="1"/>
    <w:qFormat/>
    <w:uiPriority w:val="0"/>
    <w:pPr>
      <w:wordWrap w:val="0"/>
      <w:ind w:left="1700"/>
      <w:jc w:val="both"/>
    </w:pPr>
    <w:rPr>
      <w:rFonts w:ascii="Calibri" w:hAnsi="Calibri" w:eastAsia="宋体" w:cs="Times New Roman"/>
      <w:sz w:val="21"/>
      <w:lang w:val="en-US" w:eastAsia="zh-CN" w:bidi="ar-SA"/>
    </w:rPr>
  </w:style>
  <w:style w:type="paragraph" w:customStyle="1" w:styleId="252">
    <w:name w:val="toc 912"/>
    <w:next w:val="1"/>
    <w:qFormat/>
    <w:uiPriority w:val="0"/>
    <w:pPr>
      <w:wordWrap w:val="0"/>
      <w:ind w:left="3400"/>
      <w:jc w:val="both"/>
    </w:pPr>
    <w:rPr>
      <w:rFonts w:ascii="Calibri" w:hAnsi="Calibri" w:eastAsia="宋体" w:cs="Times New Roman"/>
      <w:sz w:val="21"/>
      <w:lang w:val="en-US" w:eastAsia="zh-CN" w:bidi="ar-SA"/>
    </w:rPr>
  </w:style>
  <w:style w:type="paragraph" w:customStyle="1" w:styleId="253">
    <w:name w:val="toc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54">
    <w:name w:val="toc 38"/>
    <w:next w:val="1"/>
    <w:qFormat/>
    <w:uiPriority w:val="0"/>
    <w:pPr>
      <w:wordWrap w:val="0"/>
      <w:ind w:left="850"/>
      <w:jc w:val="both"/>
    </w:pPr>
    <w:rPr>
      <w:rFonts w:ascii="Calibri" w:hAnsi="Calibri" w:eastAsia="宋体" w:cs="Times New Roman"/>
      <w:sz w:val="21"/>
      <w:lang w:val="en-US" w:eastAsia="zh-CN" w:bidi="ar-SA"/>
    </w:rPr>
  </w:style>
  <w:style w:type="paragraph" w:customStyle="1" w:styleId="255">
    <w:name w:val="toc 95"/>
    <w:next w:val="1"/>
    <w:qFormat/>
    <w:uiPriority w:val="0"/>
    <w:pPr>
      <w:wordWrap w:val="0"/>
      <w:ind w:left="3400"/>
      <w:jc w:val="both"/>
    </w:pPr>
    <w:rPr>
      <w:rFonts w:ascii="Calibri" w:hAnsi="Calibri" w:eastAsia="宋体" w:cs="Times New Roman"/>
      <w:sz w:val="21"/>
      <w:lang w:val="en-US" w:eastAsia="zh-CN" w:bidi="ar-SA"/>
    </w:rPr>
  </w:style>
  <w:style w:type="paragraph" w:customStyle="1" w:styleId="256">
    <w:name w:val="列出段落5"/>
    <w:basedOn w:val="1"/>
    <w:next w:val="257"/>
    <w:qFormat/>
    <w:uiPriority w:val="0"/>
    <w:pPr>
      <w:ind w:firstLine="420"/>
    </w:pPr>
    <w:rPr>
      <w:rFonts w:hAnsi="Calibri"/>
      <w:kern w:val="0"/>
      <w:szCs w:val="20"/>
    </w:rPr>
  </w:style>
  <w:style w:type="paragraph" w:customStyle="1" w:styleId="257">
    <w:name w:val="toc 312"/>
    <w:next w:val="1"/>
    <w:qFormat/>
    <w:uiPriority w:val="0"/>
    <w:pPr>
      <w:wordWrap w:val="0"/>
      <w:ind w:left="850"/>
      <w:jc w:val="both"/>
    </w:pPr>
    <w:rPr>
      <w:rFonts w:ascii="Calibri" w:hAnsi="Calibri" w:eastAsia="宋体" w:cs="Times New Roman"/>
      <w:sz w:val="21"/>
      <w:lang w:val="en-US" w:eastAsia="zh-CN" w:bidi="ar-SA"/>
    </w:rPr>
  </w:style>
  <w:style w:type="paragraph" w:customStyle="1" w:styleId="258">
    <w:name w:val="xl66"/>
    <w:basedOn w:val="1"/>
    <w:next w:val="259"/>
    <w:qFormat/>
    <w:uiPriority w:val="0"/>
    <w:pPr>
      <w:widowControl/>
      <w:shd w:val="clear" w:color="000000" w:fill="FFFFFF"/>
      <w:spacing w:before="280" w:after="280"/>
    </w:pPr>
    <w:rPr>
      <w:rFonts w:ascii="宋体" w:hAnsi="Calibri"/>
      <w:kern w:val="0"/>
      <w:sz w:val="20"/>
      <w:szCs w:val="20"/>
    </w:rPr>
  </w:style>
  <w:style w:type="paragraph" w:customStyle="1" w:styleId="259">
    <w:name w:val="toc 56"/>
    <w:next w:val="1"/>
    <w:qFormat/>
    <w:uiPriority w:val="0"/>
    <w:pPr>
      <w:wordWrap w:val="0"/>
      <w:ind w:left="1700"/>
      <w:jc w:val="both"/>
    </w:pPr>
    <w:rPr>
      <w:rFonts w:ascii="Calibri" w:hAnsi="Calibri" w:eastAsia="宋体" w:cs="Times New Roman"/>
      <w:sz w:val="21"/>
      <w:lang w:val="en-US" w:eastAsia="zh-CN" w:bidi="ar-SA"/>
    </w:rPr>
  </w:style>
  <w:style w:type="paragraph" w:customStyle="1" w:styleId="260">
    <w:name w:val="TOC Heading3"/>
    <w:next w:val="1"/>
    <w:qFormat/>
    <w:uiPriority w:val="0"/>
    <w:pPr>
      <w:wordWrap w:val="0"/>
    </w:pPr>
    <w:rPr>
      <w:rFonts w:ascii="Calibri" w:hAnsi="Calibri" w:eastAsia="宋体" w:cs="Times New Roman"/>
      <w:sz w:val="32"/>
      <w:lang w:val="en-US" w:eastAsia="zh-CN" w:bidi="ar-SA"/>
    </w:rPr>
  </w:style>
  <w:style w:type="paragraph" w:customStyle="1" w:styleId="261">
    <w:name w:val="toc 65"/>
    <w:next w:val="1"/>
    <w:qFormat/>
    <w:uiPriority w:val="0"/>
    <w:pPr>
      <w:wordWrap w:val="0"/>
      <w:ind w:left="2125"/>
      <w:jc w:val="both"/>
    </w:pPr>
    <w:rPr>
      <w:rFonts w:ascii="Calibri" w:hAnsi="Calibri" w:eastAsia="宋体" w:cs="Times New Roman"/>
      <w:sz w:val="21"/>
      <w:lang w:val="en-US" w:eastAsia="zh-CN" w:bidi="ar-SA"/>
    </w:rPr>
  </w:style>
  <w:style w:type="paragraph" w:customStyle="1" w:styleId="262">
    <w:name w:val="toc 25"/>
    <w:next w:val="1"/>
    <w:qFormat/>
    <w:uiPriority w:val="0"/>
    <w:pPr>
      <w:wordWrap w:val="0"/>
      <w:ind w:left="425"/>
      <w:jc w:val="both"/>
    </w:pPr>
    <w:rPr>
      <w:rFonts w:ascii="Calibri" w:hAnsi="Calibri" w:eastAsia="宋体" w:cs="Times New Roman"/>
      <w:sz w:val="21"/>
      <w:lang w:val="en-US" w:eastAsia="zh-CN" w:bidi="ar-SA"/>
    </w:rPr>
  </w:style>
  <w:style w:type="paragraph" w:customStyle="1" w:styleId="263">
    <w:name w:val="xl84"/>
    <w:basedOn w:val="1"/>
    <w:next w:val="264"/>
    <w:qFormat/>
    <w:uiPriority w:val="0"/>
    <w:pPr>
      <w:widowControl/>
      <w:shd w:val="clear" w:color="000000" w:fill="FFFFFF"/>
      <w:spacing w:before="280" w:after="280"/>
      <w:jc w:val="center"/>
    </w:pPr>
    <w:rPr>
      <w:rFonts w:ascii="宋体" w:hAnsi="Calibri"/>
      <w:kern w:val="0"/>
      <w:sz w:val="20"/>
      <w:szCs w:val="20"/>
    </w:rPr>
  </w:style>
  <w:style w:type="paragraph" w:customStyle="1" w:styleId="264">
    <w:name w:val="toc 99"/>
    <w:next w:val="1"/>
    <w:qFormat/>
    <w:uiPriority w:val="0"/>
    <w:pPr>
      <w:wordWrap w:val="0"/>
      <w:ind w:left="3400"/>
      <w:jc w:val="both"/>
    </w:pPr>
    <w:rPr>
      <w:rFonts w:ascii="Calibri" w:hAnsi="Calibri" w:eastAsia="宋体" w:cs="Times New Roman"/>
      <w:sz w:val="21"/>
      <w:lang w:val="en-US" w:eastAsia="zh-CN" w:bidi="ar-SA"/>
    </w:rPr>
  </w:style>
  <w:style w:type="paragraph" w:customStyle="1" w:styleId="265">
    <w:name w:val="xl81"/>
    <w:basedOn w:val="1"/>
    <w:next w:val="266"/>
    <w:qFormat/>
    <w:uiPriority w:val="0"/>
    <w:pPr>
      <w:widowControl/>
      <w:shd w:val="clear" w:color="000000" w:fill="FFFFFF"/>
      <w:spacing w:before="280" w:after="280"/>
    </w:pPr>
    <w:rPr>
      <w:rFonts w:ascii="宋体" w:hAnsi="Calibri"/>
      <w:kern w:val="0"/>
      <w:sz w:val="20"/>
      <w:szCs w:val="20"/>
    </w:rPr>
  </w:style>
  <w:style w:type="paragraph" w:customStyle="1" w:styleId="266">
    <w:name w:val="toc 59"/>
    <w:next w:val="1"/>
    <w:qFormat/>
    <w:uiPriority w:val="0"/>
    <w:pPr>
      <w:wordWrap w:val="0"/>
      <w:ind w:left="1700"/>
      <w:jc w:val="both"/>
    </w:pPr>
    <w:rPr>
      <w:rFonts w:ascii="Calibri" w:hAnsi="Calibri" w:eastAsia="宋体" w:cs="Times New Roman"/>
      <w:sz w:val="21"/>
      <w:lang w:val="en-US" w:eastAsia="zh-CN" w:bidi="ar-SA"/>
    </w:rPr>
  </w:style>
  <w:style w:type="paragraph" w:customStyle="1" w:styleId="267">
    <w:name w:val="目录 11"/>
    <w:next w:val="1"/>
    <w:qFormat/>
    <w:uiPriority w:val="0"/>
    <w:pPr>
      <w:wordWrap w:val="0"/>
      <w:jc w:val="both"/>
    </w:pPr>
    <w:rPr>
      <w:rFonts w:ascii="Calibri" w:hAnsi="Calibri" w:eastAsia="宋体" w:cs="Times New Roman"/>
      <w:sz w:val="21"/>
      <w:lang w:val="en-US" w:eastAsia="zh-CN" w:bidi="ar-SA"/>
    </w:rPr>
  </w:style>
  <w:style w:type="paragraph" w:customStyle="1" w:styleId="268">
    <w:name w:val="toc 513"/>
    <w:next w:val="1"/>
    <w:qFormat/>
    <w:uiPriority w:val="0"/>
    <w:pPr>
      <w:wordWrap w:val="0"/>
      <w:ind w:left="1700"/>
      <w:jc w:val="both"/>
    </w:pPr>
    <w:rPr>
      <w:rFonts w:ascii="Calibri" w:hAnsi="Calibri" w:eastAsia="宋体" w:cs="Times New Roman"/>
      <w:sz w:val="21"/>
      <w:lang w:val="en-US" w:eastAsia="zh-CN" w:bidi="ar-SA"/>
    </w:rPr>
  </w:style>
  <w:style w:type="paragraph" w:customStyle="1" w:styleId="269">
    <w:name w:val="TOC Heading12"/>
    <w:next w:val="1"/>
    <w:qFormat/>
    <w:uiPriority w:val="0"/>
    <w:pPr>
      <w:wordWrap w:val="0"/>
    </w:pPr>
    <w:rPr>
      <w:rFonts w:ascii="Calibri" w:hAnsi="Calibri" w:eastAsia="宋体" w:cs="Times New Roman"/>
      <w:sz w:val="32"/>
      <w:lang w:val="en-US" w:eastAsia="zh-CN" w:bidi="ar-SA"/>
    </w:rPr>
  </w:style>
  <w:style w:type="paragraph" w:customStyle="1" w:styleId="270">
    <w:name w:val="TOC Heading8"/>
    <w:next w:val="1"/>
    <w:qFormat/>
    <w:uiPriority w:val="0"/>
    <w:pPr>
      <w:wordWrap w:val="0"/>
    </w:pPr>
    <w:rPr>
      <w:rFonts w:ascii="Calibri" w:hAnsi="Calibri" w:eastAsia="宋体" w:cs="Times New Roman"/>
      <w:sz w:val="32"/>
      <w:lang w:val="en-US" w:eastAsia="zh-CN" w:bidi="ar-SA"/>
    </w:rPr>
  </w:style>
  <w:style w:type="paragraph" w:customStyle="1" w:styleId="271">
    <w:name w:val="toc 711"/>
    <w:next w:val="1"/>
    <w:qFormat/>
    <w:uiPriority w:val="0"/>
    <w:pPr>
      <w:wordWrap w:val="0"/>
      <w:ind w:left="2550"/>
      <w:jc w:val="both"/>
    </w:pPr>
    <w:rPr>
      <w:rFonts w:ascii="Calibri" w:hAnsi="Calibri" w:eastAsia="宋体" w:cs="Times New Roman"/>
      <w:sz w:val="21"/>
      <w:lang w:val="en-US" w:eastAsia="zh-CN" w:bidi="ar-SA"/>
    </w:rPr>
  </w:style>
  <w:style w:type="paragraph" w:customStyle="1" w:styleId="272">
    <w:name w:val="toc 212"/>
    <w:next w:val="1"/>
    <w:qFormat/>
    <w:uiPriority w:val="0"/>
    <w:pPr>
      <w:wordWrap w:val="0"/>
      <w:ind w:left="425"/>
      <w:jc w:val="both"/>
    </w:pPr>
    <w:rPr>
      <w:rFonts w:ascii="Calibri" w:hAnsi="Calibri" w:eastAsia="宋体" w:cs="Times New Roman"/>
      <w:sz w:val="21"/>
      <w:lang w:val="en-US" w:eastAsia="zh-CN" w:bidi="ar-SA"/>
    </w:rPr>
  </w:style>
  <w:style w:type="paragraph" w:customStyle="1" w:styleId="273">
    <w:name w:val="目录 21"/>
    <w:next w:val="1"/>
    <w:qFormat/>
    <w:uiPriority w:val="0"/>
    <w:pPr>
      <w:wordWrap w:val="0"/>
      <w:ind w:left="425"/>
      <w:jc w:val="both"/>
    </w:pPr>
    <w:rPr>
      <w:rFonts w:ascii="Calibri" w:hAnsi="Calibri" w:eastAsia="宋体" w:cs="Times New Roman"/>
      <w:sz w:val="21"/>
      <w:lang w:val="en-US" w:eastAsia="zh-CN" w:bidi="ar-SA"/>
    </w:rPr>
  </w:style>
  <w:style w:type="paragraph" w:customStyle="1" w:styleId="274">
    <w:name w:val="toc 45"/>
    <w:next w:val="1"/>
    <w:qFormat/>
    <w:uiPriority w:val="0"/>
    <w:pPr>
      <w:wordWrap w:val="0"/>
      <w:ind w:left="1275"/>
      <w:jc w:val="both"/>
    </w:pPr>
    <w:rPr>
      <w:rFonts w:ascii="Calibri" w:hAnsi="Calibri" w:eastAsia="宋体" w:cs="Times New Roman"/>
      <w:sz w:val="21"/>
      <w:lang w:val="en-US" w:eastAsia="zh-CN" w:bidi="ar-SA"/>
    </w:rPr>
  </w:style>
  <w:style w:type="paragraph" w:customStyle="1" w:styleId="275">
    <w:name w:val="xl116"/>
    <w:basedOn w:val="1"/>
    <w:next w:val="276"/>
    <w:qFormat/>
    <w:uiPriority w:val="0"/>
    <w:pPr>
      <w:widowControl/>
      <w:shd w:val="clear" w:color="000000" w:fill="FFFFFF"/>
      <w:spacing w:before="280" w:after="280"/>
      <w:jc w:val="center"/>
    </w:pPr>
    <w:rPr>
      <w:rFonts w:ascii="Arial Narrow" w:hAnsi="Calibri"/>
      <w:kern w:val="0"/>
      <w:sz w:val="20"/>
      <w:szCs w:val="20"/>
    </w:rPr>
  </w:style>
  <w:style w:type="paragraph" w:customStyle="1" w:styleId="276">
    <w:name w:val="toc 78"/>
    <w:next w:val="1"/>
    <w:qFormat/>
    <w:uiPriority w:val="0"/>
    <w:pPr>
      <w:wordWrap w:val="0"/>
      <w:ind w:left="2550"/>
      <w:jc w:val="both"/>
    </w:pPr>
    <w:rPr>
      <w:rFonts w:ascii="Calibri" w:hAnsi="Calibri" w:eastAsia="宋体" w:cs="Times New Roman"/>
      <w:sz w:val="21"/>
      <w:lang w:val="en-US" w:eastAsia="zh-CN" w:bidi="ar-SA"/>
    </w:rPr>
  </w:style>
  <w:style w:type="paragraph" w:customStyle="1" w:styleId="277">
    <w:name w:val="font8"/>
    <w:basedOn w:val="1"/>
    <w:next w:val="278"/>
    <w:qFormat/>
    <w:uiPriority w:val="0"/>
    <w:pPr>
      <w:widowControl/>
      <w:spacing w:before="280" w:after="280"/>
    </w:pPr>
    <w:rPr>
      <w:rFonts w:ascii="Arial" w:hAnsi="Calibri"/>
      <w:kern w:val="0"/>
      <w:sz w:val="20"/>
      <w:szCs w:val="20"/>
    </w:rPr>
  </w:style>
  <w:style w:type="paragraph" w:customStyle="1" w:styleId="278">
    <w:name w:val="TOC Heading11"/>
    <w:next w:val="1"/>
    <w:qFormat/>
    <w:uiPriority w:val="0"/>
    <w:pPr>
      <w:wordWrap w:val="0"/>
    </w:pPr>
    <w:rPr>
      <w:rFonts w:ascii="Calibri" w:hAnsi="Calibri" w:eastAsia="宋体" w:cs="Times New Roman"/>
      <w:sz w:val="32"/>
      <w:lang w:val="en-US" w:eastAsia="zh-CN" w:bidi="ar-SA"/>
    </w:rPr>
  </w:style>
  <w:style w:type="paragraph" w:customStyle="1" w:styleId="279">
    <w:name w:val="xl69"/>
    <w:basedOn w:val="1"/>
    <w:next w:val="280"/>
    <w:qFormat/>
    <w:uiPriority w:val="0"/>
    <w:pPr>
      <w:widowControl/>
      <w:shd w:val="clear" w:color="000000" w:fill="FFFFFF"/>
      <w:spacing w:before="280" w:after="280"/>
    </w:pPr>
    <w:rPr>
      <w:rFonts w:ascii="宋体" w:hAnsi="Calibri"/>
      <w:b/>
      <w:kern w:val="0"/>
      <w:sz w:val="20"/>
      <w:szCs w:val="20"/>
    </w:rPr>
  </w:style>
  <w:style w:type="paragraph" w:customStyle="1" w:styleId="280">
    <w:name w:val="toc 48"/>
    <w:next w:val="1"/>
    <w:qFormat/>
    <w:uiPriority w:val="0"/>
    <w:pPr>
      <w:wordWrap w:val="0"/>
      <w:ind w:left="1275"/>
      <w:jc w:val="both"/>
    </w:pPr>
    <w:rPr>
      <w:rFonts w:ascii="Calibri" w:hAnsi="Calibri" w:eastAsia="宋体" w:cs="Times New Roman"/>
      <w:sz w:val="21"/>
      <w:lang w:val="en-US" w:eastAsia="zh-CN" w:bidi="ar-SA"/>
    </w:rPr>
  </w:style>
  <w:style w:type="paragraph" w:customStyle="1" w:styleId="281">
    <w:name w:val="toc 813"/>
    <w:next w:val="1"/>
    <w:qFormat/>
    <w:uiPriority w:val="0"/>
    <w:pPr>
      <w:wordWrap w:val="0"/>
      <w:ind w:left="2975"/>
      <w:jc w:val="both"/>
    </w:pPr>
    <w:rPr>
      <w:rFonts w:ascii="Calibri" w:hAnsi="Calibri" w:eastAsia="宋体" w:cs="Times New Roman"/>
      <w:sz w:val="21"/>
      <w:lang w:val="en-US" w:eastAsia="zh-CN" w:bidi="ar-SA"/>
    </w:rPr>
  </w:style>
  <w:style w:type="paragraph" w:customStyle="1" w:styleId="282">
    <w:name w:val="目录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83">
    <w:name w:val="列出段落3"/>
    <w:basedOn w:val="1"/>
    <w:next w:val="284"/>
    <w:qFormat/>
    <w:uiPriority w:val="0"/>
    <w:pPr>
      <w:ind w:firstLine="420"/>
    </w:pPr>
    <w:rPr>
      <w:rFonts w:hAnsi="Calibri"/>
      <w:kern w:val="0"/>
      <w:szCs w:val="20"/>
    </w:rPr>
  </w:style>
  <w:style w:type="paragraph" w:customStyle="1" w:styleId="284">
    <w:name w:val="toc 213"/>
    <w:next w:val="1"/>
    <w:qFormat/>
    <w:uiPriority w:val="0"/>
    <w:pPr>
      <w:wordWrap w:val="0"/>
      <w:ind w:left="425"/>
      <w:jc w:val="both"/>
    </w:pPr>
    <w:rPr>
      <w:rFonts w:ascii="Calibri" w:hAnsi="Calibri" w:eastAsia="宋体" w:cs="Times New Roman"/>
      <w:sz w:val="21"/>
      <w:lang w:val="en-US" w:eastAsia="zh-CN" w:bidi="ar-SA"/>
    </w:rPr>
  </w:style>
  <w:style w:type="paragraph" w:customStyle="1" w:styleId="285">
    <w:name w:val="TOC 标题1"/>
    <w:next w:val="1"/>
    <w:qFormat/>
    <w:uiPriority w:val="0"/>
    <w:pPr>
      <w:wordWrap w:val="0"/>
    </w:pPr>
    <w:rPr>
      <w:rFonts w:ascii="Calibri" w:hAnsi="Calibri" w:eastAsia="宋体" w:cs="Times New Roman"/>
      <w:sz w:val="32"/>
      <w:lang w:val="en-US" w:eastAsia="zh-CN" w:bidi="ar-SA"/>
    </w:rPr>
  </w:style>
  <w:style w:type="paragraph" w:customStyle="1" w:styleId="286">
    <w:name w:val="TOC Heading5"/>
    <w:next w:val="1"/>
    <w:qFormat/>
    <w:uiPriority w:val="0"/>
    <w:pPr>
      <w:wordWrap w:val="0"/>
    </w:pPr>
    <w:rPr>
      <w:rFonts w:ascii="Calibri" w:hAnsi="Calibri" w:eastAsia="宋体" w:cs="Times New Roman"/>
      <w:sz w:val="32"/>
      <w:lang w:val="en-US" w:eastAsia="zh-CN" w:bidi="ar-SA"/>
    </w:rPr>
  </w:style>
  <w:style w:type="paragraph" w:customStyle="1" w:styleId="287">
    <w:name w:val="toc 313"/>
    <w:next w:val="1"/>
    <w:qFormat/>
    <w:uiPriority w:val="0"/>
    <w:pPr>
      <w:wordWrap w:val="0"/>
      <w:ind w:left="850"/>
      <w:jc w:val="both"/>
    </w:pPr>
    <w:rPr>
      <w:rFonts w:ascii="Calibri" w:hAnsi="Calibri" w:eastAsia="宋体" w:cs="Times New Roman"/>
      <w:sz w:val="21"/>
      <w:lang w:val="en-US" w:eastAsia="zh-CN" w:bidi="ar-SA"/>
    </w:rPr>
  </w:style>
  <w:style w:type="paragraph" w:customStyle="1" w:styleId="288">
    <w:name w:val="toc 716"/>
    <w:next w:val="1"/>
    <w:qFormat/>
    <w:uiPriority w:val="0"/>
    <w:pPr>
      <w:wordWrap w:val="0"/>
      <w:ind w:left="2550"/>
      <w:jc w:val="both"/>
    </w:pPr>
    <w:rPr>
      <w:rFonts w:ascii="Calibri" w:hAnsi="Calibri" w:eastAsia="宋体" w:cs="Times New Roman"/>
      <w:sz w:val="21"/>
      <w:lang w:val="en-US" w:eastAsia="zh-CN" w:bidi="ar-SA"/>
    </w:rPr>
  </w:style>
  <w:style w:type="paragraph" w:customStyle="1" w:styleId="289">
    <w:name w:val="xl115"/>
    <w:basedOn w:val="1"/>
    <w:next w:val="290"/>
    <w:qFormat/>
    <w:uiPriority w:val="0"/>
    <w:pPr>
      <w:widowControl/>
      <w:shd w:val="clear" w:color="000000" w:fill="FFFFFF"/>
      <w:spacing w:before="280" w:after="280"/>
      <w:jc w:val="center"/>
    </w:pPr>
    <w:rPr>
      <w:rFonts w:ascii="宋体" w:hAnsi="Calibri"/>
      <w:b/>
      <w:kern w:val="0"/>
      <w:sz w:val="20"/>
      <w:szCs w:val="20"/>
    </w:rPr>
  </w:style>
  <w:style w:type="paragraph" w:customStyle="1" w:styleId="290">
    <w:name w:val="toc 712"/>
    <w:next w:val="1"/>
    <w:qFormat/>
    <w:uiPriority w:val="0"/>
    <w:pPr>
      <w:wordWrap w:val="0"/>
      <w:ind w:left="2550"/>
      <w:jc w:val="both"/>
    </w:pPr>
    <w:rPr>
      <w:rFonts w:ascii="Calibri" w:hAnsi="Calibri" w:eastAsia="宋体" w:cs="Times New Roman"/>
      <w:sz w:val="21"/>
      <w:lang w:val="en-US" w:eastAsia="zh-CN" w:bidi="ar-SA"/>
    </w:rPr>
  </w:style>
  <w:style w:type="paragraph" w:customStyle="1" w:styleId="291">
    <w:name w:val="toc 64"/>
    <w:next w:val="1"/>
    <w:qFormat/>
    <w:uiPriority w:val="0"/>
    <w:pPr>
      <w:wordWrap w:val="0"/>
      <w:ind w:left="2125"/>
      <w:jc w:val="both"/>
    </w:pPr>
    <w:rPr>
      <w:rFonts w:ascii="Calibri" w:hAnsi="Calibri" w:eastAsia="宋体" w:cs="Times New Roman"/>
      <w:sz w:val="21"/>
      <w:lang w:val="en-US" w:eastAsia="zh-CN" w:bidi="ar-SA"/>
    </w:rPr>
  </w:style>
  <w:style w:type="paragraph" w:customStyle="1" w:styleId="292">
    <w:name w:val="toc 24"/>
    <w:next w:val="1"/>
    <w:qFormat/>
    <w:uiPriority w:val="0"/>
    <w:pPr>
      <w:wordWrap w:val="0"/>
      <w:ind w:left="425"/>
      <w:jc w:val="both"/>
    </w:pPr>
    <w:rPr>
      <w:rFonts w:ascii="Calibri" w:hAnsi="Calibri" w:eastAsia="宋体" w:cs="Times New Roman"/>
      <w:sz w:val="21"/>
      <w:lang w:val="en-US" w:eastAsia="zh-CN" w:bidi="ar-SA"/>
    </w:rPr>
  </w:style>
  <w:style w:type="paragraph" w:customStyle="1" w:styleId="293">
    <w:name w:val="toc 54"/>
    <w:next w:val="1"/>
    <w:qFormat/>
    <w:uiPriority w:val="0"/>
    <w:pPr>
      <w:wordWrap w:val="0"/>
      <w:ind w:left="1700"/>
      <w:jc w:val="both"/>
    </w:pPr>
    <w:rPr>
      <w:rFonts w:ascii="Calibri" w:hAnsi="Calibri" w:eastAsia="宋体" w:cs="Times New Roman"/>
      <w:sz w:val="21"/>
      <w:lang w:val="en-US" w:eastAsia="zh-CN" w:bidi="ar-SA"/>
    </w:rPr>
  </w:style>
  <w:style w:type="paragraph" w:customStyle="1" w:styleId="294">
    <w:name w:val="xl93"/>
    <w:basedOn w:val="1"/>
    <w:next w:val="295"/>
    <w:qFormat/>
    <w:uiPriority w:val="0"/>
    <w:pPr>
      <w:widowControl/>
      <w:shd w:val="clear" w:color="000000" w:fill="FFFFFF"/>
      <w:spacing w:before="280" w:after="280"/>
      <w:jc w:val="center"/>
    </w:pPr>
    <w:rPr>
      <w:rFonts w:ascii="宋体" w:hAnsi="Calibri"/>
      <w:kern w:val="0"/>
      <w:sz w:val="20"/>
      <w:szCs w:val="20"/>
    </w:rPr>
  </w:style>
  <w:style w:type="paragraph" w:customStyle="1" w:styleId="295">
    <w:name w:val="toc 112"/>
    <w:next w:val="1"/>
    <w:qFormat/>
    <w:uiPriority w:val="0"/>
    <w:pPr>
      <w:wordWrap w:val="0"/>
      <w:jc w:val="both"/>
    </w:pPr>
    <w:rPr>
      <w:rFonts w:ascii="Calibri" w:hAnsi="Calibri" w:eastAsia="宋体" w:cs="Times New Roman"/>
      <w:sz w:val="21"/>
      <w:lang w:val="en-US" w:eastAsia="zh-CN" w:bidi="ar-SA"/>
    </w:rPr>
  </w:style>
  <w:style w:type="paragraph" w:customStyle="1" w:styleId="296">
    <w:name w:val="xl96"/>
    <w:basedOn w:val="1"/>
    <w:next w:val="247"/>
    <w:qFormat/>
    <w:uiPriority w:val="0"/>
    <w:pPr>
      <w:widowControl/>
      <w:shd w:val="clear" w:color="000000" w:fill="FFFFFF"/>
      <w:spacing w:before="280" w:after="280"/>
      <w:jc w:val="center"/>
    </w:pPr>
    <w:rPr>
      <w:rFonts w:ascii="宋体" w:hAnsi="Calibri"/>
      <w:kern w:val="0"/>
      <w:sz w:val="20"/>
      <w:szCs w:val="20"/>
    </w:rPr>
  </w:style>
  <w:style w:type="paragraph" w:customStyle="1" w:styleId="297">
    <w:name w:val="xl106"/>
    <w:basedOn w:val="1"/>
    <w:next w:val="281"/>
    <w:qFormat/>
    <w:uiPriority w:val="0"/>
    <w:pPr>
      <w:widowControl/>
      <w:shd w:val="clear" w:color="000000" w:fill="FFFFFF"/>
      <w:spacing w:before="280" w:after="280"/>
    </w:pPr>
    <w:rPr>
      <w:rFonts w:ascii="宋体" w:hAnsi="Calibri"/>
      <w:kern w:val="0"/>
      <w:sz w:val="20"/>
      <w:szCs w:val="20"/>
    </w:rPr>
  </w:style>
  <w:style w:type="paragraph" w:customStyle="1" w:styleId="298">
    <w:name w:val="toc 35"/>
    <w:next w:val="1"/>
    <w:qFormat/>
    <w:uiPriority w:val="0"/>
    <w:pPr>
      <w:wordWrap w:val="0"/>
      <w:ind w:left="850"/>
      <w:jc w:val="both"/>
    </w:pPr>
    <w:rPr>
      <w:rFonts w:ascii="Calibri" w:hAnsi="Calibri" w:eastAsia="宋体" w:cs="Times New Roman"/>
      <w:sz w:val="21"/>
      <w:lang w:val="en-US" w:eastAsia="zh-CN" w:bidi="ar-SA"/>
    </w:rPr>
  </w:style>
  <w:style w:type="paragraph" w:customStyle="1" w:styleId="299">
    <w:name w:val="TOC Heading14"/>
    <w:next w:val="1"/>
    <w:qFormat/>
    <w:uiPriority w:val="0"/>
    <w:pPr>
      <w:wordWrap w:val="0"/>
    </w:pPr>
    <w:rPr>
      <w:rFonts w:ascii="Calibri" w:hAnsi="Calibri" w:eastAsia="宋体" w:cs="Times New Roman"/>
      <w:sz w:val="32"/>
      <w:lang w:val="en-US" w:eastAsia="zh-CN" w:bidi="ar-SA"/>
    </w:rPr>
  </w:style>
  <w:style w:type="paragraph" w:customStyle="1" w:styleId="300">
    <w:name w:val="Char Char Char Char Char Char Char1"/>
    <w:basedOn w:val="1"/>
    <w:next w:val="301"/>
    <w:qFormat/>
    <w:uiPriority w:val="0"/>
    <w:pPr>
      <w:widowControl/>
      <w:spacing w:after="160" w:line="240" w:lineRule="exact"/>
    </w:pPr>
    <w:rPr>
      <w:rFonts w:hAnsi="Calibri"/>
      <w:kern w:val="0"/>
      <w:szCs w:val="20"/>
    </w:rPr>
  </w:style>
  <w:style w:type="paragraph" w:customStyle="1" w:styleId="301">
    <w:name w:val="toc 67"/>
    <w:next w:val="1"/>
    <w:qFormat/>
    <w:uiPriority w:val="0"/>
    <w:pPr>
      <w:wordWrap w:val="0"/>
      <w:ind w:left="2125"/>
      <w:jc w:val="both"/>
    </w:pPr>
    <w:rPr>
      <w:rFonts w:ascii="Calibri" w:hAnsi="Calibri" w:eastAsia="宋体" w:cs="Times New Roman"/>
      <w:sz w:val="21"/>
      <w:lang w:val="en-US" w:eastAsia="zh-CN" w:bidi="ar-SA"/>
    </w:rPr>
  </w:style>
  <w:style w:type="paragraph" w:customStyle="1" w:styleId="302">
    <w:name w:val="列出段落4"/>
    <w:basedOn w:val="1"/>
    <w:next w:val="303"/>
    <w:qFormat/>
    <w:uiPriority w:val="0"/>
    <w:pPr>
      <w:ind w:firstLine="420"/>
    </w:pPr>
    <w:rPr>
      <w:rFonts w:hAnsi="Calibri"/>
      <w:kern w:val="0"/>
      <w:szCs w:val="20"/>
    </w:rPr>
  </w:style>
  <w:style w:type="paragraph" w:customStyle="1" w:styleId="303">
    <w:name w:val="TOC Heading9"/>
    <w:next w:val="1"/>
    <w:qFormat/>
    <w:uiPriority w:val="0"/>
    <w:pPr>
      <w:wordWrap w:val="0"/>
    </w:pPr>
    <w:rPr>
      <w:rFonts w:ascii="Calibri" w:hAnsi="Calibri" w:eastAsia="宋体" w:cs="Times New Roman"/>
      <w:sz w:val="32"/>
      <w:lang w:val="en-US" w:eastAsia="zh-CN" w:bidi="ar-SA"/>
    </w:rPr>
  </w:style>
  <w:style w:type="paragraph" w:customStyle="1" w:styleId="304">
    <w:name w:val="xl71"/>
    <w:basedOn w:val="1"/>
    <w:next w:val="305"/>
    <w:qFormat/>
    <w:uiPriority w:val="0"/>
    <w:pPr>
      <w:widowControl/>
      <w:shd w:val="clear" w:color="000000" w:fill="FFFFFF"/>
      <w:spacing w:before="280" w:after="280"/>
    </w:pPr>
    <w:rPr>
      <w:rFonts w:ascii="宋体" w:hAnsi="Calibri"/>
      <w:kern w:val="0"/>
      <w:sz w:val="24"/>
      <w:szCs w:val="20"/>
    </w:rPr>
  </w:style>
  <w:style w:type="paragraph" w:customStyle="1" w:styleId="305">
    <w:name w:val="toc 115"/>
    <w:next w:val="1"/>
    <w:qFormat/>
    <w:uiPriority w:val="0"/>
    <w:pPr>
      <w:wordWrap w:val="0"/>
      <w:jc w:val="both"/>
    </w:pPr>
    <w:rPr>
      <w:rFonts w:ascii="Calibri" w:hAnsi="Calibri" w:eastAsia="宋体" w:cs="Times New Roman"/>
      <w:sz w:val="21"/>
      <w:lang w:val="en-US" w:eastAsia="zh-CN" w:bidi="ar-SA"/>
    </w:rPr>
  </w:style>
  <w:style w:type="paragraph" w:customStyle="1" w:styleId="306">
    <w:name w:val="toc 51"/>
    <w:next w:val="1"/>
    <w:qFormat/>
    <w:uiPriority w:val="0"/>
    <w:pPr>
      <w:wordWrap w:val="0"/>
      <w:ind w:left="1700"/>
      <w:jc w:val="both"/>
    </w:pPr>
    <w:rPr>
      <w:rFonts w:ascii="Calibri" w:hAnsi="Calibri" w:eastAsia="宋体" w:cs="Times New Roman"/>
      <w:sz w:val="21"/>
      <w:lang w:val="en-US" w:eastAsia="zh-CN" w:bidi="ar-SA"/>
    </w:rPr>
  </w:style>
  <w:style w:type="paragraph" w:customStyle="1" w:styleId="307">
    <w:name w:val="toc 47"/>
    <w:next w:val="1"/>
    <w:qFormat/>
    <w:uiPriority w:val="0"/>
    <w:pPr>
      <w:wordWrap w:val="0"/>
      <w:ind w:left="1275"/>
      <w:jc w:val="both"/>
    </w:pPr>
    <w:rPr>
      <w:rFonts w:ascii="Calibri" w:hAnsi="Calibri" w:eastAsia="宋体" w:cs="Times New Roman"/>
      <w:sz w:val="21"/>
      <w:lang w:val="en-US" w:eastAsia="zh-CN" w:bidi="ar-SA"/>
    </w:rPr>
  </w:style>
  <w:style w:type="paragraph" w:customStyle="1" w:styleId="308">
    <w:name w:val="xl108"/>
    <w:basedOn w:val="1"/>
    <w:next w:val="309"/>
    <w:qFormat/>
    <w:uiPriority w:val="0"/>
    <w:pPr>
      <w:widowControl/>
      <w:shd w:val="clear" w:color="000000" w:fill="FFFFFF"/>
      <w:spacing w:before="280" w:after="280"/>
    </w:pPr>
    <w:rPr>
      <w:rFonts w:ascii="宋体" w:hAnsi="Calibri"/>
      <w:kern w:val="0"/>
      <w:sz w:val="18"/>
      <w:szCs w:val="20"/>
    </w:rPr>
  </w:style>
  <w:style w:type="paragraph" w:customStyle="1" w:styleId="309">
    <w:name w:val="toc 18"/>
    <w:next w:val="1"/>
    <w:qFormat/>
    <w:uiPriority w:val="0"/>
    <w:pPr>
      <w:wordWrap w:val="0"/>
      <w:jc w:val="both"/>
    </w:pPr>
    <w:rPr>
      <w:rFonts w:ascii="Calibri" w:hAnsi="Calibri" w:eastAsia="宋体" w:cs="Times New Roman"/>
      <w:sz w:val="21"/>
      <w:lang w:val="en-US" w:eastAsia="zh-CN" w:bidi="ar-SA"/>
    </w:rPr>
  </w:style>
  <w:style w:type="paragraph" w:customStyle="1" w:styleId="310">
    <w:name w:val="TOC Heading7"/>
    <w:next w:val="1"/>
    <w:qFormat/>
    <w:uiPriority w:val="0"/>
    <w:pPr>
      <w:wordWrap w:val="0"/>
    </w:pPr>
    <w:rPr>
      <w:rFonts w:ascii="Calibri" w:hAnsi="Calibri" w:eastAsia="宋体" w:cs="Times New Roman"/>
      <w:sz w:val="32"/>
      <w:lang w:val="en-US" w:eastAsia="zh-CN" w:bidi="ar-SA"/>
    </w:rPr>
  </w:style>
  <w:style w:type="character" w:customStyle="1" w:styleId="311">
    <w:name w:val="副标题 Char"/>
    <w:basedOn w:val="48"/>
    <w:link w:val="33"/>
    <w:qFormat/>
    <w:uiPriority w:val="0"/>
    <w:rPr>
      <w:rFonts w:ascii="Calibri" w:hAnsi="Calibri"/>
      <w:sz w:val="24"/>
    </w:rPr>
  </w:style>
  <w:style w:type="paragraph" w:customStyle="1" w:styleId="312">
    <w:name w:val="目录 71"/>
    <w:next w:val="1"/>
    <w:qFormat/>
    <w:uiPriority w:val="0"/>
    <w:pPr>
      <w:wordWrap w:val="0"/>
      <w:ind w:left="2550"/>
      <w:jc w:val="both"/>
    </w:pPr>
    <w:rPr>
      <w:rFonts w:ascii="Calibri" w:hAnsi="Calibri" w:eastAsia="宋体" w:cs="Times New Roman"/>
      <w:sz w:val="21"/>
      <w:lang w:val="en-US" w:eastAsia="zh-CN" w:bidi="ar-SA"/>
    </w:rPr>
  </w:style>
  <w:style w:type="paragraph" w:customStyle="1" w:styleId="313">
    <w:name w:val="toc 413"/>
    <w:next w:val="1"/>
    <w:qFormat/>
    <w:uiPriority w:val="0"/>
    <w:pPr>
      <w:wordWrap w:val="0"/>
      <w:ind w:left="1275"/>
      <w:jc w:val="both"/>
    </w:pPr>
    <w:rPr>
      <w:rFonts w:ascii="Calibri" w:hAnsi="Calibri" w:eastAsia="宋体" w:cs="Times New Roman"/>
      <w:sz w:val="21"/>
      <w:lang w:val="en-US" w:eastAsia="zh-CN" w:bidi="ar-SA"/>
    </w:rPr>
  </w:style>
  <w:style w:type="paragraph" w:customStyle="1" w:styleId="314">
    <w:name w:val="toc 85"/>
    <w:next w:val="1"/>
    <w:qFormat/>
    <w:uiPriority w:val="0"/>
    <w:pPr>
      <w:wordWrap w:val="0"/>
      <w:ind w:left="2975"/>
      <w:jc w:val="both"/>
    </w:pPr>
    <w:rPr>
      <w:rFonts w:ascii="Calibri" w:hAnsi="Calibri" w:eastAsia="宋体" w:cs="Times New Roman"/>
      <w:sz w:val="21"/>
      <w:lang w:val="en-US" w:eastAsia="zh-CN" w:bidi="ar-SA"/>
    </w:rPr>
  </w:style>
  <w:style w:type="paragraph" w:customStyle="1" w:styleId="315">
    <w:name w:val="列出段落6"/>
    <w:basedOn w:val="1"/>
    <w:next w:val="316"/>
    <w:qFormat/>
    <w:uiPriority w:val="0"/>
    <w:pPr>
      <w:ind w:firstLine="420"/>
    </w:pPr>
    <w:rPr>
      <w:rFonts w:hAnsi="Calibri"/>
      <w:kern w:val="0"/>
      <w:szCs w:val="20"/>
    </w:rPr>
  </w:style>
  <w:style w:type="paragraph" w:customStyle="1" w:styleId="316">
    <w:name w:val="toc 86"/>
    <w:next w:val="1"/>
    <w:qFormat/>
    <w:uiPriority w:val="0"/>
    <w:pPr>
      <w:wordWrap w:val="0"/>
      <w:ind w:left="2975"/>
      <w:jc w:val="both"/>
    </w:pPr>
    <w:rPr>
      <w:rFonts w:ascii="Calibri" w:hAnsi="Calibri" w:eastAsia="宋体" w:cs="Times New Roman"/>
      <w:sz w:val="21"/>
      <w:lang w:val="en-US" w:eastAsia="zh-CN" w:bidi="ar-SA"/>
    </w:rPr>
  </w:style>
  <w:style w:type="paragraph" w:customStyle="1" w:styleId="317">
    <w:name w:val="xl80"/>
    <w:basedOn w:val="1"/>
    <w:next w:val="318"/>
    <w:qFormat/>
    <w:uiPriority w:val="0"/>
    <w:pPr>
      <w:widowControl/>
      <w:shd w:val="clear" w:color="000000" w:fill="FFFFFF"/>
      <w:spacing w:before="280" w:after="280"/>
      <w:jc w:val="center"/>
    </w:pPr>
    <w:rPr>
      <w:rFonts w:ascii="宋体" w:hAnsi="Calibri"/>
      <w:b/>
      <w:kern w:val="0"/>
      <w:sz w:val="20"/>
      <w:szCs w:val="20"/>
    </w:rPr>
  </w:style>
  <w:style w:type="paragraph" w:customStyle="1" w:styleId="318">
    <w:name w:val="toc 49"/>
    <w:next w:val="1"/>
    <w:qFormat/>
    <w:uiPriority w:val="0"/>
    <w:pPr>
      <w:wordWrap w:val="0"/>
      <w:ind w:left="1275"/>
      <w:jc w:val="both"/>
    </w:pPr>
    <w:rPr>
      <w:rFonts w:ascii="Calibri" w:hAnsi="Calibri" w:eastAsia="宋体" w:cs="Times New Roman"/>
      <w:sz w:val="21"/>
      <w:lang w:val="en-US" w:eastAsia="zh-CN" w:bidi="ar-SA"/>
    </w:rPr>
  </w:style>
  <w:style w:type="paragraph" w:customStyle="1" w:styleId="319">
    <w:name w:val="Char Char Char Char1"/>
    <w:basedOn w:val="1"/>
    <w:next w:val="320"/>
    <w:qFormat/>
    <w:uiPriority w:val="0"/>
    <w:pPr>
      <w:widowControl/>
      <w:spacing w:after="160" w:line="240" w:lineRule="exact"/>
    </w:pPr>
    <w:rPr>
      <w:rFonts w:ascii="Verdana" w:hAnsi="Calibri" w:eastAsia="仿宋_GB2312"/>
      <w:kern w:val="0"/>
      <w:sz w:val="24"/>
      <w:szCs w:val="20"/>
    </w:rPr>
  </w:style>
  <w:style w:type="paragraph" w:customStyle="1" w:styleId="320">
    <w:name w:val="toc 713"/>
    <w:next w:val="1"/>
    <w:qFormat/>
    <w:uiPriority w:val="0"/>
    <w:pPr>
      <w:wordWrap w:val="0"/>
      <w:ind w:left="2550"/>
      <w:jc w:val="both"/>
    </w:pPr>
    <w:rPr>
      <w:rFonts w:ascii="Calibri" w:hAnsi="Calibri" w:eastAsia="宋体" w:cs="Times New Roman"/>
      <w:sz w:val="21"/>
      <w:lang w:val="en-US" w:eastAsia="zh-CN" w:bidi="ar-SA"/>
    </w:rPr>
  </w:style>
  <w:style w:type="paragraph" w:customStyle="1" w:styleId="321">
    <w:name w:val="xl102"/>
    <w:basedOn w:val="1"/>
    <w:next w:val="322"/>
    <w:qFormat/>
    <w:uiPriority w:val="0"/>
    <w:pPr>
      <w:widowControl/>
      <w:shd w:val="clear" w:color="000000" w:fill="FFFFFF"/>
      <w:spacing w:before="280" w:after="280"/>
      <w:jc w:val="right"/>
    </w:pPr>
    <w:rPr>
      <w:rFonts w:ascii="宋体" w:hAnsi="Calibri"/>
      <w:kern w:val="0"/>
      <w:sz w:val="20"/>
      <w:szCs w:val="20"/>
    </w:rPr>
  </w:style>
  <w:style w:type="paragraph" w:customStyle="1" w:styleId="322">
    <w:name w:val="toc 17"/>
    <w:next w:val="1"/>
    <w:qFormat/>
    <w:uiPriority w:val="0"/>
    <w:pPr>
      <w:wordWrap w:val="0"/>
      <w:jc w:val="both"/>
    </w:pPr>
    <w:rPr>
      <w:rFonts w:ascii="Calibri" w:hAnsi="Calibri" w:eastAsia="宋体" w:cs="Times New Roman"/>
      <w:sz w:val="21"/>
      <w:lang w:val="en-US" w:eastAsia="zh-CN" w:bidi="ar-SA"/>
    </w:rPr>
  </w:style>
  <w:style w:type="paragraph" w:customStyle="1" w:styleId="323">
    <w:name w:val="toc 46"/>
    <w:next w:val="1"/>
    <w:qFormat/>
    <w:uiPriority w:val="0"/>
    <w:pPr>
      <w:wordWrap w:val="0"/>
      <w:ind w:left="1275"/>
      <w:jc w:val="both"/>
    </w:pPr>
    <w:rPr>
      <w:rFonts w:ascii="Calibri" w:hAnsi="Calibri" w:eastAsia="宋体" w:cs="Times New Roman"/>
      <w:sz w:val="21"/>
      <w:lang w:val="en-US" w:eastAsia="zh-CN" w:bidi="ar-SA"/>
    </w:rPr>
  </w:style>
  <w:style w:type="paragraph" w:customStyle="1" w:styleId="324">
    <w:name w:val="toc 311"/>
    <w:next w:val="1"/>
    <w:qFormat/>
    <w:uiPriority w:val="0"/>
    <w:pPr>
      <w:wordWrap w:val="0"/>
      <w:ind w:left="850"/>
      <w:jc w:val="both"/>
    </w:pPr>
    <w:rPr>
      <w:rFonts w:ascii="Calibri" w:hAnsi="Calibri" w:eastAsia="宋体" w:cs="Times New Roman"/>
      <w:sz w:val="21"/>
      <w:lang w:val="en-US" w:eastAsia="zh-CN" w:bidi="ar-SA"/>
    </w:rPr>
  </w:style>
  <w:style w:type="paragraph" w:customStyle="1" w:styleId="325">
    <w:name w:val="xl65"/>
    <w:basedOn w:val="1"/>
    <w:next w:val="226"/>
    <w:qFormat/>
    <w:uiPriority w:val="0"/>
    <w:pPr>
      <w:widowControl/>
      <w:shd w:val="clear" w:color="000000" w:fill="FFFFFF"/>
      <w:spacing w:before="280" w:after="280"/>
      <w:jc w:val="center"/>
    </w:pPr>
    <w:rPr>
      <w:rFonts w:ascii="宋体" w:hAnsi="Calibri"/>
      <w:kern w:val="0"/>
      <w:sz w:val="20"/>
      <w:szCs w:val="20"/>
    </w:rPr>
  </w:style>
  <w:style w:type="paragraph" w:customStyle="1" w:styleId="326">
    <w:name w:val="toc 94"/>
    <w:next w:val="1"/>
    <w:qFormat/>
    <w:uiPriority w:val="0"/>
    <w:pPr>
      <w:wordWrap w:val="0"/>
      <w:ind w:left="3400"/>
      <w:jc w:val="both"/>
    </w:pPr>
    <w:rPr>
      <w:rFonts w:ascii="Calibri" w:hAnsi="Calibri" w:eastAsia="宋体" w:cs="Times New Roman"/>
      <w:sz w:val="21"/>
      <w:lang w:val="en-US" w:eastAsia="zh-CN" w:bidi="ar-SA"/>
    </w:rPr>
  </w:style>
  <w:style w:type="paragraph" w:customStyle="1" w:styleId="327">
    <w:name w:val="toc 55"/>
    <w:next w:val="1"/>
    <w:qFormat/>
    <w:uiPriority w:val="0"/>
    <w:pPr>
      <w:wordWrap w:val="0"/>
      <w:ind w:left="1700"/>
      <w:jc w:val="both"/>
    </w:pPr>
    <w:rPr>
      <w:rFonts w:ascii="Calibri" w:hAnsi="Calibri" w:eastAsia="宋体" w:cs="Times New Roman"/>
      <w:sz w:val="21"/>
      <w:lang w:val="en-US" w:eastAsia="zh-CN" w:bidi="ar-SA"/>
    </w:rPr>
  </w:style>
  <w:style w:type="paragraph" w:customStyle="1" w:styleId="328">
    <w:name w:val="toc 812"/>
    <w:next w:val="1"/>
    <w:qFormat/>
    <w:uiPriority w:val="0"/>
    <w:pPr>
      <w:wordWrap w:val="0"/>
      <w:ind w:left="2975"/>
      <w:jc w:val="both"/>
    </w:pPr>
    <w:rPr>
      <w:rFonts w:ascii="Calibri" w:hAnsi="Calibri" w:eastAsia="宋体" w:cs="Times New Roman"/>
      <w:sz w:val="21"/>
      <w:lang w:val="en-US" w:eastAsia="zh-CN" w:bidi="ar-SA"/>
    </w:rPr>
  </w:style>
  <w:style w:type="paragraph" w:customStyle="1" w:styleId="329">
    <w:name w:val="xl75"/>
    <w:basedOn w:val="1"/>
    <w:next w:val="330"/>
    <w:qFormat/>
    <w:uiPriority w:val="0"/>
    <w:pPr>
      <w:widowControl/>
      <w:shd w:val="clear" w:color="000000" w:fill="FFFFFF"/>
      <w:spacing w:before="280" w:after="280"/>
    </w:pPr>
    <w:rPr>
      <w:rFonts w:ascii="宋体" w:hAnsi="Calibri"/>
      <w:kern w:val="0"/>
      <w:sz w:val="20"/>
      <w:szCs w:val="20"/>
    </w:rPr>
  </w:style>
  <w:style w:type="paragraph" w:customStyle="1" w:styleId="330">
    <w:name w:val="toc 914"/>
    <w:next w:val="1"/>
    <w:qFormat/>
    <w:uiPriority w:val="0"/>
    <w:pPr>
      <w:wordWrap w:val="0"/>
      <w:ind w:left="3400"/>
      <w:jc w:val="both"/>
    </w:pPr>
    <w:rPr>
      <w:rFonts w:ascii="Calibri" w:hAnsi="Calibri" w:eastAsia="宋体" w:cs="Times New Roman"/>
      <w:sz w:val="21"/>
      <w:lang w:val="en-US" w:eastAsia="zh-CN" w:bidi="ar-SA"/>
    </w:rPr>
  </w:style>
  <w:style w:type="paragraph" w:customStyle="1" w:styleId="331">
    <w:name w:val="toc 19"/>
    <w:next w:val="1"/>
    <w:qFormat/>
    <w:uiPriority w:val="0"/>
    <w:pPr>
      <w:wordWrap w:val="0"/>
      <w:jc w:val="both"/>
    </w:pPr>
    <w:rPr>
      <w:rFonts w:ascii="Calibri" w:hAnsi="Calibri" w:eastAsia="宋体" w:cs="Times New Roman"/>
      <w:sz w:val="21"/>
      <w:lang w:val="en-US" w:eastAsia="zh-CN" w:bidi="ar-SA"/>
    </w:rPr>
  </w:style>
  <w:style w:type="paragraph" w:customStyle="1" w:styleId="332">
    <w:name w:val="TOC Heading6"/>
    <w:next w:val="1"/>
    <w:qFormat/>
    <w:uiPriority w:val="0"/>
    <w:pPr>
      <w:wordWrap w:val="0"/>
    </w:pPr>
    <w:rPr>
      <w:rFonts w:ascii="Calibri" w:hAnsi="Calibri" w:eastAsia="宋体" w:cs="Times New Roman"/>
      <w:sz w:val="32"/>
      <w:lang w:val="en-US" w:eastAsia="zh-CN" w:bidi="ar-SA"/>
    </w:rPr>
  </w:style>
  <w:style w:type="paragraph" w:customStyle="1" w:styleId="333">
    <w:name w:val="toc 52"/>
    <w:next w:val="1"/>
    <w:qFormat/>
    <w:uiPriority w:val="0"/>
    <w:pPr>
      <w:wordWrap w:val="0"/>
      <w:ind w:left="1700"/>
      <w:jc w:val="both"/>
    </w:pPr>
    <w:rPr>
      <w:rFonts w:ascii="Calibri" w:hAnsi="Calibri" w:eastAsia="宋体" w:cs="Times New Roman"/>
      <w:sz w:val="21"/>
      <w:lang w:val="en-US" w:eastAsia="zh-CN" w:bidi="ar-SA"/>
    </w:rPr>
  </w:style>
  <w:style w:type="paragraph" w:customStyle="1" w:styleId="334">
    <w:name w:val="toc 36"/>
    <w:next w:val="1"/>
    <w:qFormat/>
    <w:uiPriority w:val="0"/>
    <w:pPr>
      <w:wordWrap w:val="0"/>
      <w:ind w:left="850"/>
      <w:jc w:val="both"/>
    </w:pPr>
    <w:rPr>
      <w:rFonts w:ascii="Calibri" w:hAnsi="Calibri" w:eastAsia="宋体" w:cs="Times New Roman"/>
      <w:sz w:val="21"/>
      <w:lang w:val="en-US" w:eastAsia="zh-CN" w:bidi="ar-SA"/>
    </w:rPr>
  </w:style>
  <w:style w:type="paragraph" w:customStyle="1" w:styleId="335">
    <w:name w:val="toc 82"/>
    <w:next w:val="1"/>
    <w:qFormat/>
    <w:uiPriority w:val="0"/>
    <w:pPr>
      <w:wordWrap w:val="0"/>
      <w:ind w:left="2975"/>
      <w:jc w:val="both"/>
    </w:pPr>
    <w:rPr>
      <w:rFonts w:ascii="Calibri" w:hAnsi="Calibri" w:eastAsia="宋体" w:cs="Times New Roman"/>
      <w:sz w:val="21"/>
      <w:lang w:val="en-US" w:eastAsia="zh-CN" w:bidi="ar-SA"/>
    </w:rPr>
  </w:style>
  <w:style w:type="paragraph" w:customStyle="1" w:styleId="336">
    <w:name w:val="xl104"/>
    <w:basedOn w:val="1"/>
    <w:next w:val="337"/>
    <w:qFormat/>
    <w:uiPriority w:val="0"/>
    <w:pPr>
      <w:widowControl/>
      <w:shd w:val="clear" w:color="000000" w:fill="FFFFFF"/>
      <w:spacing w:before="280" w:after="280"/>
      <w:jc w:val="center"/>
    </w:pPr>
    <w:rPr>
      <w:rFonts w:ascii="宋体" w:hAnsi="Calibri"/>
      <w:kern w:val="0"/>
      <w:sz w:val="20"/>
      <w:szCs w:val="20"/>
    </w:rPr>
  </w:style>
  <w:style w:type="paragraph" w:customStyle="1" w:styleId="337">
    <w:name w:val="toc 210"/>
    <w:next w:val="1"/>
    <w:qFormat/>
    <w:uiPriority w:val="0"/>
    <w:pPr>
      <w:wordWrap w:val="0"/>
      <w:ind w:left="425"/>
      <w:jc w:val="both"/>
    </w:pPr>
    <w:rPr>
      <w:rFonts w:ascii="Calibri" w:hAnsi="Calibri" w:eastAsia="宋体" w:cs="Times New Roman"/>
      <w:sz w:val="21"/>
      <w:lang w:val="en-US" w:eastAsia="zh-CN" w:bidi="ar-SA"/>
    </w:rPr>
  </w:style>
  <w:style w:type="paragraph" w:customStyle="1" w:styleId="338">
    <w:name w:val="toc 110"/>
    <w:next w:val="1"/>
    <w:qFormat/>
    <w:uiPriority w:val="0"/>
    <w:pPr>
      <w:wordWrap w:val="0"/>
      <w:jc w:val="both"/>
    </w:pPr>
    <w:rPr>
      <w:rFonts w:ascii="Calibri" w:hAnsi="Calibri" w:eastAsia="宋体" w:cs="Times New Roman"/>
      <w:sz w:val="21"/>
      <w:lang w:val="en-US" w:eastAsia="zh-CN" w:bidi="ar-SA"/>
    </w:rPr>
  </w:style>
  <w:style w:type="paragraph" w:customStyle="1" w:styleId="339">
    <w:name w:val="toc 66"/>
    <w:next w:val="1"/>
    <w:qFormat/>
    <w:uiPriority w:val="0"/>
    <w:pPr>
      <w:wordWrap w:val="0"/>
      <w:ind w:left="2125"/>
      <w:jc w:val="both"/>
    </w:pPr>
    <w:rPr>
      <w:rFonts w:ascii="Calibri" w:hAnsi="Calibri" w:eastAsia="宋体" w:cs="Times New Roman"/>
      <w:sz w:val="21"/>
      <w:lang w:val="en-US" w:eastAsia="zh-CN" w:bidi="ar-SA"/>
    </w:rPr>
  </w:style>
  <w:style w:type="paragraph" w:customStyle="1" w:styleId="340">
    <w:name w:val="toc 31"/>
    <w:next w:val="1"/>
    <w:qFormat/>
    <w:uiPriority w:val="0"/>
    <w:pPr>
      <w:wordWrap w:val="0"/>
      <w:ind w:left="850"/>
      <w:jc w:val="both"/>
    </w:pPr>
    <w:rPr>
      <w:rFonts w:ascii="Calibri" w:hAnsi="Calibri" w:eastAsia="宋体" w:cs="Times New Roman"/>
      <w:sz w:val="21"/>
      <w:lang w:val="en-US" w:eastAsia="zh-CN" w:bidi="ar-SA"/>
    </w:rPr>
  </w:style>
  <w:style w:type="paragraph" w:customStyle="1" w:styleId="341">
    <w:name w:val="toc 93"/>
    <w:next w:val="1"/>
    <w:qFormat/>
    <w:uiPriority w:val="0"/>
    <w:pPr>
      <w:wordWrap w:val="0"/>
      <w:ind w:left="3400"/>
      <w:jc w:val="both"/>
    </w:pPr>
    <w:rPr>
      <w:rFonts w:ascii="Calibri" w:hAnsi="Calibri" w:eastAsia="宋体" w:cs="Times New Roman"/>
      <w:sz w:val="21"/>
      <w:lang w:val="en-US" w:eastAsia="zh-CN" w:bidi="ar-SA"/>
    </w:rPr>
  </w:style>
  <w:style w:type="paragraph" w:customStyle="1" w:styleId="342">
    <w:name w:val="toc 614"/>
    <w:next w:val="1"/>
    <w:qFormat/>
    <w:uiPriority w:val="0"/>
    <w:pPr>
      <w:wordWrap w:val="0"/>
      <w:ind w:left="2125"/>
      <w:jc w:val="both"/>
    </w:pPr>
    <w:rPr>
      <w:rFonts w:ascii="Calibri" w:hAnsi="Calibri" w:eastAsia="宋体" w:cs="Times New Roman"/>
      <w:sz w:val="21"/>
      <w:lang w:val="en-US" w:eastAsia="zh-CN" w:bidi="ar-SA"/>
    </w:rPr>
  </w:style>
  <w:style w:type="paragraph" w:customStyle="1" w:styleId="343">
    <w:name w:val="无间隔1"/>
    <w:next w:val="338"/>
    <w:qFormat/>
    <w:uiPriority w:val="0"/>
    <w:pPr>
      <w:widowControl w:val="0"/>
      <w:jc w:val="both"/>
    </w:pPr>
    <w:rPr>
      <w:rFonts w:ascii="Calibri" w:hAnsi="Calibri" w:eastAsia="宋体" w:cs="Times New Roman"/>
      <w:sz w:val="22"/>
      <w:lang w:val="en-US" w:eastAsia="zh-CN" w:bidi="ar-SA"/>
    </w:rPr>
  </w:style>
  <w:style w:type="paragraph" w:customStyle="1" w:styleId="344">
    <w:name w:val="目录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5">
    <w:name w:val="xl105"/>
    <w:basedOn w:val="1"/>
    <w:next w:val="346"/>
    <w:qFormat/>
    <w:uiPriority w:val="0"/>
    <w:pPr>
      <w:widowControl/>
      <w:shd w:val="clear" w:color="000000" w:fill="FFFFFF"/>
      <w:spacing w:before="280" w:after="280"/>
    </w:pPr>
    <w:rPr>
      <w:rFonts w:ascii="宋体" w:hAnsi="Calibri"/>
      <w:kern w:val="0"/>
      <w:sz w:val="18"/>
      <w:szCs w:val="20"/>
    </w:rPr>
  </w:style>
  <w:style w:type="paragraph" w:customStyle="1" w:styleId="346">
    <w:name w:val="toc 615"/>
    <w:next w:val="1"/>
    <w:qFormat/>
    <w:uiPriority w:val="0"/>
    <w:pPr>
      <w:wordWrap w:val="0"/>
      <w:ind w:left="2125"/>
      <w:jc w:val="both"/>
    </w:pPr>
    <w:rPr>
      <w:rFonts w:ascii="Calibri" w:hAnsi="Calibri" w:eastAsia="宋体" w:cs="Times New Roman"/>
      <w:sz w:val="21"/>
      <w:lang w:val="en-US" w:eastAsia="zh-CN" w:bidi="ar-SA"/>
    </w:rPr>
  </w:style>
  <w:style w:type="paragraph" w:customStyle="1" w:styleId="347">
    <w:name w:val="toc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8">
    <w:name w:val="toc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49">
    <w:name w:val="xl111"/>
    <w:basedOn w:val="1"/>
    <w:next w:val="350"/>
    <w:qFormat/>
    <w:uiPriority w:val="0"/>
    <w:pPr>
      <w:widowControl/>
      <w:shd w:val="clear" w:color="000000" w:fill="FFFFFF"/>
      <w:spacing w:before="280" w:after="280"/>
      <w:jc w:val="center"/>
    </w:pPr>
    <w:rPr>
      <w:rFonts w:ascii="宋体" w:hAnsi="Calibri"/>
      <w:b/>
      <w:kern w:val="0"/>
      <w:sz w:val="20"/>
      <w:szCs w:val="20"/>
    </w:rPr>
  </w:style>
  <w:style w:type="paragraph" w:customStyle="1" w:styleId="350">
    <w:name w:val="toc 88"/>
    <w:next w:val="1"/>
    <w:qFormat/>
    <w:uiPriority w:val="0"/>
    <w:pPr>
      <w:wordWrap w:val="0"/>
      <w:ind w:left="2975"/>
      <w:jc w:val="both"/>
    </w:pPr>
    <w:rPr>
      <w:rFonts w:ascii="Calibri" w:hAnsi="Calibri" w:eastAsia="宋体" w:cs="Times New Roman"/>
      <w:sz w:val="21"/>
      <w:lang w:val="en-US" w:eastAsia="zh-CN" w:bidi="ar-SA"/>
    </w:rPr>
  </w:style>
  <w:style w:type="paragraph" w:customStyle="1" w:styleId="351">
    <w:name w:val="toc 84"/>
    <w:next w:val="1"/>
    <w:qFormat/>
    <w:uiPriority w:val="0"/>
    <w:pPr>
      <w:wordWrap w:val="0"/>
      <w:ind w:left="2975"/>
      <w:jc w:val="both"/>
    </w:pPr>
    <w:rPr>
      <w:rFonts w:ascii="Calibri" w:hAnsi="Calibri" w:eastAsia="宋体" w:cs="Times New Roman"/>
      <w:sz w:val="21"/>
      <w:lang w:val="en-US" w:eastAsia="zh-CN" w:bidi="ar-SA"/>
    </w:rPr>
  </w:style>
  <w:style w:type="paragraph" w:customStyle="1" w:styleId="352">
    <w:name w:val="p0"/>
    <w:basedOn w:val="1"/>
    <w:next w:val="353"/>
    <w:qFormat/>
    <w:uiPriority w:val="0"/>
    <w:pPr>
      <w:widowControl/>
      <w:spacing w:before="280" w:after="280"/>
    </w:pPr>
    <w:rPr>
      <w:rFonts w:ascii="宋体" w:hAnsi="Calibri"/>
      <w:kern w:val="0"/>
      <w:sz w:val="24"/>
      <w:szCs w:val="20"/>
    </w:rPr>
  </w:style>
  <w:style w:type="paragraph" w:customStyle="1" w:styleId="353">
    <w:name w:val="toc 69"/>
    <w:next w:val="1"/>
    <w:qFormat/>
    <w:uiPriority w:val="0"/>
    <w:pPr>
      <w:wordWrap w:val="0"/>
      <w:ind w:left="2125"/>
      <w:jc w:val="both"/>
    </w:pPr>
    <w:rPr>
      <w:rFonts w:ascii="Calibri" w:hAnsi="Calibri" w:eastAsia="宋体" w:cs="Times New Roman"/>
      <w:sz w:val="21"/>
      <w:lang w:val="en-US" w:eastAsia="zh-CN" w:bidi="ar-SA"/>
    </w:rPr>
  </w:style>
  <w:style w:type="paragraph" w:customStyle="1" w:styleId="354">
    <w:name w:val="列出段落11"/>
    <w:basedOn w:val="1"/>
    <w:next w:val="355"/>
    <w:qFormat/>
    <w:uiPriority w:val="0"/>
    <w:pPr>
      <w:widowControl/>
      <w:spacing w:line="360" w:lineRule="auto"/>
      <w:ind w:firstLine="420"/>
    </w:pPr>
    <w:rPr>
      <w:rFonts w:hAnsi="Calibri" w:eastAsia="微软雅黑"/>
      <w:kern w:val="0"/>
      <w:sz w:val="24"/>
      <w:szCs w:val="20"/>
    </w:rPr>
  </w:style>
  <w:style w:type="paragraph" w:customStyle="1" w:styleId="355">
    <w:name w:val="toc 214"/>
    <w:next w:val="1"/>
    <w:qFormat/>
    <w:uiPriority w:val="0"/>
    <w:pPr>
      <w:wordWrap w:val="0"/>
      <w:ind w:left="425"/>
      <w:jc w:val="both"/>
    </w:pPr>
    <w:rPr>
      <w:rFonts w:ascii="Calibri" w:hAnsi="Calibri" w:eastAsia="宋体" w:cs="Times New Roman"/>
      <w:sz w:val="21"/>
      <w:lang w:val="en-US" w:eastAsia="zh-CN" w:bidi="ar-SA"/>
    </w:rPr>
  </w:style>
  <w:style w:type="paragraph" w:customStyle="1" w:styleId="356">
    <w:name w:val="toc 63"/>
    <w:next w:val="1"/>
    <w:qFormat/>
    <w:uiPriority w:val="0"/>
    <w:pPr>
      <w:wordWrap w:val="0"/>
      <w:ind w:left="2125"/>
      <w:jc w:val="both"/>
    </w:pPr>
    <w:rPr>
      <w:rFonts w:ascii="Calibri" w:hAnsi="Calibri" w:eastAsia="宋体" w:cs="Times New Roman"/>
      <w:sz w:val="21"/>
      <w:lang w:val="en-US" w:eastAsia="zh-CN" w:bidi="ar-SA"/>
    </w:rPr>
  </w:style>
  <w:style w:type="paragraph" w:customStyle="1" w:styleId="357">
    <w:name w:val="xl91"/>
    <w:basedOn w:val="1"/>
    <w:next w:val="254"/>
    <w:qFormat/>
    <w:uiPriority w:val="0"/>
    <w:pPr>
      <w:widowControl/>
      <w:shd w:val="clear" w:color="000000" w:fill="FFFFFF"/>
      <w:spacing w:before="280" w:after="280"/>
    </w:pPr>
    <w:rPr>
      <w:rFonts w:ascii="宋体" w:hAnsi="Calibri"/>
      <w:kern w:val="0"/>
      <w:sz w:val="20"/>
      <w:szCs w:val="20"/>
    </w:rPr>
  </w:style>
  <w:style w:type="paragraph" w:customStyle="1" w:styleId="358">
    <w:name w:val="toc 316"/>
    <w:next w:val="1"/>
    <w:qFormat/>
    <w:uiPriority w:val="0"/>
    <w:pPr>
      <w:wordWrap w:val="0"/>
      <w:ind w:left="850"/>
      <w:jc w:val="both"/>
    </w:pPr>
    <w:rPr>
      <w:rFonts w:ascii="Calibri" w:hAnsi="Calibri" w:eastAsia="宋体" w:cs="Times New Roman"/>
      <w:sz w:val="21"/>
      <w:lang w:val="en-US" w:eastAsia="zh-CN" w:bidi="ar-SA"/>
    </w:rPr>
  </w:style>
  <w:style w:type="paragraph" w:customStyle="1" w:styleId="359">
    <w:name w:val="_Style 1"/>
    <w:basedOn w:val="1"/>
    <w:next w:val="360"/>
    <w:qFormat/>
    <w:uiPriority w:val="0"/>
    <w:pPr>
      <w:ind w:firstLine="420"/>
    </w:pPr>
    <w:rPr>
      <w:rFonts w:hAnsi="Calibri"/>
      <w:kern w:val="0"/>
      <w:szCs w:val="20"/>
    </w:rPr>
  </w:style>
  <w:style w:type="paragraph" w:customStyle="1" w:styleId="360">
    <w:name w:val="TOC Heading13"/>
    <w:next w:val="1"/>
    <w:qFormat/>
    <w:uiPriority w:val="0"/>
    <w:pPr>
      <w:wordWrap w:val="0"/>
    </w:pPr>
    <w:rPr>
      <w:rFonts w:ascii="Calibri" w:hAnsi="Calibri" w:eastAsia="宋体" w:cs="Times New Roman"/>
      <w:sz w:val="32"/>
      <w:lang w:val="en-US" w:eastAsia="zh-CN" w:bidi="ar-SA"/>
    </w:rPr>
  </w:style>
  <w:style w:type="paragraph" w:customStyle="1" w:styleId="361">
    <w:name w:val="toc 116"/>
    <w:next w:val="1"/>
    <w:qFormat/>
    <w:uiPriority w:val="0"/>
    <w:pPr>
      <w:wordWrap w:val="0"/>
      <w:jc w:val="both"/>
    </w:pPr>
    <w:rPr>
      <w:rFonts w:ascii="Calibri" w:hAnsi="Calibri" w:eastAsia="宋体" w:cs="Times New Roman"/>
      <w:sz w:val="21"/>
      <w:lang w:val="en-US" w:eastAsia="zh-CN" w:bidi="ar-SA"/>
    </w:rPr>
  </w:style>
  <w:style w:type="paragraph" w:customStyle="1" w:styleId="362">
    <w:name w:val="toc 72"/>
    <w:next w:val="1"/>
    <w:qFormat/>
    <w:uiPriority w:val="0"/>
    <w:pPr>
      <w:wordWrap w:val="0"/>
      <w:ind w:left="2550"/>
      <w:jc w:val="both"/>
    </w:pPr>
    <w:rPr>
      <w:rFonts w:ascii="Calibri" w:hAnsi="Calibri" w:eastAsia="宋体" w:cs="Times New Roman"/>
      <w:sz w:val="21"/>
      <w:lang w:val="en-US" w:eastAsia="zh-CN" w:bidi="ar-SA"/>
    </w:rPr>
  </w:style>
  <w:style w:type="paragraph" w:customStyle="1" w:styleId="363">
    <w:name w:val="x_msonormal"/>
    <w:basedOn w:val="1"/>
    <w:next w:val="313"/>
    <w:qFormat/>
    <w:uiPriority w:val="0"/>
    <w:pPr>
      <w:widowControl/>
      <w:spacing w:before="280" w:after="280"/>
    </w:pPr>
    <w:rPr>
      <w:rFonts w:ascii="PMingLiU" w:hAnsi="Calibri" w:eastAsia="PMingLiU"/>
      <w:kern w:val="0"/>
      <w:sz w:val="24"/>
      <w:szCs w:val="20"/>
    </w:rPr>
  </w:style>
  <w:style w:type="paragraph" w:customStyle="1" w:styleId="364">
    <w:name w:val="toc 310"/>
    <w:next w:val="1"/>
    <w:qFormat/>
    <w:uiPriority w:val="0"/>
    <w:pPr>
      <w:wordWrap w:val="0"/>
      <w:ind w:left="850"/>
      <w:jc w:val="both"/>
    </w:pPr>
    <w:rPr>
      <w:rFonts w:ascii="Calibri" w:hAnsi="Calibri" w:eastAsia="宋体" w:cs="Times New Roman"/>
      <w:sz w:val="21"/>
      <w:lang w:val="en-US" w:eastAsia="zh-CN" w:bidi="ar-SA"/>
    </w:rPr>
  </w:style>
  <w:style w:type="paragraph" w:customStyle="1" w:styleId="365">
    <w:name w:val="toc 83"/>
    <w:next w:val="1"/>
    <w:qFormat/>
    <w:uiPriority w:val="0"/>
    <w:pPr>
      <w:wordWrap w:val="0"/>
      <w:ind w:left="2975"/>
      <w:jc w:val="both"/>
    </w:pPr>
    <w:rPr>
      <w:rFonts w:ascii="Calibri" w:hAnsi="Calibri" w:eastAsia="宋体" w:cs="Times New Roman"/>
      <w:sz w:val="21"/>
      <w:lang w:val="en-US" w:eastAsia="zh-CN" w:bidi="ar-SA"/>
    </w:rPr>
  </w:style>
  <w:style w:type="paragraph" w:customStyle="1" w:styleId="366">
    <w:name w:val="TOC Heading17"/>
    <w:next w:val="1"/>
    <w:qFormat/>
    <w:uiPriority w:val="0"/>
    <w:pPr>
      <w:wordWrap w:val="0"/>
    </w:pPr>
    <w:rPr>
      <w:rFonts w:ascii="Calibri" w:hAnsi="Calibri" w:eastAsia="宋体" w:cs="Times New Roman"/>
      <w:sz w:val="32"/>
      <w:lang w:val="en-US" w:eastAsia="zh-CN" w:bidi="ar-SA"/>
    </w:rPr>
  </w:style>
  <w:style w:type="paragraph" w:customStyle="1" w:styleId="367">
    <w:name w:val="toc 911"/>
    <w:next w:val="1"/>
    <w:qFormat/>
    <w:uiPriority w:val="0"/>
    <w:pPr>
      <w:wordWrap w:val="0"/>
      <w:ind w:left="3400"/>
      <w:jc w:val="both"/>
    </w:pPr>
    <w:rPr>
      <w:rFonts w:ascii="Calibri" w:hAnsi="Calibri" w:eastAsia="宋体" w:cs="Times New Roman"/>
      <w:sz w:val="21"/>
      <w:lang w:val="en-US" w:eastAsia="zh-CN" w:bidi="ar-SA"/>
    </w:rPr>
  </w:style>
  <w:style w:type="paragraph" w:customStyle="1" w:styleId="368">
    <w:name w:val="toc 811"/>
    <w:next w:val="1"/>
    <w:qFormat/>
    <w:uiPriority w:val="0"/>
    <w:pPr>
      <w:wordWrap w:val="0"/>
      <w:ind w:left="2975"/>
      <w:jc w:val="both"/>
    </w:pPr>
    <w:rPr>
      <w:rFonts w:ascii="Calibri" w:hAnsi="Calibri" w:eastAsia="宋体" w:cs="Times New Roman"/>
      <w:sz w:val="21"/>
      <w:lang w:val="en-US" w:eastAsia="zh-CN" w:bidi="ar-SA"/>
    </w:rPr>
  </w:style>
  <w:style w:type="paragraph" w:customStyle="1" w:styleId="369">
    <w:name w:val="目录 31"/>
    <w:next w:val="1"/>
    <w:qFormat/>
    <w:uiPriority w:val="0"/>
    <w:pPr>
      <w:wordWrap w:val="0"/>
      <w:ind w:left="850"/>
      <w:jc w:val="both"/>
    </w:pPr>
    <w:rPr>
      <w:rFonts w:ascii="Calibri" w:hAnsi="Calibri" w:eastAsia="宋体" w:cs="Times New Roman"/>
      <w:sz w:val="21"/>
      <w:lang w:val="en-US" w:eastAsia="zh-CN" w:bidi="ar-SA"/>
    </w:rPr>
  </w:style>
  <w:style w:type="paragraph" w:customStyle="1" w:styleId="370">
    <w:name w:val="xl118"/>
    <w:basedOn w:val="1"/>
    <w:next w:val="244"/>
    <w:qFormat/>
    <w:uiPriority w:val="0"/>
    <w:pPr>
      <w:widowControl/>
      <w:shd w:val="clear" w:color="000000" w:fill="FFFFFF"/>
      <w:spacing w:before="280" w:after="280"/>
      <w:jc w:val="center"/>
    </w:pPr>
    <w:rPr>
      <w:rFonts w:ascii="宋体" w:hAnsi="Calibri"/>
      <w:b/>
      <w:kern w:val="0"/>
      <w:sz w:val="20"/>
      <w:szCs w:val="20"/>
    </w:rPr>
  </w:style>
  <w:style w:type="paragraph" w:customStyle="1" w:styleId="371">
    <w:name w:val="xl83"/>
    <w:basedOn w:val="1"/>
    <w:next w:val="299"/>
    <w:qFormat/>
    <w:uiPriority w:val="0"/>
    <w:pPr>
      <w:widowControl/>
      <w:shd w:val="clear" w:color="000000" w:fill="FFFFFF"/>
      <w:spacing w:before="280" w:after="280"/>
    </w:pPr>
    <w:rPr>
      <w:rFonts w:ascii="宋体" w:hAnsi="Calibri"/>
      <w:kern w:val="0"/>
      <w:sz w:val="20"/>
      <w:szCs w:val="20"/>
    </w:rPr>
  </w:style>
  <w:style w:type="paragraph" w:customStyle="1" w:styleId="372">
    <w:name w:val="xl103"/>
    <w:basedOn w:val="1"/>
    <w:next w:val="373"/>
    <w:qFormat/>
    <w:uiPriority w:val="0"/>
    <w:pPr>
      <w:widowControl/>
      <w:shd w:val="clear" w:color="000000" w:fill="FFFFFF"/>
      <w:spacing w:before="280" w:after="280"/>
    </w:pPr>
    <w:rPr>
      <w:rFonts w:ascii="宋体" w:hAnsi="Calibri"/>
      <w:kern w:val="0"/>
      <w:sz w:val="20"/>
      <w:szCs w:val="20"/>
    </w:rPr>
  </w:style>
  <w:style w:type="paragraph" w:customStyle="1" w:styleId="373">
    <w:name w:val="toc 111"/>
    <w:next w:val="1"/>
    <w:qFormat/>
    <w:uiPriority w:val="0"/>
    <w:pPr>
      <w:wordWrap w:val="0"/>
      <w:jc w:val="both"/>
    </w:pPr>
    <w:rPr>
      <w:rFonts w:ascii="Calibri" w:hAnsi="Calibri" w:eastAsia="宋体" w:cs="Times New Roman"/>
      <w:sz w:val="21"/>
      <w:lang w:val="en-US" w:eastAsia="zh-CN" w:bidi="ar-SA"/>
    </w:rPr>
  </w:style>
  <w:style w:type="paragraph" w:customStyle="1" w:styleId="374">
    <w:name w:val="xl68"/>
    <w:basedOn w:val="1"/>
    <w:next w:val="375"/>
    <w:qFormat/>
    <w:uiPriority w:val="0"/>
    <w:pPr>
      <w:widowControl/>
      <w:shd w:val="clear" w:color="000000" w:fill="FFFFFF"/>
      <w:spacing w:before="280" w:after="280"/>
    </w:pPr>
    <w:rPr>
      <w:rFonts w:ascii="宋体" w:hAnsi="Calibri"/>
      <w:b/>
      <w:kern w:val="0"/>
      <w:sz w:val="20"/>
      <w:szCs w:val="20"/>
    </w:rPr>
  </w:style>
  <w:style w:type="paragraph" w:customStyle="1" w:styleId="375">
    <w:name w:val="TOC Heading16"/>
    <w:next w:val="1"/>
    <w:qFormat/>
    <w:uiPriority w:val="0"/>
    <w:pPr>
      <w:wordWrap w:val="0"/>
    </w:pPr>
    <w:rPr>
      <w:rFonts w:ascii="Calibri" w:hAnsi="Calibri" w:eastAsia="宋体" w:cs="Times New Roman"/>
      <w:sz w:val="32"/>
      <w:lang w:val="en-US" w:eastAsia="zh-CN" w:bidi="ar-SA"/>
    </w:rPr>
  </w:style>
  <w:style w:type="paragraph" w:customStyle="1" w:styleId="376">
    <w:name w:val="toc 113"/>
    <w:next w:val="1"/>
    <w:qFormat/>
    <w:uiPriority w:val="0"/>
    <w:pPr>
      <w:wordWrap w:val="0"/>
      <w:jc w:val="both"/>
    </w:pPr>
    <w:rPr>
      <w:rFonts w:ascii="Calibri" w:hAnsi="Calibri" w:eastAsia="宋体" w:cs="Times New Roman"/>
      <w:sz w:val="21"/>
      <w:lang w:val="en-US" w:eastAsia="zh-CN" w:bidi="ar-SA"/>
    </w:rPr>
  </w:style>
  <w:style w:type="paragraph" w:customStyle="1" w:styleId="377">
    <w:name w:val="xl94"/>
    <w:basedOn w:val="1"/>
    <w:next w:val="268"/>
    <w:qFormat/>
    <w:uiPriority w:val="0"/>
    <w:pPr>
      <w:widowControl/>
      <w:shd w:val="clear" w:color="000000" w:fill="FFFFFF"/>
      <w:spacing w:before="280" w:after="280"/>
      <w:jc w:val="center"/>
    </w:pPr>
    <w:rPr>
      <w:rFonts w:ascii="宋体" w:hAnsi="Calibri"/>
      <w:kern w:val="0"/>
      <w:sz w:val="20"/>
      <w:szCs w:val="20"/>
    </w:rPr>
  </w:style>
  <w:style w:type="paragraph" w:customStyle="1" w:styleId="378">
    <w:name w:val="toc 53"/>
    <w:next w:val="1"/>
    <w:qFormat/>
    <w:uiPriority w:val="0"/>
    <w:pPr>
      <w:wordWrap w:val="0"/>
      <w:ind w:left="1700"/>
      <w:jc w:val="both"/>
    </w:pPr>
    <w:rPr>
      <w:rFonts w:ascii="Calibri" w:hAnsi="Calibri" w:eastAsia="宋体" w:cs="Times New Roman"/>
      <w:sz w:val="21"/>
      <w:lang w:val="en-US" w:eastAsia="zh-CN" w:bidi="ar-SA"/>
    </w:rPr>
  </w:style>
  <w:style w:type="paragraph" w:customStyle="1" w:styleId="379">
    <w:name w:val="xl92"/>
    <w:basedOn w:val="1"/>
    <w:next w:val="380"/>
    <w:qFormat/>
    <w:uiPriority w:val="0"/>
    <w:pPr>
      <w:widowControl/>
      <w:shd w:val="clear" w:color="000000" w:fill="FFFFFF"/>
      <w:spacing w:before="280" w:after="280"/>
    </w:pPr>
    <w:rPr>
      <w:rFonts w:ascii="宋体" w:hAnsi="Calibri"/>
      <w:kern w:val="0"/>
      <w:sz w:val="20"/>
      <w:szCs w:val="20"/>
    </w:rPr>
  </w:style>
  <w:style w:type="paragraph" w:customStyle="1" w:styleId="380">
    <w:name w:val="toc 913"/>
    <w:next w:val="1"/>
    <w:qFormat/>
    <w:uiPriority w:val="0"/>
    <w:pPr>
      <w:wordWrap w:val="0"/>
      <w:ind w:left="3400"/>
      <w:jc w:val="both"/>
    </w:pPr>
    <w:rPr>
      <w:rFonts w:ascii="Calibri" w:hAnsi="Calibri" w:eastAsia="宋体" w:cs="Times New Roman"/>
      <w:sz w:val="21"/>
      <w:lang w:val="en-US" w:eastAsia="zh-CN" w:bidi="ar-SA"/>
    </w:rPr>
  </w:style>
  <w:style w:type="paragraph" w:customStyle="1" w:styleId="381">
    <w:name w:val="toc 512"/>
    <w:next w:val="1"/>
    <w:qFormat/>
    <w:uiPriority w:val="0"/>
    <w:pPr>
      <w:wordWrap w:val="0"/>
      <w:ind w:left="1700"/>
      <w:jc w:val="both"/>
    </w:pPr>
    <w:rPr>
      <w:rFonts w:ascii="Calibri" w:hAnsi="Calibri" w:eastAsia="宋体" w:cs="Times New Roman"/>
      <w:sz w:val="21"/>
      <w:lang w:val="en-US" w:eastAsia="zh-CN" w:bidi="ar-SA"/>
    </w:rPr>
  </w:style>
  <w:style w:type="paragraph" w:customStyle="1" w:styleId="382">
    <w:name w:val="目录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83">
    <w:name w:val="正文表标题"/>
    <w:next w:val="1"/>
    <w:qFormat/>
    <w:uiPriority w:val="0"/>
    <w:pPr>
      <w:ind w:left="630"/>
      <w:jc w:val="center"/>
    </w:pPr>
    <w:rPr>
      <w:rFonts w:ascii="黑体" w:hAnsi="Calibri" w:eastAsia="黑体" w:cs="Times New Roman"/>
      <w:sz w:val="21"/>
      <w:lang w:val="en-US" w:eastAsia="zh-CN" w:bidi="ar-SA"/>
    </w:rPr>
  </w:style>
  <w:style w:type="paragraph" w:customStyle="1" w:styleId="384">
    <w:name w:val="toc 28"/>
    <w:next w:val="1"/>
    <w:qFormat/>
    <w:uiPriority w:val="0"/>
    <w:pPr>
      <w:wordWrap w:val="0"/>
      <w:ind w:left="425"/>
      <w:jc w:val="both"/>
    </w:pPr>
    <w:rPr>
      <w:rFonts w:ascii="Calibri" w:hAnsi="Calibri" w:eastAsia="宋体" w:cs="Times New Roman"/>
      <w:sz w:val="21"/>
      <w:lang w:val="en-US" w:eastAsia="zh-CN" w:bidi="ar-SA"/>
    </w:rPr>
  </w:style>
  <w:style w:type="paragraph" w:customStyle="1" w:styleId="385">
    <w:name w:val="toc 79"/>
    <w:next w:val="1"/>
    <w:qFormat/>
    <w:uiPriority w:val="0"/>
    <w:pPr>
      <w:wordWrap w:val="0"/>
      <w:ind w:left="2550"/>
      <w:jc w:val="both"/>
    </w:pPr>
    <w:rPr>
      <w:rFonts w:ascii="Calibri" w:hAnsi="Calibri" w:eastAsia="宋体" w:cs="Times New Roman"/>
      <w:sz w:val="21"/>
      <w:lang w:val="en-US" w:eastAsia="zh-CN" w:bidi="ar-SA"/>
    </w:rPr>
  </w:style>
  <w:style w:type="paragraph" w:customStyle="1" w:styleId="386">
    <w:name w:val="xl110"/>
    <w:basedOn w:val="1"/>
    <w:next w:val="342"/>
    <w:qFormat/>
    <w:uiPriority w:val="0"/>
    <w:pPr>
      <w:widowControl/>
      <w:shd w:val="clear" w:color="000000" w:fill="FFFFFF"/>
      <w:spacing w:before="280" w:after="280"/>
      <w:jc w:val="center"/>
    </w:pPr>
    <w:rPr>
      <w:rFonts w:ascii="宋体" w:hAnsi="Calibri"/>
      <w:kern w:val="0"/>
      <w:sz w:val="20"/>
      <w:szCs w:val="20"/>
    </w:rPr>
  </w:style>
  <w:style w:type="paragraph" w:customStyle="1" w:styleId="387">
    <w:name w:val="toc 511"/>
    <w:next w:val="1"/>
    <w:qFormat/>
    <w:uiPriority w:val="0"/>
    <w:pPr>
      <w:wordWrap w:val="0"/>
      <w:ind w:left="1700"/>
      <w:jc w:val="both"/>
    </w:pPr>
    <w:rPr>
      <w:rFonts w:ascii="Calibri" w:hAnsi="Calibri" w:eastAsia="宋体" w:cs="Times New Roman"/>
      <w:sz w:val="21"/>
      <w:lang w:val="en-US" w:eastAsia="zh-CN" w:bidi="ar-SA"/>
    </w:rPr>
  </w:style>
  <w:style w:type="paragraph" w:customStyle="1" w:styleId="388">
    <w:name w:val="toc 416"/>
    <w:next w:val="1"/>
    <w:qFormat/>
    <w:uiPriority w:val="0"/>
    <w:pPr>
      <w:wordWrap w:val="0"/>
      <w:ind w:left="1275"/>
      <w:jc w:val="both"/>
    </w:pPr>
    <w:rPr>
      <w:rFonts w:ascii="Calibri" w:hAnsi="Calibri" w:eastAsia="宋体" w:cs="Times New Roman"/>
      <w:sz w:val="21"/>
      <w:lang w:val="en-US" w:eastAsia="zh-CN" w:bidi="ar-SA"/>
    </w:rPr>
  </w:style>
  <w:style w:type="paragraph" w:customStyle="1" w:styleId="389">
    <w:name w:val="xl85"/>
    <w:basedOn w:val="1"/>
    <w:next w:val="390"/>
    <w:qFormat/>
    <w:uiPriority w:val="0"/>
    <w:pPr>
      <w:widowControl/>
      <w:shd w:val="clear" w:color="000000" w:fill="FFFFFF"/>
      <w:spacing w:before="280" w:after="280"/>
      <w:jc w:val="center"/>
    </w:pPr>
    <w:rPr>
      <w:rFonts w:ascii="宋体" w:hAnsi="Calibri"/>
      <w:kern w:val="0"/>
      <w:sz w:val="20"/>
      <w:szCs w:val="20"/>
    </w:rPr>
  </w:style>
  <w:style w:type="paragraph" w:customStyle="1" w:styleId="390">
    <w:name w:val="toc 76"/>
    <w:next w:val="1"/>
    <w:qFormat/>
    <w:uiPriority w:val="0"/>
    <w:pPr>
      <w:wordWrap w:val="0"/>
      <w:ind w:left="2550"/>
      <w:jc w:val="both"/>
    </w:pPr>
    <w:rPr>
      <w:rFonts w:ascii="Calibri" w:hAnsi="Calibri" w:eastAsia="宋体" w:cs="Times New Roman"/>
      <w:sz w:val="21"/>
      <w:lang w:val="en-US" w:eastAsia="zh-CN" w:bidi="ar-SA"/>
    </w:rPr>
  </w:style>
  <w:style w:type="paragraph" w:customStyle="1" w:styleId="391">
    <w:name w:val="toc 27"/>
    <w:next w:val="1"/>
    <w:qFormat/>
    <w:uiPriority w:val="0"/>
    <w:pPr>
      <w:wordWrap w:val="0"/>
      <w:ind w:left="425"/>
      <w:jc w:val="both"/>
    </w:pPr>
    <w:rPr>
      <w:rFonts w:ascii="Calibri" w:hAnsi="Calibri" w:eastAsia="宋体" w:cs="Times New Roman"/>
      <w:sz w:val="21"/>
      <w:lang w:val="en-US" w:eastAsia="zh-CN" w:bidi="ar-SA"/>
    </w:rPr>
  </w:style>
  <w:style w:type="paragraph" w:customStyle="1" w:styleId="392">
    <w:name w:val="toc 916"/>
    <w:next w:val="1"/>
    <w:qFormat/>
    <w:uiPriority w:val="0"/>
    <w:pPr>
      <w:wordWrap w:val="0"/>
      <w:ind w:left="3400"/>
      <w:jc w:val="both"/>
    </w:pPr>
    <w:rPr>
      <w:rFonts w:ascii="Calibri" w:hAnsi="Calibri" w:eastAsia="宋体" w:cs="Times New Roman"/>
      <w:sz w:val="21"/>
      <w:lang w:val="en-US" w:eastAsia="zh-CN" w:bidi="ar-SA"/>
    </w:rPr>
  </w:style>
  <w:style w:type="paragraph" w:customStyle="1" w:styleId="393">
    <w:name w:val="toc 77"/>
    <w:next w:val="1"/>
    <w:qFormat/>
    <w:uiPriority w:val="0"/>
    <w:pPr>
      <w:wordWrap w:val="0"/>
      <w:ind w:left="2550"/>
      <w:jc w:val="both"/>
    </w:pPr>
    <w:rPr>
      <w:rFonts w:ascii="Calibri" w:hAnsi="Calibri" w:eastAsia="宋体" w:cs="Times New Roman"/>
      <w:sz w:val="21"/>
      <w:lang w:val="en-US" w:eastAsia="zh-CN" w:bidi="ar-SA"/>
    </w:rPr>
  </w:style>
  <w:style w:type="paragraph" w:customStyle="1" w:styleId="394">
    <w:name w:val="toc 211"/>
    <w:next w:val="1"/>
    <w:qFormat/>
    <w:uiPriority w:val="0"/>
    <w:pPr>
      <w:wordWrap w:val="0"/>
      <w:ind w:left="425"/>
      <w:jc w:val="both"/>
    </w:pPr>
    <w:rPr>
      <w:rFonts w:ascii="Calibri" w:hAnsi="Calibri" w:eastAsia="宋体" w:cs="Times New Roman"/>
      <w:sz w:val="21"/>
      <w:lang w:val="en-US" w:eastAsia="zh-CN" w:bidi="ar-SA"/>
    </w:rPr>
  </w:style>
  <w:style w:type="paragraph" w:customStyle="1" w:styleId="395">
    <w:name w:val="toc 815"/>
    <w:next w:val="1"/>
    <w:qFormat/>
    <w:uiPriority w:val="0"/>
    <w:pPr>
      <w:wordWrap w:val="0"/>
      <w:ind w:left="2975"/>
      <w:jc w:val="both"/>
    </w:pPr>
    <w:rPr>
      <w:rFonts w:ascii="Calibri" w:hAnsi="Calibri" w:eastAsia="宋体" w:cs="Times New Roman"/>
      <w:sz w:val="21"/>
      <w:lang w:val="en-US" w:eastAsia="zh-CN" w:bidi="ar-SA"/>
    </w:rPr>
  </w:style>
  <w:style w:type="paragraph" w:customStyle="1" w:styleId="396">
    <w:name w:val="xl99"/>
    <w:basedOn w:val="1"/>
    <w:next w:val="381"/>
    <w:qFormat/>
    <w:uiPriority w:val="0"/>
    <w:pPr>
      <w:widowControl/>
      <w:shd w:val="clear" w:color="000000" w:fill="FFFFFF"/>
      <w:spacing w:before="280" w:after="280"/>
    </w:pPr>
    <w:rPr>
      <w:rFonts w:ascii="宋体" w:hAnsi="Calibri"/>
      <w:kern w:val="0"/>
      <w:sz w:val="18"/>
      <w:szCs w:val="20"/>
    </w:rPr>
  </w:style>
  <w:style w:type="paragraph" w:customStyle="1" w:styleId="397">
    <w:name w:val="xl97"/>
    <w:basedOn w:val="1"/>
    <w:next w:val="269"/>
    <w:qFormat/>
    <w:uiPriority w:val="0"/>
    <w:pPr>
      <w:widowControl/>
      <w:shd w:val="clear" w:color="000000" w:fill="FFFFFF"/>
      <w:spacing w:before="280" w:after="280"/>
      <w:jc w:val="center"/>
    </w:pPr>
    <w:rPr>
      <w:rFonts w:ascii="宋体" w:hAnsi="Calibri"/>
      <w:kern w:val="0"/>
      <w:sz w:val="20"/>
      <w:szCs w:val="20"/>
    </w:rPr>
  </w:style>
  <w:style w:type="paragraph" w:customStyle="1" w:styleId="398">
    <w:name w:val="toc 612"/>
    <w:next w:val="1"/>
    <w:qFormat/>
    <w:uiPriority w:val="0"/>
    <w:pPr>
      <w:wordWrap w:val="0"/>
      <w:ind w:left="2125"/>
      <w:jc w:val="both"/>
    </w:pPr>
    <w:rPr>
      <w:rFonts w:ascii="Calibri" w:hAnsi="Calibri" w:eastAsia="宋体" w:cs="Times New Roman"/>
      <w:sz w:val="21"/>
      <w:lang w:val="en-US" w:eastAsia="zh-CN" w:bidi="ar-SA"/>
    </w:rPr>
  </w:style>
  <w:style w:type="paragraph" w:customStyle="1" w:styleId="399">
    <w:name w:val="toc 315"/>
    <w:next w:val="1"/>
    <w:qFormat/>
    <w:uiPriority w:val="0"/>
    <w:pPr>
      <w:wordWrap w:val="0"/>
      <w:ind w:left="850"/>
      <w:jc w:val="both"/>
    </w:pPr>
    <w:rPr>
      <w:rFonts w:ascii="Calibri" w:hAnsi="Calibri" w:eastAsia="宋体" w:cs="Times New Roman"/>
      <w:sz w:val="21"/>
      <w:lang w:val="en-US" w:eastAsia="zh-CN" w:bidi="ar-SA"/>
    </w:rPr>
  </w:style>
  <w:style w:type="paragraph" w:customStyle="1" w:styleId="400">
    <w:name w:val="TOC Heading15"/>
    <w:next w:val="1"/>
    <w:qFormat/>
    <w:uiPriority w:val="0"/>
    <w:pPr>
      <w:wordWrap w:val="0"/>
    </w:pPr>
    <w:rPr>
      <w:rFonts w:ascii="Calibri" w:hAnsi="Calibri" w:eastAsia="宋体" w:cs="Times New Roman"/>
      <w:sz w:val="32"/>
      <w:lang w:val="en-US" w:eastAsia="zh-CN" w:bidi="ar-SA"/>
    </w:rPr>
  </w:style>
  <w:style w:type="paragraph" w:customStyle="1" w:styleId="401">
    <w:name w:val="toc 915"/>
    <w:next w:val="1"/>
    <w:qFormat/>
    <w:uiPriority w:val="0"/>
    <w:pPr>
      <w:wordWrap w:val="0"/>
      <w:ind w:left="3400"/>
      <w:jc w:val="both"/>
    </w:pPr>
    <w:rPr>
      <w:rFonts w:ascii="Calibri" w:hAnsi="Calibri" w:eastAsia="宋体" w:cs="Times New Roman"/>
      <w:sz w:val="21"/>
      <w:lang w:val="en-US" w:eastAsia="zh-CN" w:bidi="ar-SA"/>
    </w:rPr>
  </w:style>
  <w:style w:type="paragraph" w:customStyle="1" w:styleId="402">
    <w:name w:val="toc 39"/>
    <w:next w:val="1"/>
    <w:qFormat/>
    <w:uiPriority w:val="0"/>
    <w:pPr>
      <w:wordWrap w:val="0"/>
      <w:ind w:left="850"/>
      <w:jc w:val="both"/>
    </w:pPr>
    <w:rPr>
      <w:rFonts w:ascii="Calibri" w:hAnsi="Calibri" w:eastAsia="宋体" w:cs="Times New Roman"/>
      <w:sz w:val="21"/>
      <w:lang w:val="en-US" w:eastAsia="zh-CN" w:bidi="ar-SA"/>
    </w:rPr>
  </w:style>
  <w:style w:type="paragraph" w:customStyle="1" w:styleId="403">
    <w:name w:val="toc 710"/>
    <w:next w:val="1"/>
    <w:qFormat/>
    <w:uiPriority w:val="0"/>
    <w:pPr>
      <w:wordWrap w:val="0"/>
      <w:ind w:left="2550"/>
      <w:jc w:val="both"/>
    </w:pPr>
    <w:rPr>
      <w:rFonts w:ascii="Calibri" w:hAnsi="Calibri" w:eastAsia="宋体" w:cs="Times New Roman"/>
      <w:sz w:val="21"/>
      <w:lang w:val="en-US" w:eastAsia="zh-CN" w:bidi="ar-SA"/>
    </w:rPr>
  </w:style>
  <w:style w:type="paragraph" w:customStyle="1" w:styleId="404">
    <w:name w:val="toc 12"/>
    <w:next w:val="1"/>
    <w:qFormat/>
    <w:uiPriority w:val="0"/>
    <w:pPr>
      <w:wordWrap w:val="0"/>
      <w:jc w:val="both"/>
    </w:pPr>
    <w:rPr>
      <w:rFonts w:ascii="Calibri" w:hAnsi="Calibri" w:eastAsia="宋体" w:cs="Times New Roman"/>
      <w:sz w:val="21"/>
      <w:lang w:val="en-US" w:eastAsia="zh-CN" w:bidi="ar-SA"/>
    </w:rPr>
  </w:style>
  <w:style w:type="paragraph" w:customStyle="1" w:styleId="405">
    <w:name w:val="xl95"/>
    <w:basedOn w:val="1"/>
    <w:next w:val="406"/>
    <w:qFormat/>
    <w:uiPriority w:val="0"/>
    <w:pPr>
      <w:widowControl/>
      <w:shd w:val="clear" w:color="000000" w:fill="FFFFFF"/>
      <w:spacing w:before="280" w:after="280"/>
    </w:pPr>
    <w:rPr>
      <w:rFonts w:ascii="宋体" w:hAnsi="Calibri"/>
      <w:kern w:val="0"/>
      <w:sz w:val="20"/>
      <w:szCs w:val="20"/>
    </w:rPr>
  </w:style>
  <w:style w:type="paragraph" w:customStyle="1" w:styleId="406">
    <w:name w:val="toc 415"/>
    <w:next w:val="1"/>
    <w:qFormat/>
    <w:uiPriority w:val="0"/>
    <w:pPr>
      <w:wordWrap w:val="0"/>
      <w:ind w:left="1275"/>
      <w:jc w:val="both"/>
    </w:pPr>
    <w:rPr>
      <w:rFonts w:ascii="Calibri" w:hAnsi="Calibri" w:eastAsia="宋体" w:cs="Times New Roman"/>
      <w:sz w:val="21"/>
      <w:lang w:val="en-US" w:eastAsia="zh-CN" w:bidi="ar-SA"/>
    </w:rPr>
  </w:style>
  <w:style w:type="paragraph" w:customStyle="1" w:styleId="407">
    <w:name w:val="toc 29"/>
    <w:next w:val="1"/>
    <w:qFormat/>
    <w:uiPriority w:val="0"/>
    <w:pPr>
      <w:wordWrap w:val="0"/>
      <w:ind w:left="425"/>
      <w:jc w:val="both"/>
    </w:pPr>
    <w:rPr>
      <w:rFonts w:ascii="Calibri" w:hAnsi="Calibri" w:eastAsia="宋体" w:cs="Times New Roman"/>
      <w:sz w:val="21"/>
      <w:lang w:val="en-US" w:eastAsia="zh-CN" w:bidi="ar-SA"/>
    </w:rPr>
  </w:style>
  <w:style w:type="paragraph" w:customStyle="1" w:styleId="408">
    <w:name w:val="xl67"/>
    <w:basedOn w:val="1"/>
    <w:next w:val="409"/>
    <w:qFormat/>
    <w:uiPriority w:val="0"/>
    <w:pPr>
      <w:widowControl/>
      <w:shd w:val="clear" w:color="000000" w:fill="FFFFFF"/>
      <w:spacing w:before="280" w:after="280"/>
      <w:jc w:val="center"/>
    </w:pPr>
    <w:rPr>
      <w:rFonts w:ascii="宋体" w:hAnsi="Calibri"/>
      <w:b/>
      <w:kern w:val="0"/>
      <w:sz w:val="20"/>
      <w:szCs w:val="20"/>
    </w:rPr>
  </w:style>
  <w:style w:type="paragraph" w:customStyle="1" w:styleId="409">
    <w:name w:val="toc 714"/>
    <w:next w:val="1"/>
    <w:qFormat/>
    <w:uiPriority w:val="0"/>
    <w:pPr>
      <w:wordWrap w:val="0"/>
      <w:ind w:left="2550"/>
      <w:jc w:val="both"/>
    </w:pPr>
    <w:rPr>
      <w:rFonts w:ascii="Calibri" w:hAnsi="Calibri" w:eastAsia="宋体" w:cs="Times New Roman"/>
      <w:sz w:val="21"/>
      <w:lang w:val="en-US" w:eastAsia="zh-CN" w:bidi="ar-SA"/>
    </w:rPr>
  </w:style>
  <w:style w:type="paragraph" w:customStyle="1" w:styleId="410">
    <w:name w:val="toc 21"/>
    <w:next w:val="1"/>
    <w:qFormat/>
    <w:uiPriority w:val="0"/>
    <w:pPr>
      <w:wordWrap w:val="0"/>
      <w:ind w:left="425"/>
      <w:jc w:val="both"/>
    </w:pPr>
    <w:rPr>
      <w:rFonts w:ascii="Calibri" w:hAnsi="Calibri" w:eastAsia="宋体" w:cs="Times New Roman"/>
      <w:sz w:val="21"/>
      <w:lang w:val="en-US" w:eastAsia="zh-CN" w:bidi="ar-SA"/>
    </w:rPr>
  </w:style>
  <w:style w:type="paragraph" w:customStyle="1" w:styleId="411">
    <w:name w:val="正文 A"/>
    <w:next w:val="328"/>
    <w:qFormat/>
    <w:uiPriority w:val="0"/>
    <w:rPr>
      <w:rFonts w:ascii="Arial" w:hAnsi="Calibri" w:eastAsia="Arial Unicode MS" w:cs="Times New Roman"/>
      <w:color w:val="000000"/>
      <w:sz w:val="21"/>
      <w:lang w:val="en-US" w:eastAsia="zh-CN" w:bidi="ar-SA"/>
    </w:rPr>
  </w:style>
  <w:style w:type="paragraph" w:customStyle="1" w:styleId="412">
    <w:name w:val="toc 68"/>
    <w:next w:val="1"/>
    <w:qFormat/>
    <w:uiPriority w:val="0"/>
    <w:pPr>
      <w:wordWrap w:val="0"/>
      <w:ind w:left="2125"/>
      <w:jc w:val="both"/>
    </w:pPr>
    <w:rPr>
      <w:rFonts w:ascii="Calibri" w:hAnsi="Calibri" w:eastAsia="宋体" w:cs="Times New Roman"/>
      <w:sz w:val="21"/>
      <w:lang w:val="en-US" w:eastAsia="zh-CN" w:bidi="ar-SA"/>
    </w:rPr>
  </w:style>
  <w:style w:type="paragraph" w:customStyle="1" w:styleId="413">
    <w:name w:val="toc 58"/>
    <w:next w:val="1"/>
    <w:qFormat/>
    <w:uiPriority w:val="0"/>
    <w:pPr>
      <w:wordWrap w:val="0"/>
      <w:ind w:left="1700"/>
      <w:jc w:val="both"/>
    </w:pPr>
    <w:rPr>
      <w:rFonts w:ascii="Calibri" w:hAnsi="Calibri" w:eastAsia="宋体" w:cs="Times New Roman"/>
      <w:sz w:val="21"/>
      <w:lang w:val="en-US" w:eastAsia="zh-CN" w:bidi="ar-SA"/>
    </w:rPr>
  </w:style>
  <w:style w:type="paragraph" w:customStyle="1" w:styleId="414">
    <w:name w:val="xl88"/>
    <w:basedOn w:val="1"/>
    <w:next w:val="400"/>
    <w:qFormat/>
    <w:uiPriority w:val="0"/>
    <w:pPr>
      <w:widowControl/>
      <w:shd w:val="clear" w:color="000000" w:fill="FFFFFF"/>
      <w:spacing w:before="280" w:after="280"/>
      <w:jc w:val="center"/>
    </w:pPr>
    <w:rPr>
      <w:rFonts w:ascii="宋体" w:hAnsi="Calibri"/>
      <w:kern w:val="0"/>
      <w:sz w:val="20"/>
      <w:szCs w:val="20"/>
    </w:rPr>
  </w:style>
  <w:style w:type="paragraph" w:customStyle="1" w:styleId="415">
    <w:name w:val="toc 71"/>
    <w:next w:val="1"/>
    <w:qFormat/>
    <w:uiPriority w:val="0"/>
    <w:pPr>
      <w:wordWrap w:val="0"/>
      <w:ind w:left="2550"/>
      <w:jc w:val="both"/>
    </w:pPr>
    <w:rPr>
      <w:rFonts w:ascii="Calibri" w:hAnsi="Calibri" w:eastAsia="宋体" w:cs="Times New Roman"/>
      <w:sz w:val="21"/>
      <w:lang w:val="en-US" w:eastAsia="zh-CN" w:bidi="ar-SA"/>
    </w:rPr>
  </w:style>
  <w:style w:type="paragraph" w:customStyle="1" w:styleId="416">
    <w:name w:val="xl100"/>
    <w:basedOn w:val="1"/>
    <w:next w:val="417"/>
    <w:qFormat/>
    <w:uiPriority w:val="0"/>
    <w:pPr>
      <w:widowControl/>
      <w:shd w:val="clear" w:color="000000" w:fill="FFFFFF"/>
      <w:spacing w:before="280" w:after="280"/>
    </w:pPr>
    <w:rPr>
      <w:rFonts w:ascii="宋体" w:hAnsi="Calibri"/>
      <w:kern w:val="0"/>
      <w:sz w:val="20"/>
      <w:szCs w:val="20"/>
    </w:rPr>
  </w:style>
  <w:style w:type="paragraph" w:customStyle="1" w:styleId="417">
    <w:name w:val="toc 510"/>
    <w:next w:val="1"/>
    <w:qFormat/>
    <w:uiPriority w:val="0"/>
    <w:pPr>
      <w:wordWrap w:val="0"/>
      <w:ind w:left="1700"/>
      <w:jc w:val="both"/>
    </w:pPr>
    <w:rPr>
      <w:rFonts w:ascii="Calibri" w:hAnsi="Calibri" w:eastAsia="宋体" w:cs="Times New Roman"/>
      <w:sz w:val="21"/>
      <w:lang w:val="en-US" w:eastAsia="zh-CN" w:bidi="ar-SA"/>
    </w:rPr>
  </w:style>
  <w:style w:type="paragraph" w:customStyle="1" w:styleId="418">
    <w:name w:val="toc 314"/>
    <w:next w:val="1"/>
    <w:qFormat/>
    <w:uiPriority w:val="0"/>
    <w:pPr>
      <w:wordWrap w:val="0"/>
      <w:ind w:left="850"/>
      <w:jc w:val="both"/>
    </w:pPr>
    <w:rPr>
      <w:rFonts w:ascii="Calibri" w:hAnsi="Calibri" w:eastAsia="宋体" w:cs="Times New Roman"/>
      <w:sz w:val="21"/>
      <w:lang w:val="en-US" w:eastAsia="zh-CN" w:bidi="ar-SA"/>
    </w:rPr>
  </w:style>
  <w:style w:type="paragraph" w:customStyle="1" w:styleId="419">
    <w:name w:val="xl114"/>
    <w:basedOn w:val="1"/>
    <w:next w:val="271"/>
    <w:qFormat/>
    <w:uiPriority w:val="0"/>
    <w:pPr>
      <w:widowControl/>
      <w:shd w:val="clear" w:color="000000" w:fill="FFFFFF"/>
      <w:spacing w:before="280" w:after="280"/>
      <w:jc w:val="center"/>
    </w:pPr>
    <w:rPr>
      <w:rFonts w:ascii="宋体" w:hAnsi="Calibri"/>
      <w:b/>
      <w:kern w:val="0"/>
      <w:sz w:val="20"/>
      <w:szCs w:val="20"/>
    </w:rPr>
  </w:style>
  <w:style w:type="paragraph" w:customStyle="1" w:styleId="420">
    <w:name w:val="xl107"/>
    <w:basedOn w:val="1"/>
    <w:next w:val="421"/>
    <w:qFormat/>
    <w:uiPriority w:val="0"/>
    <w:pPr>
      <w:widowControl/>
      <w:shd w:val="clear" w:color="000000" w:fill="FFFFFF"/>
      <w:spacing w:before="280" w:after="280"/>
    </w:pPr>
    <w:rPr>
      <w:rFonts w:ascii="宋体" w:hAnsi="Calibri"/>
      <w:kern w:val="0"/>
      <w:sz w:val="20"/>
      <w:szCs w:val="20"/>
    </w:rPr>
  </w:style>
  <w:style w:type="paragraph" w:customStyle="1" w:styleId="421">
    <w:name w:val="toc 610"/>
    <w:next w:val="1"/>
    <w:qFormat/>
    <w:uiPriority w:val="0"/>
    <w:pPr>
      <w:wordWrap w:val="0"/>
      <w:ind w:left="2125"/>
      <w:jc w:val="both"/>
    </w:pPr>
    <w:rPr>
      <w:rFonts w:ascii="Calibri" w:hAnsi="Calibri" w:eastAsia="宋体" w:cs="Times New Roman"/>
      <w:sz w:val="21"/>
      <w:lang w:val="en-US" w:eastAsia="zh-CN" w:bidi="ar-SA"/>
    </w:rPr>
  </w:style>
  <w:style w:type="paragraph" w:customStyle="1" w:styleId="422">
    <w:name w:val="toc 22"/>
    <w:next w:val="1"/>
    <w:qFormat/>
    <w:uiPriority w:val="0"/>
    <w:pPr>
      <w:wordWrap w:val="0"/>
      <w:ind w:left="425"/>
      <w:jc w:val="both"/>
    </w:pPr>
    <w:rPr>
      <w:rFonts w:ascii="Calibri" w:hAnsi="Calibri" w:eastAsia="宋体" w:cs="Times New Roman"/>
      <w:sz w:val="21"/>
      <w:lang w:val="en-US" w:eastAsia="zh-CN" w:bidi="ar-SA"/>
    </w:rPr>
  </w:style>
  <w:style w:type="paragraph" w:customStyle="1" w:styleId="423">
    <w:name w:val="xl90"/>
    <w:basedOn w:val="1"/>
    <w:next w:val="225"/>
    <w:qFormat/>
    <w:uiPriority w:val="0"/>
    <w:pPr>
      <w:widowControl/>
      <w:shd w:val="clear" w:color="000000" w:fill="FFFFFF"/>
      <w:spacing w:before="280" w:after="280"/>
    </w:pPr>
    <w:rPr>
      <w:rFonts w:ascii="宋体" w:hAnsi="Calibri"/>
      <w:kern w:val="0"/>
      <w:sz w:val="18"/>
      <w:szCs w:val="20"/>
    </w:rPr>
  </w:style>
  <w:style w:type="paragraph" w:customStyle="1" w:styleId="424">
    <w:name w:val="toc 616"/>
    <w:next w:val="1"/>
    <w:qFormat/>
    <w:uiPriority w:val="0"/>
    <w:pPr>
      <w:wordWrap w:val="0"/>
      <w:ind w:left="2125"/>
      <w:jc w:val="both"/>
    </w:pPr>
    <w:rPr>
      <w:rFonts w:ascii="Calibri" w:hAnsi="Calibri" w:eastAsia="宋体" w:cs="Times New Roman"/>
      <w:sz w:val="21"/>
      <w:lang w:val="en-US" w:eastAsia="zh-CN" w:bidi="ar-SA"/>
    </w:rPr>
  </w:style>
  <w:style w:type="paragraph" w:customStyle="1" w:styleId="425">
    <w:name w:val="toc 96"/>
    <w:next w:val="1"/>
    <w:qFormat/>
    <w:uiPriority w:val="0"/>
    <w:pPr>
      <w:wordWrap w:val="0"/>
      <w:ind w:left="3400"/>
      <w:jc w:val="both"/>
    </w:pPr>
    <w:rPr>
      <w:rFonts w:ascii="Calibri" w:hAnsi="Calibri" w:eastAsia="宋体" w:cs="Times New Roman"/>
      <w:sz w:val="21"/>
      <w:lang w:val="en-US" w:eastAsia="zh-CN" w:bidi="ar-SA"/>
    </w:rPr>
  </w:style>
  <w:style w:type="paragraph" w:customStyle="1" w:styleId="426">
    <w:name w:val="toc 42"/>
    <w:next w:val="1"/>
    <w:qFormat/>
    <w:uiPriority w:val="0"/>
    <w:pPr>
      <w:wordWrap w:val="0"/>
      <w:ind w:left="1275"/>
      <w:jc w:val="both"/>
    </w:pPr>
    <w:rPr>
      <w:rFonts w:ascii="Calibri" w:hAnsi="Calibri" w:eastAsia="宋体" w:cs="Times New Roman"/>
      <w:sz w:val="21"/>
      <w:lang w:val="en-US" w:eastAsia="zh-CN" w:bidi="ar-SA"/>
    </w:rPr>
  </w:style>
  <w:style w:type="paragraph" w:customStyle="1" w:styleId="427">
    <w:name w:val="xl117"/>
    <w:basedOn w:val="1"/>
    <w:next w:val="324"/>
    <w:qFormat/>
    <w:uiPriority w:val="0"/>
    <w:pPr>
      <w:widowControl/>
      <w:shd w:val="clear" w:color="000000" w:fill="FFFFFF"/>
      <w:spacing w:before="280" w:after="280"/>
      <w:jc w:val="center"/>
    </w:pPr>
    <w:rPr>
      <w:rFonts w:ascii="Arial Narrow" w:hAnsi="Calibri"/>
      <w:kern w:val="0"/>
      <w:sz w:val="24"/>
      <w:szCs w:val="20"/>
    </w:rPr>
  </w:style>
  <w:style w:type="paragraph" w:customStyle="1" w:styleId="428">
    <w:name w:val="p15"/>
    <w:basedOn w:val="1"/>
    <w:next w:val="249"/>
    <w:qFormat/>
    <w:uiPriority w:val="0"/>
    <w:pPr>
      <w:widowControl/>
      <w:ind w:firstLine="420"/>
    </w:pPr>
    <w:rPr>
      <w:rFonts w:hAnsi="Calibri"/>
      <w:kern w:val="0"/>
      <w:szCs w:val="20"/>
    </w:rPr>
  </w:style>
  <w:style w:type="paragraph" w:customStyle="1" w:styleId="429">
    <w:name w:val="xl87"/>
    <w:basedOn w:val="1"/>
    <w:next w:val="430"/>
    <w:qFormat/>
    <w:uiPriority w:val="0"/>
    <w:pPr>
      <w:widowControl/>
      <w:shd w:val="clear" w:color="000000" w:fill="FFFFFF"/>
      <w:spacing w:before="280" w:after="280"/>
    </w:pPr>
    <w:rPr>
      <w:rFonts w:ascii="Arial" w:hAnsi="Calibri"/>
      <w:kern w:val="0"/>
      <w:sz w:val="18"/>
      <w:szCs w:val="20"/>
    </w:rPr>
  </w:style>
  <w:style w:type="paragraph" w:customStyle="1" w:styleId="430">
    <w:name w:val="toc 98"/>
    <w:next w:val="1"/>
    <w:qFormat/>
    <w:uiPriority w:val="0"/>
    <w:pPr>
      <w:wordWrap w:val="0"/>
      <w:ind w:left="3400"/>
      <w:jc w:val="both"/>
    </w:pPr>
    <w:rPr>
      <w:rFonts w:ascii="Calibri" w:hAnsi="Calibri" w:eastAsia="宋体" w:cs="Times New Roman"/>
      <w:sz w:val="21"/>
      <w:lang w:val="en-US" w:eastAsia="zh-CN" w:bidi="ar-SA"/>
    </w:rPr>
  </w:style>
  <w:style w:type="paragraph" w:customStyle="1" w:styleId="431">
    <w:name w:val="列出段落7"/>
    <w:basedOn w:val="1"/>
    <w:next w:val="413"/>
    <w:qFormat/>
    <w:uiPriority w:val="0"/>
    <w:pPr>
      <w:ind w:firstLine="420"/>
    </w:pPr>
    <w:rPr>
      <w:rFonts w:hAnsi="Calibri"/>
      <w:kern w:val="0"/>
      <w:szCs w:val="20"/>
    </w:rPr>
  </w:style>
  <w:style w:type="paragraph" w:customStyle="1" w:styleId="432">
    <w:name w:val="xl78"/>
    <w:basedOn w:val="1"/>
    <w:next w:val="403"/>
    <w:qFormat/>
    <w:uiPriority w:val="0"/>
    <w:pPr>
      <w:widowControl/>
      <w:shd w:val="clear" w:color="000000" w:fill="FFFFFF"/>
      <w:spacing w:before="280" w:after="280"/>
    </w:pPr>
    <w:rPr>
      <w:rFonts w:ascii="宋体" w:hAnsi="Calibri"/>
      <w:b/>
      <w:kern w:val="0"/>
      <w:sz w:val="20"/>
      <w:szCs w:val="20"/>
    </w:rPr>
  </w:style>
  <w:style w:type="paragraph" w:customStyle="1" w:styleId="433">
    <w:name w:val="toc 516"/>
    <w:next w:val="1"/>
    <w:qFormat/>
    <w:uiPriority w:val="0"/>
    <w:pPr>
      <w:wordWrap w:val="0"/>
      <w:ind w:left="1700"/>
      <w:jc w:val="both"/>
    </w:pPr>
    <w:rPr>
      <w:rFonts w:ascii="Calibri" w:hAnsi="Calibri" w:eastAsia="宋体" w:cs="Times New Roman"/>
      <w:sz w:val="21"/>
      <w:lang w:val="en-US" w:eastAsia="zh-CN" w:bidi="ar-SA"/>
    </w:rPr>
  </w:style>
  <w:style w:type="paragraph" w:customStyle="1" w:styleId="434">
    <w:name w:val="xl89"/>
    <w:basedOn w:val="1"/>
    <w:next w:val="368"/>
    <w:qFormat/>
    <w:uiPriority w:val="0"/>
    <w:pPr>
      <w:widowControl/>
      <w:shd w:val="clear" w:color="000000" w:fill="FFFFFF"/>
      <w:spacing w:before="280" w:after="280"/>
    </w:pPr>
    <w:rPr>
      <w:rFonts w:ascii="宋体" w:hAnsi="Calibri"/>
      <w:kern w:val="0"/>
      <w:sz w:val="20"/>
      <w:szCs w:val="20"/>
    </w:rPr>
  </w:style>
  <w:style w:type="paragraph" w:customStyle="1" w:styleId="435">
    <w:name w:val="toc 910"/>
    <w:next w:val="1"/>
    <w:qFormat/>
    <w:uiPriority w:val="0"/>
    <w:pPr>
      <w:wordWrap w:val="0"/>
      <w:ind w:left="3400"/>
      <w:jc w:val="both"/>
    </w:pPr>
    <w:rPr>
      <w:rFonts w:ascii="Calibri" w:hAnsi="Calibri" w:eastAsia="宋体" w:cs="Times New Roman"/>
      <w:sz w:val="21"/>
      <w:lang w:val="en-US" w:eastAsia="zh-CN" w:bidi="ar-SA"/>
    </w:rPr>
  </w:style>
  <w:style w:type="paragraph" w:customStyle="1" w:styleId="436">
    <w:name w:val="toc 34"/>
    <w:next w:val="1"/>
    <w:qFormat/>
    <w:uiPriority w:val="0"/>
    <w:pPr>
      <w:wordWrap w:val="0"/>
      <w:ind w:left="850"/>
      <w:jc w:val="both"/>
    </w:pPr>
    <w:rPr>
      <w:rFonts w:ascii="Calibri" w:hAnsi="Calibri" w:eastAsia="宋体" w:cs="Times New Roman"/>
      <w:sz w:val="21"/>
      <w:lang w:val="en-US" w:eastAsia="zh-CN" w:bidi="ar-SA"/>
    </w:rPr>
  </w:style>
  <w:style w:type="paragraph" w:customStyle="1" w:styleId="437">
    <w:name w:val="toc 816"/>
    <w:next w:val="1"/>
    <w:qFormat/>
    <w:uiPriority w:val="0"/>
    <w:pPr>
      <w:wordWrap w:val="0"/>
      <w:ind w:left="2975"/>
      <w:jc w:val="both"/>
    </w:pPr>
    <w:rPr>
      <w:rFonts w:ascii="Calibri" w:hAnsi="Calibri" w:eastAsia="宋体" w:cs="Times New Roman"/>
      <w:sz w:val="21"/>
      <w:lang w:val="en-US" w:eastAsia="zh-CN" w:bidi="ar-SA"/>
    </w:rPr>
  </w:style>
  <w:style w:type="paragraph" w:customStyle="1" w:styleId="438">
    <w:name w:val="toc 43"/>
    <w:next w:val="1"/>
    <w:qFormat/>
    <w:uiPriority w:val="0"/>
    <w:pPr>
      <w:wordWrap w:val="0"/>
      <w:ind w:left="1275"/>
      <w:jc w:val="both"/>
    </w:pPr>
    <w:rPr>
      <w:rFonts w:ascii="Calibri" w:hAnsi="Calibri" w:eastAsia="宋体" w:cs="Times New Roman"/>
      <w:sz w:val="21"/>
      <w:lang w:val="en-US" w:eastAsia="zh-CN" w:bidi="ar-SA"/>
    </w:rPr>
  </w:style>
  <w:style w:type="paragraph" w:customStyle="1" w:styleId="439">
    <w:name w:val="toc 16"/>
    <w:next w:val="1"/>
    <w:qFormat/>
    <w:uiPriority w:val="0"/>
    <w:pPr>
      <w:wordWrap w:val="0"/>
      <w:jc w:val="both"/>
    </w:pPr>
    <w:rPr>
      <w:rFonts w:ascii="Calibri" w:hAnsi="Calibri" w:eastAsia="宋体" w:cs="Times New Roman"/>
      <w:sz w:val="21"/>
      <w:lang w:val="en-US" w:eastAsia="zh-CN" w:bidi="ar-SA"/>
    </w:rPr>
  </w:style>
  <w:style w:type="character" w:customStyle="1" w:styleId="440">
    <w:name w:val="引用 Char"/>
    <w:basedOn w:val="48"/>
    <w:link w:val="10"/>
    <w:qFormat/>
    <w:uiPriority w:val="0"/>
    <w:rPr>
      <w:rFonts w:ascii="Calibri" w:hAnsi="Calibri"/>
      <w:i/>
      <w:sz w:val="21"/>
    </w:rPr>
  </w:style>
  <w:style w:type="paragraph" w:customStyle="1" w:styleId="441">
    <w:name w:val="toc 114"/>
    <w:next w:val="1"/>
    <w:qFormat/>
    <w:uiPriority w:val="0"/>
    <w:pPr>
      <w:wordWrap w:val="0"/>
      <w:jc w:val="both"/>
    </w:pPr>
    <w:rPr>
      <w:rFonts w:ascii="Calibri" w:hAnsi="Calibri" w:eastAsia="宋体" w:cs="Times New Roman"/>
      <w:sz w:val="21"/>
      <w:lang w:val="en-US" w:eastAsia="zh-CN" w:bidi="ar-SA"/>
    </w:rPr>
  </w:style>
  <w:style w:type="paragraph" w:customStyle="1" w:styleId="442">
    <w:name w:val="xl119"/>
    <w:basedOn w:val="1"/>
    <w:next w:val="418"/>
    <w:qFormat/>
    <w:uiPriority w:val="0"/>
    <w:pPr>
      <w:widowControl/>
      <w:shd w:val="clear" w:color="000000" w:fill="FFFFFF"/>
      <w:spacing w:before="280" w:after="280"/>
      <w:jc w:val="center"/>
    </w:pPr>
    <w:rPr>
      <w:rFonts w:ascii="宋体" w:hAnsi="Calibri"/>
      <w:b/>
      <w:kern w:val="0"/>
      <w:sz w:val="20"/>
      <w:szCs w:val="20"/>
    </w:rPr>
  </w:style>
  <w:style w:type="paragraph" w:customStyle="1" w:styleId="443">
    <w:name w:val="toc 37"/>
    <w:next w:val="1"/>
    <w:qFormat/>
    <w:uiPriority w:val="0"/>
    <w:pPr>
      <w:wordWrap w:val="0"/>
      <w:ind w:left="850"/>
      <w:jc w:val="both"/>
    </w:pPr>
    <w:rPr>
      <w:rFonts w:ascii="Calibri" w:hAnsi="Calibri" w:eastAsia="宋体" w:cs="Times New Roman"/>
      <w:sz w:val="21"/>
      <w:lang w:val="en-US" w:eastAsia="zh-CN" w:bidi="ar-SA"/>
    </w:rPr>
  </w:style>
  <w:style w:type="paragraph" w:customStyle="1" w:styleId="444">
    <w:name w:val="xl109"/>
    <w:basedOn w:val="1"/>
    <w:next w:val="391"/>
    <w:qFormat/>
    <w:uiPriority w:val="0"/>
    <w:pPr>
      <w:widowControl/>
      <w:shd w:val="clear" w:color="000000" w:fill="FFFFFF"/>
      <w:spacing w:before="280" w:after="280"/>
    </w:pPr>
    <w:rPr>
      <w:rFonts w:ascii="宋体" w:hAnsi="Calibri"/>
      <w:kern w:val="0"/>
      <w:sz w:val="20"/>
      <w:szCs w:val="20"/>
    </w:rPr>
  </w:style>
  <w:style w:type="paragraph" w:customStyle="1" w:styleId="445">
    <w:name w:val="toc 215"/>
    <w:next w:val="1"/>
    <w:qFormat/>
    <w:uiPriority w:val="0"/>
    <w:pPr>
      <w:wordWrap w:val="0"/>
      <w:ind w:left="425"/>
      <w:jc w:val="both"/>
    </w:pPr>
    <w:rPr>
      <w:rFonts w:ascii="Calibri" w:hAnsi="Calibri" w:eastAsia="宋体" w:cs="Times New Roman"/>
      <w:sz w:val="21"/>
      <w:lang w:val="en-US" w:eastAsia="zh-CN" w:bidi="ar-SA"/>
    </w:rPr>
  </w:style>
  <w:style w:type="paragraph" w:customStyle="1" w:styleId="446">
    <w:name w:val="xl76"/>
    <w:basedOn w:val="1"/>
    <w:next w:val="399"/>
    <w:qFormat/>
    <w:uiPriority w:val="0"/>
    <w:pPr>
      <w:widowControl/>
      <w:shd w:val="clear" w:color="000000" w:fill="FFFFFF"/>
      <w:spacing w:before="280" w:after="280"/>
      <w:jc w:val="center"/>
    </w:pPr>
    <w:rPr>
      <w:rFonts w:ascii="宋体" w:hAnsi="Calibri"/>
      <w:b/>
      <w:kern w:val="0"/>
      <w:sz w:val="20"/>
      <w:szCs w:val="20"/>
    </w:rPr>
  </w:style>
  <w:style w:type="paragraph" w:customStyle="1" w:styleId="447">
    <w:name w:val="toc 92"/>
    <w:next w:val="1"/>
    <w:qFormat/>
    <w:uiPriority w:val="0"/>
    <w:pPr>
      <w:wordWrap w:val="0"/>
      <w:ind w:left="3400"/>
      <w:jc w:val="both"/>
    </w:pPr>
    <w:rPr>
      <w:rFonts w:ascii="Calibri" w:hAnsi="Calibri" w:eastAsia="宋体" w:cs="Times New Roman"/>
      <w:sz w:val="21"/>
      <w:lang w:val="en-US" w:eastAsia="zh-CN" w:bidi="ar-SA"/>
    </w:rPr>
  </w:style>
  <w:style w:type="paragraph" w:customStyle="1" w:styleId="448">
    <w:name w:val="toc 216"/>
    <w:next w:val="1"/>
    <w:qFormat/>
    <w:uiPriority w:val="0"/>
    <w:pPr>
      <w:wordWrap w:val="0"/>
      <w:ind w:left="425"/>
      <w:jc w:val="both"/>
    </w:pPr>
    <w:rPr>
      <w:rFonts w:ascii="Calibri" w:hAnsi="Calibri" w:eastAsia="宋体" w:cs="Times New Roman"/>
      <w:sz w:val="21"/>
      <w:lang w:val="en-US" w:eastAsia="zh-CN" w:bidi="ar-SA"/>
    </w:rPr>
  </w:style>
  <w:style w:type="paragraph" w:customStyle="1" w:styleId="449">
    <w:name w:val="xl70"/>
    <w:basedOn w:val="1"/>
    <w:next w:val="376"/>
    <w:qFormat/>
    <w:uiPriority w:val="0"/>
    <w:pPr>
      <w:widowControl/>
      <w:shd w:val="clear" w:color="000000" w:fill="FFFFFF"/>
      <w:spacing w:before="280" w:after="280"/>
    </w:pPr>
    <w:rPr>
      <w:rFonts w:ascii="宋体" w:hAnsi="Calibri"/>
      <w:kern w:val="0"/>
      <w:sz w:val="20"/>
      <w:szCs w:val="20"/>
    </w:rPr>
  </w:style>
  <w:style w:type="paragraph" w:customStyle="1" w:styleId="450">
    <w:name w:val="toc 33"/>
    <w:next w:val="1"/>
    <w:qFormat/>
    <w:uiPriority w:val="0"/>
    <w:pPr>
      <w:wordWrap w:val="0"/>
      <w:ind w:left="850"/>
      <w:jc w:val="both"/>
    </w:pPr>
    <w:rPr>
      <w:rFonts w:ascii="Calibri" w:hAnsi="Calibri" w:eastAsia="宋体" w:cs="Times New Roman"/>
      <w:sz w:val="21"/>
      <w:lang w:val="en-US" w:eastAsia="zh-CN" w:bidi="ar-SA"/>
    </w:rPr>
  </w:style>
  <w:style w:type="paragraph" w:customStyle="1" w:styleId="451">
    <w:name w:val="toc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52">
    <w:name w:val="xl98"/>
    <w:basedOn w:val="1"/>
    <w:next w:val="394"/>
    <w:qFormat/>
    <w:uiPriority w:val="0"/>
    <w:pPr>
      <w:widowControl/>
      <w:shd w:val="clear" w:color="000000" w:fill="FFFFFF"/>
      <w:spacing w:before="280" w:after="280"/>
      <w:jc w:val="center"/>
    </w:pPr>
    <w:rPr>
      <w:rFonts w:ascii="宋体" w:hAnsi="Calibri"/>
      <w:kern w:val="0"/>
      <w:sz w:val="20"/>
      <w:szCs w:val="20"/>
    </w:rPr>
  </w:style>
  <w:style w:type="paragraph" w:customStyle="1" w:styleId="453">
    <w:name w:val="toc 26"/>
    <w:next w:val="1"/>
    <w:qFormat/>
    <w:uiPriority w:val="0"/>
    <w:pPr>
      <w:wordWrap w:val="0"/>
      <w:ind w:left="425"/>
      <w:jc w:val="both"/>
    </w:pPr>
    <w:rPr>
      <w:rFonts w:ascii="Calibri" w:hAnsi="Calibri" w:eastAsia="宋体" w:cs="Times New Roman"/>
      <w:sz w:val="21"/>
      <w:lang w:val="en-US" w:eastAsia="zh-CN" w:bidi="ar-SA"/>
    </w:rPr>
  </w:style>
  <w:style w:type="paragraph" w:customStyle="1" w:styleId="454">
    <w:name w:val="toc 13"/>
    <w:next w:val="1"/>
    <w:qFormat/>
    <w:uiPriority w:val="0"/>
    <w:pPr>
      <w:wordWrap w:val="0"/>
      <w:jc w:val="both"/>
    </w:pPr>
    <w:rPr>
      <w:rFonts w:ascii="Calibri" w:hAnsi="Calibri" w:eastAsia="宋体" w:cs="Times New Roman"/>
      <w:sz w:val="21"/>
      <w:lang w:val="en-US" w:eastAsia="zh-CN" w:bidi="ar-SA"/>
    </w:rPr>
  </w:style>
  <w:style w:type="paragraph" w:customStyle="1" w:styleId="455">
    <w:name w:val="目录 51"/>
    <w:next w:val="1"/>
    <w:qFormat/>
    <w:uiPriority w:val="0"/>
    <w:pPr>
      <w:wordWrap w:val="0"/>
      <w:ind w:left="1700"/>
      <w:jc w:val="both"/>
    </w:pPr>
    <w:rPr>
      <w:rFonts w:ascii="Calibri" w:hAnsi="Calibri" w:eastAsia="宋体" w:cs="Times New Roman"/>
      <w:sz w:val="21"/>
      <w:lang w:val="en-US" w:eastAsia="zh-CN" w:bidi="ar-SA"/>
    </w:rPr>
  </w:style>
  <w:style w:type="paragraph" w:customStyle="1" w:styleId="456">
    <w:name w:val="xl101"/>
    <w:basedOn w:val="1"/>
    <w:next w:val="425"/>
    <w:qFormat/>
    <w:uiPriority w:val="0"/>
    <w:pPr>
      <w:widowControl/>
      <w:spacing w:before="280" w:after="280"/>
    </w:pPr>
    <w:rPr>
      <w:rFonts w:ascii="宋体" w:hAnsi="Calibri"/>
      <w:kern w:val="0"/>
      <w:sz w:val="20"/>
      <w:szCs w:val="20"/>
    </w:rPr>
  </w:style>
  <w:style w:type="paragraph" w:customStyle="1" w:styleId="457">
    <w:name w:val="toc 75"/>
    <w:next w:val="1"/>
    <w:qFormat/>
    <w:uiPriority w:val="0"/>
    <w:pPr>
      <w:wordWrap w:val="0"/>
      <w:ind w:left="2550"/>
      <w:jc w:val="both"/>
    </w:pPr>
    <w:rPr>
      <w:rFonts w:ascii="Calibri" w:hAnsi="Calibri" w:eastAsia="宋体" w:cs="Times New Roman"/>
      <w:sz w:val="21"/>
      <w:lang w:val="en-US" w:eastAsia="zh-CN" w:bidi="ar-SA"/>
    </w:rPr>
  </w:style>
  <w:style w:type="paragraph" w:customStyle="1" w:styleId="458">
    <w:name w:val="toc 715"/>
    <w:next w:val="1"/>
    <w:qFormat/>
    <w:uiPriority w:val="0"/>
    <w:pPr>
      <w:wordWrap w:val="0"/>
      <w:ind w:left="2550"/>
      <w:jc w:val="both"/>
    </w:pPr>
    <w:rPr>
      <w:rFonts w:ascii="Calibri" w:hAnsi="Calibri" w:eastAsia="宋体" w:cs="Times New Roman"/>
      <w:sz w:val="21"/>
      <w:lang w:val="en-US" w:eastAsia="zh-CN" w:bidi="ar-SA"/>
    </w:rPr>
  </w:style>
  <w:style w:type="paragraph" w:styleId="459">
    <w:name w:val="Intense Quote"/>
    <w:next w:val="1"/>
    <w:link w:val="460"/>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60">
    <w:name w:val="明显引用 Char"/>
    <w:basedOn w:val="48"/>
    <w:link w:val="459"/>
    <w:qFormat/>
    <w:uiPriority w:val="0"/>
    <w:rPr>
      <w:rFonts w:ascii="Calibri" w:hAnsi="Calibri"/>
      <w:i/>
      <w:sz w:val="21"/>
    </w:rPr>
  </w:style>
  <w:style w:type="paragraph" w:customStyle="1" w:styleId="461">
    <w:name w:val="Char Char Char Char Char Char Char"/>
    <w:basedOn w:val="1"/>
    <w:next w:val="445"/>
    <w:qFormat/>
    <w:uiPriority w:val="0"/>
    <w:pPr>
      <w:widowControl/>
      <w:spacing w:after="160" w:line="240" w:lineRule="exact"/>
    </w:pPr>
    <w:rPr>
      <w:rFonts w:hAnsi="Calibri"/>
      <w:kern w:val="0"/>
      <w:szCs w:val="20"/>
    </w:rPr>
  </w:style>
  <w:style w:type="paragraph" w:customStyle="1" w:styleId="462">
    <w:name w:val="toc 23"/>
    <w:next w:val="1"/>
    <w:qFormat/>
    <w:uiPriority w:val="0"/>
    <w:pPr>
      <w:wordWrap w:val="0"/>
      <w:ind w:left="425"/>
      <w:jc w:val="both"/>
    </w:pPr>
    <w:rPr>
      <w:rFonts w:ascii="Calibri" w:hAnsi="Calibri" w:eastAsia="宋体" w:cs="Times New Roman"/>
      <w:sz w:val="21"/>
      <w:lang w:val="en-US" w:eastAsia="zh-CN" w:bidi="ar-SA"/>
    </w:rPr>
  </w:style>
  <w:style w:type="paragraph" w:customStyle="1" w:styleId="463">
    <w:name w:val="目录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64">
    <w:name w:val="toc 97"/>
    <w:next w:val="1"/>
    <w:qFormat/>
    <w:uiPriority w:val="0"/>
    <w:pPr>
      <w:wordWrap w:val="0"/>
      <w:ind w:left="3400"/>
      <w:jc w:val="both"/>
    </w:pPr>
    <w:rPr>
      <w:rFonts w:ascii="Calibri" w:hAnsi="Calibri" w:eastAsia="宋体" w:cs="Times New Roman"/>
      <w:sz w:val="21"/>
      <w:lang w:val="en-US" w:eastAsia="zh-CN" w:bidi="ar-SA"/>
    </w:rPr>
  </w:style>
  <w:style w:type="paragraph" w:customStyle="1" w:styleId="465">
    <w:name w:val="toc 74"/>
    <w:next w:val="1"/>
    <w:qFormat/>
    <w:uiPriority w:val="0"/>
    <w:pPr>
      <w:wordWrap w:val="0"/>
      <w:ind w:left="2550"/>
      <w:jc w:val="both"/>
    </w:pPr>
    <w:rPr>
      <w:rFonts w:ascii="Calibri" w:hAnsi="Calibri" w:eastAsia="宋体" w:cs="Times New Roman"/>
      <w:sz w:val="21"/>
      <w:lang w:val="en-US" w:eastAsia="zh-CN" w:bidi="ar-SA"/>
    </w:rPr>
  </w:style>
  <w:style w:type="paragraph" w:customStyle="1" w:styleId="466">
    <w:name w:val="xl64"/>
    <w:basedOn w:val="1"/>
    <w:next w:val="441"/>
    <w:qFormat/>
    <w:uiPriority w:val="0"/>
    <w:pPr>
      <w:widowControl/>
      <w:shd w:val="clear" w:color="000000" w:fill="FFFFFF"/>
      <w:spacing w:before="280" w:after="280"/>
    </w:pPr>
    <w:rPr>
      <w:rFonts w:ascii="宋体" w:hAnsi="Calibri"/>
      <w:kern w:val="0"/>
      <w:sz w:val="20"/>
      <w:szCs w:val="20"/>
    </w:rPr>
  </w:style>
  <w:style w:type="paragraph" w:customStyle="1" w:styleId="467">
    <w:name w:val="xl82"/>
    <w:basedOn w:val="1"/>
    <w:next w:val="287"/>
    <w:qFormat/>
    <w:uiPriority w:val="0"/>
    <w:pPr>
      <w:widowControl/>
      <w:shd w:val="clear" w:color="000000" w:fill="FFFFFF"/>
      <w:spacing w:before="280" w:after="280"/>
    </w:pPr>
    <w:rPr>
      <w:rFonts w:ascii="宋体" w:hAnsi="Calibri"/>
      <w:kern w:val="0"/>
      <w:sz w:val="20"/>
      <w:szCs w:val="20"/>
    </w:rPr>
  </w:style>
  <w:style w:type="paragraph" w:customStyle="1" w:styleId="468">
    <w:name w:val="toc 32"/>
    <w:next w:val="1"/>
    <w:qFormat/>
    <w:uiPriority w:val="0"/>
    <w:pPr>
      <w:wordWrap w:val="0"/>
      <w:ind w:left="850"/>
      <w:jc w:val="both"/>
    </w:pPr>
    <w:rPr>
      <w:rFonts w:ascii="Calibri" w:hAnsi="Calibri" w:eastAsia="宋体" w:cs="Times New Roman"/>
      <w:sz w:val="21"/>
      <w:lang w:val="en-US" w:eastAsia="zh-CN" w:bidi="ar-SA"/>
    </w:rPr>
  </w:style>
  <w:style w:type="paragraph" w:customStyle="1" w:styleId="469">
    <w:name w:val="xl77"/>
    <w:basedOn w:val="1"/>
    <w:next w:val="435"/>
    <w:qFormat/>
    <w:uiPriority w:val="0"/>
    <w:pPr>
      <w:widowControl/>
      <w:shd w:val="clear" w:color="000000" w:fill="FFFFFF"/>
      <w:spacing w:before="280" w:after="280"/>
      <w:jc w:val="center"/>
    </w:pPr>
    <w:rPr>
      <w:rFonts w:ascii="宋体" w:hAnsi="Calibri"/>
      <w:kern w:val="0"/>
      <w:sz w:val="20"/>
      <w:szCs w:val="20"/>
    </w:rPr>
  </w:style>
  <w:style w:type="character" w:customStyle="1" w:styleId="470">
    <w:name w:val="正文缩进 Char1"/>
    <w:qFormat/>
    <w:uiPriority w:val="0"/>
    <w:rPr>
      <w:rFonts w:eastAsia="宋体"/>
      <w:kern w:val="2"/>
      <w:sz w:val="21"/>
      <w:lang w:val="en-US" w:eastAsia="zh-CN" w:bidi="ar-SA"/>
    </w:rPr>
  </w:style>
  <w:style w:type="character" w:customStyle="1" w:styleId="471">
    <w:name w:val="fielderror"/>
    <w:basedOn w:val="48"/>
    <w:qFormat/>
    <w:uiPriority w:val="0"/>
    <w:rPr>
      <w:color w:val="800000"/>
    </w:rPr>
  </w:style>
  <w:style w:type="character" w:customStyle="1" w:styleId="472">
    <w:name w:val="hilite6"/>
    <w:basedOn w:val="48"/>
    <w:qFormat/>
    <w:uiPriority w:val="0"/>
    <w:rPr>
      <w:color w:val="000000"/>
    </w:rPr>
  </w:style>
  <w:style w:type="character" w:customStyle="1" w:styleId="473">
    <w:name w:val="active6"/>
    <w:basedOn w:val="48"/>
    <w:qFormat/>
    <w:uiPriority w:val="0"/>
    <w:rPr>
      <w:color w:val="FFFFFF"/>
    </w:rPr>
  </w:style>
  <w:style w:type="character" w:customStyle="1" w:styleId="474">
    <w:name w:val="inline-help"/>
    <w:basedOn w:val="48"/>
    <w:qFormat/>
    <w:uiPriority w:val="0"/>
  </w:style>
  <w:style w:type="character" w:customStyle="1" w:styleId="475">
    <w:name w:val="active"/>
    <w:basedOn w:val="48"/>
    <w:qFormat/>
    <w:uiPriority w:val="0"/>
    <w:rPr>
      <w:color w:val="FFFFFF"/>
    </w:rPr>
  </w:style>
  <w:style w:type="table" w:customStyle="1" w:styleId="476">
    <w:name w:val="网格型1"/>
    <w:basedOn w:val="45"/>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77">
    <w:name w:val="Revision"/>
    <w:hidden/>
    <w:semiHidden/>
    <w:qFormat/>
    <w:uiPriority w:val="99"/>
    <w:rPr>
      <w:rFonts w:ascii="Times New Roman" w:hAnsi="Times New Roman" w:eastAsia="宋体" w:cs="Times New Roman"/>
      <w:kern w:val="2"/>
      <w:sz w:val="21"/>
      <w:szCs w:val="24"/>
      <w:lang w:val="en-US" w:eastAsia="zh-CN" w:bidi="ar-SA"/>
    </w:rPr>
  </w:style>
  <w:style w:type="table" w:customStyle="1" w:styleId="478">
    <w:name w:val="Table Normal_0"/>
    <w:semiHidden/>
    <w:unhideWhenUsed/>
    <w:qFormat/>
    <w:uiPriority w:val="0"/>
    <w:rPr>
      <w:rFonts w:ascii="Arial" w:hAnsi="Arial"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70</Pages>
  <Words>52046</Words>
  <Characters>54598</Characters>
  <Lines>368</Lines>
  <Paragraphs>103</Paragraphs>
  <TotalTime>43</TotalTime>
  <ScaleCrop>false</ScaleCrop>
  <LinksUpToDate>false</LinksUpToDate>
  <CharactersWithSpaces>58321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2021-05-07T05:47:00Z</dcterms:created>
  <dc:creator>thsware</dc:creator>
  <cp:lastModifiedBy>MusicTing</cp:lastModifiedBy>
  <cp:lastPrinted>2021-05-16T11:04:00Z</cp:lastPrinted>
  <dcterms:modified xsi:type="dcterms:W3CDTF">2025-12-03T01:55:04Z</dcterms:modified>
  <dc:title>招  标　文　件</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62A32B92978042AD932EED77A3C56C3C_13</vt:lpwstr>
  </property>
  <property fmtid="{D5CDD505-2E9C-101B-9397-08002B2CF9AE}" pid="4" name="KSOTemplateDocerSaveRecord">
    <vt:lpwstr>eyJoZGlkIjoiOTJjYzhjYzE1ZjViMDY3ODFkYjE0MWI1ZTQ0OTExNjgiLCJ1c2VySWQiOiIxOTk4OTA3NTkifQ==</vt:lpwstr>
  </property>
</Properties>
</file>