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bookmarkStart w:id="140" w:name="_GoBack"/>
      <w:bookmarkEnd w:id="140"/>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DPZXCG-2025-00058</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ascii="宋体" w:hAnsi="宋体" w:cs="宋体"/>
                <w:kern w:val="0"/>
                <w:sz w:val="30"/>
                <w:szCs w:val="30"/>
                <w:lang w:eastAsia="zh-CN" w:bidi="ar"/>
              </w:rPr>
              <w:t>儿童康复科设备（多参数生物反馈仪）</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4.35</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1" w:name="OLE_LINK1"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pStyle w:val="39"/>
        <w:widowControl/>
        <w:jc w:val="center"/>
        <w:outlineLvl w:val="1"/>
      </w:pPr>
    </w:p>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2"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2"/>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3"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pPr>
        <w:pStyle w:val="2"/>
        <w:rPr>
          <w:color w:val="FF0000"/>
          <w:sz w:val="24"/>
        </w:rPr>
      </w:pPr>
      <w:bookmarkStart w:id="5" w:name="bt开标一览表"/>
      <w:bookmarkEnd w:id="5"/>
      <w:bookmarkStart w:id="6" w:name="bt说明"/>
      <w:bookmarkEnd w:id="6"/>
      <w:bookmarkStart w:id="7" w:name="bt合同格式"/>
      <w:bookmarkEnd w:id="7"/>
      <w:bookmarkStart w:id="8" w:name="bt投标人情况介绍"/>
      <w:bookmarkEnd w:id="8"/>
      <w:bookmarkStart w:id="9" w:name="bt投标文件签署授权委托书"/>
      <w:bookmarkEnd w:id="9"/>
      <w:bookmarkStart w:id="10" w:name="bt投标报价汇总表"/>
      <w:bookmarkEnd w:id="10"/>
      <w:bookmarkStart w:id="11" w:name="bt合同条款"/>
      <w:bookmarkEnd w:id="11"/>
      <w:bookmarkStart w:id="12" w:name="bt其他资料由投标人自定"/>
      <w:bookmarkEnd w:id="12"/>
      <w:bookmarkStart w:id="13" w:name="合同格式"/>
      <w:bookmarkEnd w:id="13"/>
      <w:bookmarkStart w:id="14" w:name="bt技术标投标文件格式"/>
      <w:bookmarkEnd w:id="14"/>
      <w:bookmarkStart w:id="15" w:name="bt投标函"/>
      <w:bookmarkEnd w:id="15"/>
      <w:bookmarkStart w:id="16" w:name="bt本工程承诺书"/>
      <w:bookmarkEnd w:id="16"/>
      <w:bookmarkStart w:id="17" w:name="bt项目管理班子配备情况"/>
      <w:bookmarkEnd w:id="17"/>
      <w:bookmarkStart w:id="18" w:name="bt合同条款及格式"/>
      <w:bookmarkEnd w:id="18"/>
      <w:bookmarkStart w:id="19" w:name="bt投标人须知"/>
      <w:bookmarkEnd w:id="19"/>
      <w:bookmarkStart w:id="20" w:name="bt其他资料2"/>
      <w:bookmarkEnd w:id="20"/>
      <w:bookmarkStart w:id="21" w:name="bt商务标投标文件格式"/>
      <w:bookmarkEnd w:id="21"/>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2"/>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8"/>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pPr>
        <w:pStyle w:val="5"/>
        <w:spacing w:before="120" w:beforeLines="50" w:after="120" w:afterLines="50"/>
        <w:rPr>
          <w:szCs w:val="24"/>
        </w:rPr>
      </w:pPr>
      <w:bookmarkStart w:id="24" w:name="_Toc73517639"/>
      <w:bookmarkStart w:id="25" w:name="_Toc60560625"/>
      <w:bookmarkStart w:id="26" w:name="_Toc73521547"/>
      <w:bookmarkStart w:id="27" w:name="_Toc73518117"/>
      <w:bookmarkStart w:id="28" w:name="_Toc60631620"/>
      <w:bookmarkStart w:id="29" w:name="_Toc73521635"/>
      <w:bookmarkStart w:id="30" w:name="_Toc101074876"/>
      <w:bookmarkStart w:id="31" w:name="_Toc100052364"/>
      <w:r>
        <w:rPr>
          <w:rFonts w:hint="eastAsia"/>
          <w:szCs w:val="24"/>
        </w:rPr>
        <w:t>一、对通用条款的补充内容</w:t>
      </w:r>
    </w:p>
    <w:bookmarkEnd w:id="24"/>
    <w:bookmarkEnd w:id="25"/>
    <w:bookmarkEnd w:id="26"/>
    <w:bookmarkEnd w:id="27"/>
    <w:bookmarkEnd w:id="28"/>
    <w:bookmarkEnd w:id="29"/>
    <w:bookmarkEnd w:id="30"/>
    <w:bookmarkEnd w:id="31"/>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2"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2"/>
    <w:p>
      <w:pPr>
        <w:pStyle w:val="5"/>
        <w:spacing w:before="120" w:beforeLines="50" w:after="120" w:afterLines="50"/>
        <w:rPr>
          <w:szCs w:val="24"/>
        </w:rPr>
      </w:pPr>
      <w:bookmarkStart w:id="34" w:name="_Hlk72218117"/>
      <w:r>
        <w:rPr>
          <w:rFonts w:hint="eastAsia"/>
          <w:szCs w:val="24"/>
        </w:rPr>
        <w:t>二、其他关键信息</w:t>
      </w:r>
    </w:p>
    <w:p>
      <w:pPr>
        <w:ind w:firstLine="422" w:firstLineChars="200"/>
        <w:rPr>
          <w:b/>
          <w:bCs/>
        </w:rPr>
      </w:pPr>
      <w:bookmarkStart w:id="35"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5"/>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6"/>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4"/>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eastAsia="宋体"/>
                <w:b/>
                <w:bCs/>
                <w:color w:val="FF0000"/>
                <w:szCs w:val="21"/>
                <w:lang w:eastAsia="zh-CN"/>
              </w:rPr>
              <w:t>儿童康复科设备（多参数生物反馈仪）</w:t>
            </w:r>
          </w:p>
        </w:tc>
        <w:tc>
          <w:tcPr>
            <w:tcW w:w="1986" w:type="pct"/>
            <w:vAlign w:val="center"/>
          </w:tcPr>
          <w:p>
            <w:pPr>
              <w:jc w:val="center"/>
              <w:rPr>
                <w:rFonts w:hint="default" w:eastAsia="宋体"/>
                <w:bCs/>
                <w:color w:val="FF0000"/>
                <w:szCs w:val="21"/>
                <w:lang w:val="en-US" w:eastAsia="zh-CN"/>
              </w:rPr>
            </w:pPr>
            <w:r>
              <w:rPr>
                <w:rFonts w:hint="eastAsia"/>
                <w:bCs/>
                <w:color w:val="FF0000"/>
                <w:szCs w:val="21"/>
                <w:lang w:val="en-US" w:eastAsia="zh-CN"/>
              </w:rPr>
              <w:t>250000.00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7" w:name="_Hlk72258617"/>
      <w:r>
        <w:rPr>
          <w:rFonts w:hint="eastAsia"/>
          <w:szCs w:val="24"/>
        </w:rPr>
        <w:t>二、</w:t>
      </w:r>
      <w:bookmarkStart w:id="38" w:name="_Hlk72073432"/>
      <w:r>
        <w:rPr>
          <w:rFonts w:hint="eastAsia"/>
          <w:szCs w:val="24"/>
        </w:rPr>
        <w:t>货物</w:t>
      </w:r>
      <w:r>
        <w:rPr>
          <w:rFonts w:hint="eastAsia"/>
          <w:szCs w:val="24"/>
          <w:lang w:val="en-US" w:eastAsia="zh-CN"/>
        </w:rPr>
        <w:t>清单</w:t>
      </w:r>
      <w:r>
        <w:rPr>
          <w:rFonts w:hint="eastAsia"/>
          <w:szCs w:val="24"/>
        </w:rPr>
        <w:t>明细</w:t>
      </w:r>
      <w:bookmarkEnd w:id="38"/>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754"/>
        <w:gridCol w:w="703"/>
        <w:gridCol w:w="638"/>
        <w:gridCol w:w="1189"/>
        <w:gridCol w:w="1177"/>
        <w:gridCol w:w="1288"/>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序号</w:t>
            </w:r>
          </w:p>
        </w:tc>
        <w:tc>
          <w:tcPr>
            <w:tcW w:w="1028" w:type="pct"/>
            <w:vAlign w:val="center"/>
          </w:tcPr>
          <w:p>
            <w:pPr>
              <w:jc w:val="center"/>
              <w:rPr>
                <w:bCs/>
                <w:szCs w:val="21"/>
              </w:rPr>
            </w:pPr>
            <w:r>
              <w:rPr>
                <w:rFonts w:hint="eastAsia"/>
                <w:bCs/>
                <w:szCs w:val="21"/>
              </w:rPr>
              <w:t>货物名称（标的名称）</w:t>
            </w:r>
          </w:p>
        </w:tc>
        <w:tc>
          <w:tcPr>
            <w:tcW w:w="412" w:type="pct"/>
            <w:vAlign w:val="center"/>
          </w:tcPr>
          <w:p>
            <w:pPr>
              <w:jc w:val="center"/>
              <w:rPr>
                <w:bCs/>
                <w:szCs w:val="21"/>
              </w:rPr>
            </w:pPr>
            <w:r>
              <w:rPr>
                <w:rFonts w:hint="eastAsia"/>
                <w:bCs/>
                <w:szCs w:val="21"/>
              </w:rPr>
              <w:t>数量</w:t>
            </w:r>
          </w:p>
        </w:tc>
        <w:tc>
          <w:tcPr>
            <w:tcW w:w="374" w:type="pct"/>
            <w:vAlign w:val="center"/>
          </w:tcPr>
          <w:p>
            <w:pPr>
              <w:jc w:val="center"/>
              <w:rPr>
                <w:bCs/>
                <w:szCs w:val="21"/>
              </w:rPr>
            </w:pPr>
            <w:r>
              <w:rPr>
                <w:rFonts w:hint="eastAsia"/>
                <w:bCs/>
                <w:szCs w:val="21"/>
              </w:rPr>
              <w:t>单位</w:t>
            </w:r>
          </w:p>
        </w:tc>
        <w:tc>
          <w:tcPr>
            <w:tcW w:w="697"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90"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55"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755" w:type="pct"/>
            <w:vAlign w:val="center"/>
          </w:tcPr>
          <w:p>
            <w:pPr>
              <w:jc w:val="center"/>
              <w:rPr>
                <w:rFonts w:hint="default"/>
                <w:b/>
                <w:bCs/>
                <w:color w:val="FF0000"/>
                <w:szCs w:val="21"/>
                <w:lang w:val="en-US" w:eastAsia="zh-CN"/>
              </w:rPr>
            </w:pPr>
            <w:r>
              <w:rPr>
                <w:rFonts w:hint="eastAsia"/>
                <w:b/>
                <w:bCs/>
                <w:color w:val="FF0000"/>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1</w:t>
            </w:r>
          </w:p>
        </w:tc>
        <w:tc>
          <w:tcPr>
            <w:tcW w:w="1028" w:type="pct"/>
            <w:vAlign w:val="center"/>
          </w:tcPr>
          <w:p>
            <w:pPr>
              <w:jc w:val="center"/>
              <w:rPr>
                <w:bCs/>
                <w:szCs w:val="21"/>
              </w:rPr>
            </w:pPr>
            <w:r>
              <w:rPr>
                <w:rFonts w:hint="eastAsia"/>
                <w:bCs/>
                <w:szCs w:val="21"/>
              </w:rPr>
              <w:t>多参数生物反馈仪</w:t>
            </w:r>
          </w:p>
        </w:tc>
        <w:tc>
          <w:tcPr>
            <w:tcW w:w="412"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1</w:t>
            </w:r>
          </w:p>
        </w:tc>
        <w:tc>
          <w:tcPr>
            <w:tcW w:w="374"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套</w:t>
            </w:r>
          </w:p>
        </w:tc>
        <w:tc>
          <w:tcPr>
            <w:tcW w:w="697"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690"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755"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c>
          <w:tcPr>
            <w:tcW w:w="755" w:type="pct"/>
            <w:vAlign w:val="center"/>
          </w:tcPr>
          <w:p>
            <w:pPr>
              <w:jc w:val="center"/>
              <w:rPr>
                <w:rFonts w:hint="default"/>
                <w:b/>
                <w:bCs/>
                <w:color w:val="FF0000"/>
                <w:szCs w:val="21"/>
                <w:lang w:val="en-US" w:eastAsia="zh-CN"/>
              </w:rPr>
            </w:pPr>
            <w:r>
              <w:rPr>
                <w:rFonts w:hint="eastAsia"/>
                <w:b/>
                <w:bCs/>
                <w:color w:val="FF0000"/>
                <w:szCs w:val="21"/>
                <w:lang w:val="en-US" w:eastAsia="zh-CN"/>
              </w:rPr>
              <w:t>是</w:t>
            </w:r>
          </w:p>
        </w:tc>
      </w:tr>
    </w:tbl>
    <w:p>
      <w:pPr>
        <w:ind w:firstLine="422" w:firstLineChars="200"/>
        <w:rPr>
          <w:rFonts w:hint="eastAsia" w:ascii="宋体" w:hAnsi="宋体"/>
          <w:b/>
          <w:color w:val="FF0000"/>
          <w:szCs w:val="21"/>
        </w:rPr>
      </w:pPr>
    </w:p>
    <w:tbl>
      <w:tblPr>
        <w:tblStyle w:val="44"/>
        <w:tblpPr w:leftFromText="180" w:rightFromText="180" w:vertAnchor="text" w:horzAnchor="page" w:tblpX="1614" w:tblpY="26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664"/>
        <w:gridCol w:w="537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942" w:type="pct"/>
            <w:noWrap w:val="0"/>
            <w:vAlign w:val="center"/>
          </w:tcPr>
          <w:p>
            <w:pPr>
              <w:spacing w:line="240" w:lineRule="atLeast"/>
              <w:jc w:val="center"/>
              <w:rPr>
                <w:sz w:val="20"/>
                <w:szCs w:val="20"/>
              </w:rPr>
            </w:pPr>
            <w:r>
              <w:rPr>
                <w:sz w:val="20"/>
                <w:szCs w:val="20"/>
              </w:rPr>
              <w:t>配置</w:t>
            </w:r>
          </w:p>
        </w:tc>
        <w:tc>
          <w:tcPr>
            <w:tcW w:w="389" w:type="pct"/>
            <w:noWrap w:val="0"/>
            <w:vAlign w:val="center"/>
          </w:tcPr>
          <w:p>
            <w:pPr>
              <w:spacing w:line="240" w:lineRule="atLeast"/>
              <w:jc w:val="center"/>
              <w:rPr>
                <w:sz w:val="20"/>
                <w:szCs w:val="20"/>
              </w:rPr>
            </w:pPr>
            <w:r>
              <w:rPr>
                <w:sz w:val="20"/>
                <w:szCs w:val="20"/>
              </w:rPr>
              <w:t>编号</w:t>
            </w:r>
          </w:p>
        </w:tc>
        <w:tc>
          <w:tcPr>
            <w:tcW w:w="3149" w:type="pct"/>
            <w:noWrap w:val="0"/>
            <w:vAlign w:val="center"/>
          </w:tcPr>
          <w:p>
            <w:pPr>
              <w:spacing w:line="240" w:lineRule="atLeast"/>
              <w:rPr>
                <w:sz w:val="20"/>
                <w:szCs w:val="20"/>
              </w:rPr>
            </w:pPr>
            <w:r>
              <w:rPr>
                <w:sz w:val="20"/>
                <w:szCs w:val="20"/>
              </w:rPr>
              <w:t>名称</w:t>
            </w:r>
          </w:p>
        </w:tc>
        <w:tc>
          <w:tcPr>
            <w:tcW w:w="517" w:type="pct"/>
            <w:noWrap w:val="0"/>
            <w:vAlign w:val="center"/>
          </w:tcPr>
          <w:p>
            <w:pPr>
              <w:spacing w:line="240" w:lineRule="atLeast"/>
              <w:jc w:val="center"/>
              <w:rPr>
                <w:sz w:val="20"/>
                <w:szCs w:val="20"/>
              </w:rPr>
            </w:pPr>
            <w:r>
              <w:rPr>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restart"/>
            <w:noWrap w:val="0"/>
            <w:vAlign w:val="center"/>
          </w:tcPr>
          <w:p>
            <w:pPr>
              <w:spacing w:line="240" w:lineRule="atLeast"/>
              <w:jc w:val="center"/>
              <w:rPr>
                <w:sz w:val="20"/>
                <w:szCs w:val="20"/>
              </w:rPr>
            </w:pPr>
            <w:r>
              <w:rPr>
                <w:sz w:val="20"/>
                <w:szCs w:val="20"/>
              </w:rPr>
              <w:t>信号处理器</w:t>
            </w:r>
          </w:p>
        </w:tc>
        <w:tc>
          <w:tcPr>
            <w:tcW w:w="389" w:type="pct"/>
            <w:noWrap w:val="0"/>
            <w:vAlign w:val="center"/>
          </w:tcPr>
          <w:p>
            <w:pPr>
              <w:spacing w:line="240" w:lineRule="atLeast"/>
              <w:jc w:val="center"/>
              <w:rPr>
                <w:sz w:val="20"/>
                <w:szCs w:val="20"/>
              </w:rPr>
            </w:pPr>
            <w:r>
              <w:rPr>
                <w:sz w:val="20"/>
                <w:szCs w:val="20"/>
              </w:rPr>
              <w:t>1</w:t>
            </w:r>
          </w:p>
        </w:tc>
        <w:tc>
          <w:tcPr>
            <w:tcW w:w="3149" w:type="pct"/>
            <w:noWrap w:val="0"/>
            <w:vAlign w:val="center"/>
          </w:tcPr>
          <w:p>
            <w:pPr>
              <w:spacing w:line="240" w:lineRule="atLeast"/>
              <w:rPr>
                <w:sz w:val="20"/>
                <w:szCs w:val="20"/>
              </w:rPr>
            </w:pPr>
            <w:r>
              <w:rPr>
                <w:sz w:val="20"/>
                <w:szCs w:val="20"/>
              </w:rPr>
              <w:t>放大器</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sz w:val="20"/>
                <w:szCs w:val="20"/>
              </w:rPr>
              <w:t>2</w:t>
            </w:r>
          </w:p>
        </w:tc>
        <w:tc>
          <w:tcPr>
            <w:tcW w:w="3149" w:type="pct"/>
            <w:noWrap w:val="0"/>
            <w:vAlign w:val="center"/>
          </w:tcPr>
          <w:p>
            <w:pPr>
              <w:spacing w:line="240" w:lineRule="atLeast"/>
              <w:rPr>
                <w:sz w:val="20"/>
                <w:szCs w:val="20"/>
              </w:rPr>
            </w:pPr>
            <w:r>
              <w:rPr>
                <w:sz w:val="20"/>
                <w:szCs w:val="20"/>
              </w:rPr>
              <w:t>USB数据传输线</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restart"/>
            <w:noWrap w:val="0"/>
            <w:vAlign w:val="center"/>
          </w:tcPr>
          <w:p>
            <w:pPr>
              <w:spacing w:line="240" w:lineRule="atLeast"/>
              <w:jc w:val="center"/>
              <w:rPr>
                <w:sz w:val="20"/>
                <w:szCs w:val="20"/>
              </w:rPr>
            </w:pPr>
            <w:r>
              <w:rPr>
                <w:sz w:val="20"/>
                <w:szCs w:val="20"/>
              </w:rPr>
              <w:t>软件分析系统</w:t>
            </w:r>
          </w:p>
        </w:tc>
        <w:tc>
          <w:tcPr>
            <w:tcW w:w="389" w:type="pct"/>
            <w:noWrap w:val="0"/>
            <w:vAlign w:val="center"/>
          </w:tcPr>
          <w:p>
            <w:pPr>
              <w:spacing w:line="240" w:lineRule="atLeast"/>
              <w:jc w:val="center"/>
              <w:rPr>
                <w:sz w:val="20"/>
                <w:szCs w:val="20"/>
              </w:rPr>
            </w:pPr>
            <w:r>
              <w:rPr>
                <w:sz w:val="20"/>
                <w:szCs w:val="20"/>
              </w:rPr>
              <w:t>3</w:t>
            </w:r>
          </w:p>
        </w:tc>
        <w:tc>
          <w:tcPr>
            <w:tcW w:w="3149" w:type="pct"/>
            <w:noWrap w:val="0"/>
            <w:vAlign w:val="center"/>
          </w:tcPr>
          <w:p>
            <w:pPr>
              <w:spacing w:line="240" w:lineRule="atLeast"/>
              <w:rPr>
                <w:rFonts w:hint="eastAsia"/>
                <w:b/>
                <w:sz w:val="20"/>
                <w:szCs w:val="20"/>
              </w:rPr>
            </w:pPr>
            <w:r>
              <w:rPr>
                <w:rFonts w:hint="eastAsia"/>
                <w:bCs/>
                <w:sz w:val="20"/>
                <w:szCs w:val="20"/>
              </w:rPr>
              <w:t>肌电</w:t>
            </w:r>
            <w:r>
              <w:rPr>
                <w:bCs/>
                <w:sz w:val="20"/>
                <w:szCs w:val="20"/>
              </w:rPr>
              <w:t>生物反馈治疗软件</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sz w:val="20"/>
                <w:szCs w:val="20"/>
              </w:rPr>
              <w:t>4</w:t>
            </w:r>
          </w:p>
        </w:tc>
        <w:tc>
          <w:tcPr>
            <w:tcW w:w="3149" w:type="pct"/>
            <w:noWrap w:val="0"/>
            <w:vAlign w:val="center"/>
          </w:tcPr>
          <w:p>
            <w:pPr>
              <w:spacing w:line="360" w:lineRule="auto"/>
              <w:rPr>
                <w:bCs/>
                <w:sz w:val="20"/>
                <w:szCs w:val="20"/>
              </w:rPr>
            </w:pPr>
            <w:r>
              <w:rPr>
                <w:bCs/>
                <w:sz w:val="20"/>
                <w:szCs w:val="20"/>
              </w:rPr>
              <w:t>脑电生物反馈治疗软件</w:t>
            </w:r>
          </w:p>
        </w:tc>
        <w:tc>
          <w:tcPr>
            <w:tcW w:w="517" w:type="pct"/>
            <w:noWrap w:val="0"/>
            <w:vAlign w:val="center"/>
          </w:tcPr>
          <w:p>
            <w:pPr>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sz w:val="20"/>
                <w:szCs w:val="20"/>
              </w:rPr>
              <w:t>5</w:t>
            </w:r>
          </w:p>
        </w:tc>
        <w:tc>
          <w:tcPr>
            <w:tcW w:w="3149" w:type="pct"/>
            <w:noWrap w:val="0"/>
            <w:vAlign w:val="center"/>
          </w:tcPr>
          <w:p>
            <w:pPr>
              <w:spacing w:line="360" w:lineRule="auto"/>
              <w:rPr>
                <w:bCs/>
                <w:sz w:val="20"/>
                <w:szCs w:val="20"/>
              </w:rPr>
            </w:pPr>
            <w:r>
              <w:rPr>
                <w:bCs/>
                <w:sz w:val="20"/>
                <w:szCs w:val="20"/>
              </w:rPr>
              <w:t>生物反馈伪差鉴别软件</w:t>
            </w:r>
          </w:p>
        </w:tc>
        <w:tc>
          <w:tcPr>
            <w:tcW w:w="517" w:type="pct"/>
            <w:noWrap w:val="0"/>
            <w:vAlign w:val="center"/>
          </w:tcPr>
          <w:p>
            <w:pPr>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sz w:val="20"/>
                <w:szCs w:val="20"/>
              </w:rPr>
              <w:t>6</w:t>
            </w:r>
          </w:p>
        </w:tc>
        <w:tc>
          <w:tcPr>
            <w:tcW w:w="3149" w:type="pct"/>
            <w:noWrap w:val="0"/>
            <w:vAlign w:val="center"/>
          </w:tcPr>
          <w:p>
            <w:pPr>
              <w:spacing w:line="360" w:lineRule="auto"/>
              <w:rPr>
                <w:bCs/>
                <w:sz w:val="20"/>
                <w:szCs w:val="20"/>
              </w:rPr>
            </w:pPr>
            <w:r>
              <w:rPr>
                <w:bCs/>
                <w:sz w:val="20"/>
                <w:szCs w:val="20"/>
              </w:rPr>
              <w:t>图片抓取播放生物反馈软件</w:t>
            </w:r>
          </w:p>
        </w:tc>
        <w:tc>
          <w:tcPr>
            <w:tcW w:w="517" w:type="pct"/>
            <w:noWrap w:val="0"/>
            <w:vAlign w:val="center"/>
          </w:tcPr>
          <w:p>
            <w:pPr>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rFonts w:hint="eastAsia"/>
                <w:sz w:val="20"/>
                <w:szCs w:val="20"/>
              </w:rPr>
              <w:t>7</w:t>
            </w:r>
          </w:p>
        </w:tc>
        <w:tc>
          <w:tcPr>
            <w:tcW w:w="3149" w:type="pct"/>
            <w:noWrap w:val="0"/>
            <w:vAlign w:val="center"/>
          </w:tcPr>
          <w:p>
            <w:pPr>
              <w:spacing w:line="240" w:lineRule="atLeast"/>
              <w:rPr>
                <w:sz w:val="20"/>
                <w:szCs w:val="20"/>
              </w:rPr>
            </w:pPr>
            <w:r>
              <w:rPr>
                <w:sz w:val="20"/>
                <w:szCs w:val="20"/>
              </w:rPr>
              <w:t>数据分析功能软件</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noWrap w:val="0"/>
            <w:vAlign w:val="center"/>
          </w:tcPr>
          <w:p>
            <w:pPr>
              <w:spacing w:line="240" w:lineRule="atLeast"/>
              <w:jc w:val="center"/>
              <w:rPr>
                <w:sz w:val="20"/>
                <w:szCs w:val="20"/>
              </w:rPr>
            </w:pPr>
            <w:r>
              <w:rPr>
                <w:sz w:val="20"/>
                <w:szCs w:val="20"/>
              </w:rPr>
              <w:t>专用传感器</w:t>
            </w:r>
          </w:p>
        </w:tc>
        <w:tc>
          <w:tcPr>
            <w:tcW w:w="389" w:type="pct"/>
            <w:noWrap w:val="0"/>
            <w:vAlign w:val="center"/>
          </w:tcPr>
          <w:p>
            <w:pPr>
              <w:spacing w:line="240" w:lineRule="atLeast"/>
              <w:jc w:val="center"/>
              <w:rPr>
                <w:sz w:val="20"/>
                <w:szCs w:val="20"/>
              </w:rPr>
            </w:pPr>
            <w:r>
              <w:rPr>
                <w:rFonts w:hint="eastAsia"/>
                <w:sz w:val="20"/>
                <w:szCs w:val="20"/>
              </w:rPr>
              <w:t>8</w:t>
            </w:r>
          </w:p>
        </w:tc>
        <w:tc>
          <w:tcPr>
            <w:tcW w:w="3149" w:type="pct"/>
            <w:noWrap w:val="0"/>
            <w:vAlign w:val="center"/>
          </w:tcPr>
          <w:p>
            <w:pPr>
              <w:spacing w:line="240" w:lineRule="atLeast"/>
              <w:rPr>
                <w:sz w:val="20"/>
                <w:szCs w:val="20"/>
              </w:rPr>
            </w:pPr>
            <w:r>
              <w:rPr>
                <w:rFonts w:hint="eastAsia"/>
                <w:sz w:val="20"/>
                <w:szCs w:val="20"/>
              </w:rPr>
              <w:t>专用脑电、肌电传感器</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restart"/>
            <w:noWrap w:val="0"/>
            <w:vAlign w:val="center"/>
          </w:tcPr>
          <w:p>
            <w:pPr>
              <w:spacing w:line="240" w:lineRule="atLeast"/>
              <w:jc w:val="center"/>
              <w:rPr>
                <w:sz w:val="20"/>
                <w:szCs w:val="20"/>
              </w:rPr>
            </w:pPr>
            <w:r>
              <w:rPr>
                <w:sz w:val="20"/>
                <w:szCs w:val="20"/>
              </w:rPr>
              <w:t>其它</w:t>
            </w:r>
          </w:p>
        </w:tc>
        <w:tc>
          <w:tcPr>
            <w:tcW w:w="389" w:type="pct"/>
            <w:noWrap w:val="0"/>
            <w:vAlign w:val="center"/>
          </w:tcPr>
          <w:p>
            <w:pPr>
              <w:spacing w:line="240" w:lineRule="atLeast"/>
              <w:jc w:val="center"/>
              <w:rPr>
                <w:sz w:val="20"/>
                <w:szCs w:val="20"/>
              </w:rPr>
            </w:pPr>
            <w:r>
              <w:rPr>
                <w:rFonts w:hint="eastAsia"/>
                <w:sz w:val="20"/>
                <w:szCs w:val="20"/>
              </w:rPr>
              <w:t>9</w:t>
            </w:r>
          </w:p>
        </w:tc>
        <w:tc>
          <w:tcPr>
            <w:tcW w:w="3149" w:type="pct"/>
            <w:noWrap w:val="0"/>
            <w:vAlign w:val="center"/>
          </w:tcPr>
          <w:p>
            <w:pPr>
              <w:spacing w:line="240" w:lineRule="atLeast"/>
              <w:rPr>
                <w:sz w:val="20"/>
                <w:szCs w:val="20"/>
              </w:rPr>
            </w:pPr>
            <w:r>
              <w:rPr>
                <w:rFonts w:hint="eastAsia"/>
                <w:sz w:val="20"/>
                <w:szCs w:val="20"/>
              </w:rPr>
              <w:t>一次性电极片</w:t>
            </w:r>
          </w:p>
        </w:tc>
        <w:tc>
          <w:tcPr>
            <w:tcW w:w="517" w:type="pct"/>
            <w:noWrap w:val="0"/>
            <w:vAlign w:val="center"/>
          </w:tcPr>
          <w:p>
            <w:pPr>
              <w:spacing w:line="240" w:lineRule="atLeast"/>
              <w:jc w:val="center"/>
              <w:rPr>
                <w:rFonts w:hint="eastAsia"/>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rFonts w:hint="eastAsia"/>
                <w:sz w:val="20"/>
                <w:szCs w:val="20"/>
              </w:rPr>
              <w:t>10</w:t>
            </w:r>
          </w:p>
        </w:tc>
        <w:tc>
          <w:tcPr>
            <w:tcW w:w="3149" w:type="pct"/>
            <w:noWrap w:val="0"/>
            <w:vAlign w:val="center"/>
          </w:tcPr>
          <w:p>
            <w:pPr>
              <w:spacing w:line="240" w:lineRule="atLeast"/>
              <w:rPr>
                <w:rFonts w:hint="eastAsia"/>
                <w:sz w:val="20"/>
                <w:szCs w:val="20"/>
              </w:rPr>
            </w:pPr>
            <w:r>
              <w:rPr>
                <w:rFonts w:hint="eastAsia"/>
                <w:sz w:val="20"/>
                <w:szCs w:val="20"/>
              </w:rPr>
              <w:t>电极膏</w:t>
            </w:r>
          </w:p>
        </w:tc>
        <w:tc>
          <w:tcPr>
            <w:tcW w:w="517" w:type="pct"/>
            <w:noWrap w:val="0"/>
            <w:vAlign w:val="center"/>
          </w:tcPr>
          <w:p>
            <w:pPr>
              <w:spacing w:line="240" w:lineRule="atLeast"/>
              <w:jc w:val="center"/>
              <w:rPr>
                <w:sz w:val="20"/>
                <w:szCs w:val="20"/>
              </w:rPr>
            </w:pPr>
            <w:r>
              <w:rPr>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restart"/>
            <w:noWrap w:val="0"/>
            <w:vAlign w:val="center"/>
          </w:tcPr>
          <w:p>
            <w:pPr>
              <w:spacing w:line="240" w:lineRule="atLeast"/>
              <w:jc w:val="center"/>
              <w:rPr>
                <w:sz w:val="20"/>
                <w:szCs w:val="20"/>
              </w:rPr>
            </w:pPr>
            <w:r>
              <w:rPr>
                <w:sz w:val="20"/>
                <w:szCs w:val="20"/>
              </w:rPr>
              <w:t>整机配置</w:t>
            </w:r>
          </w:p>
        </w:tc>
        <w:tc>
          <w:tcPr>
            <w:tcW w:w="389" w:type="pct"/>
            <w:noWrap w:val="0"/>
            <w:vAlign w:val="center"/>
          </w:tcPr>
          <w:p>
            <w:pPr>
              <w:spacing w:line="240" w:lineRule="atLeast"/>
              <w:jc w:val="center"/>
              <w:rPr>
                <w:sz w:val="20"/>
                <w:szCs w:val="20"/>
              </w:rPr>
            </w:pPr>
            <w:r>
              <w:rPr>
                <w:rFonts w:hint="eastAsia"/>
                <w:sz w:val="20"/>
                <w:szCs w:val="20"/>
              </w:rPr>
              <w:t>11</w:t>
            </w:r>
          </w:p>
        </w:tc>
        <w:tc>
          <w:tcPr>
            <w:tcW w:w="3149" w:type="pct"/>
            <w:noWrap w:val="0"/>
            <w:vAlign w:val="center"/>
          </w:tcPr>
          <w:p>
            <w:pPr>
              <w:spacing w:line="240" w:lineRule="atLeast"/>
              <w:rPr>
                <w:sz w:val="20"/>
                <w:szCs w:val="20"/>
              </w:rPr>
            </w:pPr>
            <w:r>
              <w:rPr>
                <w:rFonts w:hint="eastAsia"/>
                <w:sz w:val="20"/>
                <w:szCs w:val="20"/>
              </w:rPr>
              <w:t>服务器</w:t>
            </w:r>
          </w:p>
        </w:tc>
        <w:tc>
          <w:tcPr>
            <w:tcW w:w="517" w:type="pct"/>
            <w:noWrap w:val="0"/>
            <w:vAlign w:val="center"/>
          </w:tcPr>
          <w:p>
            <w:pPr>
              <w:spacing w:line="240" w:lineRule="atLeast"/>
              <w:jc w:val="center"/>
              <w:rPr>
                <w:sz w:val="20"/>
                <w:szCs w:val="20"/>
              </w:rPr>
            </w:pPr>
            <w:r>
              <w:rPr>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rFonts w:hint="eastAsia"/>
                <w:sz w:val="20"/>
                <w:szCs w:val="20"/>
              </w:rPr>
              <w:t>12</w:t>
            </w:r>
          </w:p>
        </w:tc>
        <w:tc>
          <w:tcPr>
            <w:tcW w:w="3149" w:type="pct"/>
            <w:noWrap w:val="0"/>
            <w:vAlign w:val="center"/>
          </w:tcPr>
          <w:p>
            <w:pPr>
              <w:spacing w:line="240" w:lineRule="atLeast"/>
              <w:rPr>
                <w:sz w:val="20"/>
                <w:szCs w:val="20"/>
              </w:rPr>
            </w:pPr>
            <w:r>
              <w:rPr>
                <w:rFonts w:hint="eastAsia"/>
                <w:sz w:val="20"/>
                <w:szCs w:val="20"/>
              </w:rPr>
              <w:t>治疗主机</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rFonts w:hint="eastAsia"/>
                <w:sz w:val="20"/>
                <w:szCs w:val="20"/>
              </w:rPr>
              <w:t>13</w:t>
            </w:r>
          </w:p>
        </w:tc>
        <w:tc>
          <w:tcPr>
            <w:tcW w:w="3149" w:type="pct"/>
            <w:noWrap w:val="0"/>
            <w:vAlign w:val="center"/>
          </w:tcPr>
          <w:p>
            <w:pPr>
              <w:spacing w:line="240" w:lineRule="atLeast"/>
              <w:rPr>
                <w:rFonts w:hint="eastAsia" w:eastAsia="宋体"/>
                <w:sz w:val="20"/>
                <w:szCs w:val="20"/>
                <w:lang w:eastAsia="zh-CN"/>
              </w:rPr>
            </w:pPr>
            <w:r>
              <w:rPr>
                <w:rFonts w:hint="eastAsia"/>
                <w:sz w:val="20"/>
                <w:szCs w:val="20"/>
                <w:lang w:eastAsia="zh-CN"/>
              </w:rPr>
              <w:t>耳机</w:t>
            </w:r>
          </w:p>
        </w:tc>
        <w:tc>
          <w:tcPr>
            <w:tcW w:w="517" w:type="pct"/>
            <w:noWrap w:val="0"/>
            <w:vAlign w:val="center"/>
          </w:tcPr>
          <w:p>
            <w:pPr>
              <w:spacing w:line="240" w:lineRule="atLeast"/>
              <w:jc w:val="center"/>
              <w:rPr>
                <w:sz w:val="20"/>
                <w:szCs w:val="20"/>
              </w:rPr>
            </w:pPr>
            <w:r>
              <w:rPr>
                <w:rFonts w:hint="eastAsia"/>
                <w:sz w:val="20"/>
                <w:szCs w:val="20"/>
                <w:lang w:val="en-US" w:eastAsia="zh-CN"/>
              </w:rPr>
              <w:t>3</w:t>
            </w:r>
            <w:r>
              <w:rPr>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942" w:type="pct"/>
            <w:vMerge w:val="continue"/>
            <w:noWrap w:val="0"/>
            <w:vAlign w:val="center"/>
          </w:tcPr>
          <w:p>
            <w:pPr>
              <w:spacing w:line="240" w:lineRule="atLeast"/>
              <w:jc w:val="center"/>
              <w:rPr>
                <w:sz w:val="20"/>
                <w:szCs w:val="20"/>
              </w:rPr>
            </w:pPr>
          </w:p>
        </w:tc>
        <w:tc>
          <w:tcPr>
            <w:tcW w:w="389" w:type="pct"/>
            <w:noWrap w:val="0"/>
            <w:vAlign w:val="center"/>
          </w:tcPr>
          <w:p>
            <w:pPr>
              <w:spacing w:line="240" w:lineRule="atLeast"/>
              <w:jc w:val="center"/>
              <w:rPr>
                <w:sz w:val="20"/>
                <w:szCs w:val="20"/>
              </w:rPr>
            </w:pPr>
            <w:r>
              <w:rPr>
                <w:rFonts w:hint="eastAsia"/>
                <w:sz w:val="20"/>
                <w:szCs w:val="20"/>
              </w:rPr>
              <w:t>1</w:t>
            </w:r>
            <w:r>
              <w:rPr>
                <w:sz w:val="20"/>
                <w:szCs w:val="20"/>
              </w:rPr>
              <w:t>4</w:t>
            </w:r>
          </w:p>
        </w:tc>
        <w:tc>
          <w:tcPr>
            <w:tcW w:w="3149" w:type="pct"/>
            <w:noWrap w:val="0"/>
            <w:vAlign w:val="center"/>
          </w:tcPr>
          <w:p>
            <w:pPr>
              <w:spacing w:line="240" w:lineRule="atLeast"/>
              <w:rPr>
                <w:rFonts w:hint="eastAsia"/>
                <w:sz w:val="20"/>
                <w:szCs w:val="20"/>
              </w:rPr>
            </w:pPr>
            <w:r>
              <w:rPr>
                <w:rFonts w:hint="eastAsia"/>
                <w:sz w:val="20"/>
                <w:szCs w:val="20"/>
              </w:rPr>
              <w:t>路由器</w:t>
            </w:r>
          </w:p>
        </w:tc>
        <w:tc>
          <w:tcPr>
            <w:tcW w:w="517" w:type="pct"/>
            <w:noWrap w:val="0"/>
            <w:vAlign w:val="center"/>
          </w:tcPr>
          <w:p>
            <w:pPr>
              <w:spacing w:line="240" w:lineRule="atLeast"/>
              <w:jc w:val="center"/>
              <w:rPr>
                <w:sz w:val="20"/>
                <w:szCs w:val="20"/>
              </w:rPr>
            </w:pPr>
            <w:r>
              <w:rPr>
                <w:rFonts w:hint="eastAsia"/>
                <w:sz w:val="20"/>
                <w:szCs w:val="20"/>
              </w:rPr>
              <w:t>1台</w:t>
            </w:r>
          </w:p>
        </w:tc>
      </w:tr>
    </w:tbl>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多参数生物反馈仪   </w:t>
      </w:r>
      <w:r>
        <w:rPr>
          <w:rFonts w:hint="eastAsia" w:ascii="宋体" w:hAnsi="宋体"/>
          <w:b/>
          <w:color w:val="FF0000"/>
          <w:szCs w:val="21"/>
        </w:rPr>
        <w:t>。</w:t>
      </w:r>
    </w:p>
    <w:bookmarkEnd w:id="37"/>
    <w:p>
      <w:pPr>
        <w:rPr>
          <w:rFonts w:ascii="宋体" w:hAnsi="宋体"/>
          <w:b/>
          <w:color w:val="FF0000"/>
          <w:szCs w:val="21"/>
        </w:rPr>
      </w:pPr>
    </w:p>
    <w:p>
      <w:pPr>
        <w:pStyle w:val="8"/>
      </w:pPr>
    </w:p>
    <w:p>
      <w:pPr>
        <w:pStyle w:val="5"/>
        <w:spacing w:before="120" w:beforeLines="50" w:after="120" w:afterLines="50"/>
        <w:rPr>
          <w:sz w:val="28"/>
          <w:szCs w:val="28"/>
        </w:rPr>
      </w:pPr>
      <w:bookmarkStart w:id="39" w:name="_Toc128884461"/>
      <w:r>
        <w:rPr>
          <w:rFonts w:hint="eastAsia"/>
          <w:sz w:val="28"/>
          <w:szCs w:val="28"/>
        </w:rPr>
        <w:t>三、实质性条款</w:t>
      </w:r>
    </w:p>
    <w:tbl>
      <w:tblPr>
        <w:tblStyle w:val="44"/>
        <w:tblW w:w="840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1</w:t>
            </w:r>
          </w:p>
        </w:tc>
        <w:tc>
          <w:tcPr>
            <w:tcW w:w="7404" w:type="dxa"/>
            <w:vAlign w:val="center"/>
          </w:tcPr>
          <w:p>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r>
              <w:rPr>
                <w:rFonts w:hint="eastAsia" w:ascii="宋体" w:hAnsi="宋体" w:cs="宋体"/>
                <w:kern w:val="0"/>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2</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9"/>
                <w:kern w:val="0"/>
                <w:sz w:val="21"/>
                <w:szCs w:val="21"/>
                <w:lang w:val="en-US" w:eastAsia="zh-CN"/>
              </w:rPr>
              <w:t>★</w:t>
            </w:r>
            <w:r>
              <w:rPr>
                <w:rFonts w:hint="eastAsia" w:ascii="宋体" w:hAnsi="宋体" w:eastAsia="宋体" w:cs="宋体"/>
                <w:b w:val="0"/>
                <w:bCs w:val="0"/>
                <w:color w:val="auto"/>
                <w:spacing w:val="9"/>
                <w:kern w:val="0"/>
                <w:sz w:val="21"/>
                <w:szCs w:val="21"/>
              </w:rPr>
              <w:t>1.5</w:t>
            </w:r>
            <w:r>
              <w:rPr>
                <w:rFonts w:hint="eastAsia" w:ascii="宋体" w:hAnsi="宋体" w:eastAsia="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kern w:val="0"/>
                <w:szCs w:val="21"/>
                <w:lang w:eastAsia="zh-CN"/>
              </w:rPr>
            </w:pPr>
            <w:r>
              <w:rPr>
                <w:rFonts w:hint="eastAsia" w:ascii="宋体" w:hAnsi="宋体"/>
                <w:kern w:val="0"/>
                <w:szCs w:val="21"/>
                <w:lang w:val="en-US" w:eastAsia="zh-CN"/>
              </w:rPr>
              <w:t>3</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color w:val="auto"/>
                <w:kern w:val="0"/>
                <w:sz w:val="21"/>
                <w:szCs w:val="21"/>
              </w:rPr>
              <w:t>★1.1投标人在签订合同之日起30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39"/>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0" w:name="_Hlk72585069"/>
      <w:r>
        <w:rPr>
          <w:rFonts w:hint="eastAsia" w:ascii="Times New Roman" w:hAnsi="Times New Roman" w:eastAsia="宋体" w:cs="Times New Roman"/>
          <w:b/>
          <w:szCs w:val="21"/>
        </w:rPr>
        <w:t>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0"/>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0"/>
        <w:gridCol w:w="1315"/>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510" w:type="pc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771" w:type="pc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货物名称</w:t>
            </w:r>
          </w:p>
        </w:tc>
        <w:tc>
          <w:tcPr>
            <w:tcW w:w="3718" w:type="pc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7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多参数生物反馈仪</w:t>
            </w: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1.1符合国家食品药品监督管理总局发布的YY/T 0903-2013《脑电生物反馈仪》标准。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restar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信号采集器参数：</w:t>
            </w:r>
          </w:p>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脑电（EEG）、肌电（EMG）两个参数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continue"/>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restart"/>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1.2脑电(EEG):</w:t>
            </w:r>
          </w:p>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1.2.1、电压测量：电压测量误差应≤±10%范围。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continue"/>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1.2.2、共模抑制比：各通道≥100dB。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1.2.3、噪声电平应≤3μVp-v。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1.2.4、耐极化电压：以峰谷值100µV、周期1s标准方波的幅值为基准，加±300mV直流耐极化电压后，幅值偏差不超过标准方波的±5％范围。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1.2.5、时间间隔：误差≤±5％范围。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Style w:val="484"/>
                <w:rFonts w:hint="eastAsia" w:ascii="宋体" w:hAnsi="宋体" w:eastAsia="宋体" w:cs="宋体"/>
                <w:b w:val="0"/>
                <w:bCs w:val="0"/>
                <w:color w:val="auto"/>
                <w:lang w:val="en-US" w:eastAsia="zh-CN" w:bidi="ar"/>
              </w:rPr>
              <w:t>1.2.6</w:t>
            </w:r>
            <w:r>
              <w:rPr>
                <w:rFonts w:hint="eastAsia" w:ascii="宋体" w:hAnsi="宋体" w:eastAsia="宋体" w:cs="宋体"/>
                <w:b w:val="0"/>
                <w:bCs w:val="0"/>
                <w:i w:val="0"/>
                <w:iCs w:val="0"/>
                <w:color w:val="auto"/>
                <w:kern w:val="0"/>
                <w:sz w:val="21"/>
                <w:szCs w:val="21"/>
                <w:u w:val="none"/>
                <w:lang w:val="en-US" w:eastAsia="zh-CN" w:bidi="ar"/>
              </w:rPr>
              <w:t>、脑电电极的生物相容性：与患者接触的材料应无细胞毒性、迟发型超敏反应和皮内反应。该材料必须进行生物相容性的试验或评价。细胞毒性</w:t>
            </w:r>
            <w:r>
              <w:rPr>
                <w:rStyle w:val="484"/>
                <w:rFonts w:hint="eastAsia" w:ascii="宋体" w:hAnsi="宋体" w:eastAsia="宋体" w:cs="宋体"/>
                <w:b w:val="0"/>
                <w:bCs w:val="0"/>
                <w:color w:val="auto"/>
                <w:lang w:val="en-US" w:eastAsia="zh-CN" w:bidi="ar"/>
              </w:rPr>
              <w:t>:≤1</w:t>
            </w:r>
            <w:r>
              <w:rPr>
                <w:rFonts w:hint="eastAsia" w:ascii="宋体" w:hAnsi="宋体" w:eastAsia="宋体" w:cs="宋体"/>
                <w:b w:val="0"/>
                <w:bCs w:val="0"/>
                <w:i w:val="0"/>
                <w:iCs w:val="0"/>
                <w:color w:val="auto"/>
                <w:kern w:val="0"/>
                <w:sz w:val="21"/>
                <w:szCs w:val="21"/>
                <w:u w:val="none"/>
                <w:lang w:val="en-US" w:eastAsia="zh-CN" w:bidi="ar"/>
              </w:rPr>
              <w:t>级。迟发型超敏反应：无迟发型超敏反应。皮内反应</w:t>
            </w:r>
            <w:r>
              <w:rPr>
                <w:rStyle w:val="484"/>
                <w:rFonts w:hint="eastAsia" w:ascii="宋体" w:hAnsi="宋体" w:eastAsia="宋体" w:cs="宋体"/>
                <w:b w:val="0"/>
                <w:bCs w:val="0"/>
                <w:color w:val="auto"/>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t>试验样品和溶剂对照平均积分之差≤</w:t>
            </w:r>
            <w:r>
              <w:rPr>
                <w:rStyle w:val="484"/>
                <w:rFonts w:hint="eastAsia" w:ascii="宋体" w:hAnsi="宋体" w:eastAsia="宋体" w:cs="宋体"/>
                <w:b w:val="0"/>
                <w:bCs w:val="0"/>
                <w:color w:val="auto"/>
                <w:lang w:val="en-US" w:eastAsia="zh-CN" w:bidi="ar"/>
              </w:rPr>
              <w:t>1.0</w:t>
            </w:r>
            <w:r>
              <w:rPr>
                <w:rFonts w:hint="eastAsia" w:ascii="宋体" w:hAnsi="宋体" w:eastAsia="宋体" w:cs="宋体"/>
                <w:b w:val="0"/>
                <w:bCs w:val="0"/>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both"/>
              <w:textAlignment w:val="top"/>
              <w:rPr>
                <w:rFonts w:hint="eastAsia" w:ascii="宋体" w:hAnsi="宋体" w:eastAsia="宋体" w:cs="宋体"/>
                <w:b w:val="0"/>
                <w:bCs w:val="0"/>
                <w:i w:val="0"/>
                <w:iCs w:val="0"/>
                <w:color w:val="auto"/>
                <w:sz w:val="21"/>
                <w:szCs w:val="21"/>
                <w:u w:val="none"/>
              </w:rPr>
            </w:pPr>
            <w:r>
              <w:rPr>
                <w:rStyle w:val="484"/>
                <w:rFonts w:hint="eastAsia" w:ascii="宋体" w:hAnsi="宋体" w:eastAsia="宋体" w:cs="宋体"/>
                <w:b w:val="0"/>
                <w:bCs w:val="0"/>
                <w:color w:val="auto"/>
                <w:lang w:val="en-US" w:eastAsia="zh-CN" w:bidi="ar"/>
              </w:rPr>
              <w:t>1.2.7</w:t>
            </w:r>
            <w:r>
              <w:rPr>
                <w:rFonts w:hint="eastAsia" w:ascii="宋体" w:hAnsi="宋体" w:eastAsia="宋体" w:cs="宋体"/>
                <w:b w:val="0"/>
                <w:bCs w:val="0"/>
                <w:i w:val="0"/>
                <w:iCs w:val="0"/>
                <w:color w:val="auto"/>
                <w:kern w:val="0"/>
                <w:sz w:val="21"/>
                <w:szCs w:val="21"/>
                <w:u w:val="none"/>
                <w:lang w:val="en-US" w:eastAsia="zh-CN" w:bidi="ar"/>
              </w:rPr>
              <w:t xml:space="preserve">、脑电传感器可实时传输各治疗终端的脑电信号，可实时监测各终端的治疗情况。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restart"/>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1.3肌电(EMG):</w:t>
            </w:r>
          </w:p>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1.3.1、测量范围：为1μV～5000μV。误差≤±10%范围。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13</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continue"/>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14</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1.3.2、输入噪声：≤1μV。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1.3.3、共模抑制比：＞80dB。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1.3.4、最高分辨率：&lt;0.2μV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17</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restar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二、软件功能：</w:t>
            </w:r>
          </w:p>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2.1.具有视频连续播放反馈功能和图片抓取播放反馈功能。（通过参数的变化视频可进行暂停或继续播放的模式）。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18</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vMerge w:val="continue"/>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19</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2.2.脑电、肌电等多参数均可进行单独反馈，可提供≥3种治疗几训练方案（提供软件截图或彩页说明书关键页扫描件加盖制造商公章作为证明材料）。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2.3.一台服务器至少可以集中控制3台终端，操作人员可通过服务器实时调控和观测各个治疗终端脑电图功能（包括动画选择、难易程度、数据分析等）设置及脑电图的变化。（提供软件截图或彩页说明书关键页扫描件加盖制造商公章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21</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可调节脑电反馈的频段，针对某一频段或某几段的脑电波进行增加或减弱训练，α、β、θ、SMR四个波段的分别训练及五个波段的组合训练。（提供软件截图或彩页说明书关键页扫描件加盖制造商公章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22</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2.5操作人员可以通过服务器统一或自由设定终端训练方式，可预设保持治疗方案。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23</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2.6.治疗终端均可分离当作独立单机使用，可分配到其他分院或科室使用。具备在线伪差鉴别功能。（提供软件截图或彩页说明书关键页扫描件加盖制造商公章作为证明材料）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2.7.具备心理量表，可针对不同病症患者提供测评诊断病症的轻，中，重从而给与不同的诊治波型（α、β、θ、δ、SMR五个波段）及个性化的立体动画模式进行治疗，可实时反馈治疗数据，可脱网独立使用。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2.8.具备数据分析平台，对患者的病情进行跟踪性记录和分析。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26</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2.9.可输出疗效报告、原始波形、波形分离、小波分析、快速傅里叶变化（FFT）、时频分析、趋势分析，肌电图报告等。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0"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27</w:t>
            </w:r>
          </w:p>
        </w:tc>
        <w:tc>
          <w:tcPr>
            <w:tcW w:w="771" w:type="pct"/>
            <w:vMerge w:val="continue"/>
            <w:shd w:val="clear" w:color="auto" w:fill="auto"/>
            <w:vAlign w:val="center"/>
          </w:tcPr>
          <w:p>
            <w:pPr>
              <w:jc w:val="center"/>
              <w:rPr>
                <w:rFonts w:hint="eastAsia" w:ascii="宋体" w:hAnsi="宋体" w:eastAsia="宋体" w:cs="宋体"/>
                <w:b w:val="0"/>
                <w:bCs w:val="0"/>
                <w:i w:val="0"/>
                <w:iCs w:val="0"/>
                <w:color w:val="auto"/>
                <w:sz w:val="21"/>
                <w:szCs w:val="21"/>
                <w:u w:val="none"/>
              </w:rPr>
            </w:pPr>
          </w:p>
        </w:tc>
        <w:tc>
          <w:tcPr>
            <w:tcW w:w="3718"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2.10.肌电可根据临床需求随意调整电极位置，训练不同位置肌肉。肌电波形信号实时采集，肌电信号可实时显示。</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3"/>
        <w:gridCol w:w="87"/>
        <w:gridCol w:w="1406"/>
        <w:gridCol w:w="195"/>
        <w:gridCol w:w="5838"/>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 w:type="pct"/>
          <w:trHeight w:val="576" w:hRule="atLeast"/>
          <w:jc w:val="center"/>
        </w:trPr>
        <w:tc>
          <w:tcPr>
            <w:tcW w:w="533"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4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612"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1"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lang w:val="en-US" w:eastAsia="zh-CN"/>
              </w:rPr>
              <w:t>★</w:t>
            </w:r>
            <w:r>
              <w:rPr>
                <w:rFonts w:hint="eastAsia" w:ascii="宋体" w:hAnsi="宋体" w:eastAsia="宋体" w:cs="宋体"/>
                <w:spacing w:val="9"/>
                <w:kern w:val="0"/>
                <w:sz w:val="21"/>
                <w:szCs w:val="21"/>
              </w:rPr>
              <w:t>1.5</w:t>
            </w:r>
            <w:r>
              <w:rPr>
                <w:rFonts w:hint="eastAsia" w:ascii="宋体" w:hAnsi="宋体" w:cs="宋体"/>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1"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  4 小时内响应，  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1"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1"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2.6由投标人代表、厂家代表和采购人组成验收小组对产品进行验收。验收标准按照产品技术参数要求和合同约定执行。经检验设备正常运作后签署性能验收报告，产品保修期自性能验收合格之日起算。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11"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11"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11"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07"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1"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7"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1"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07"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spacing w:val="8"/>
                <w:kern w:val="0"/>
                <w:sz w:val="21"/>
                <w:szCs w:val="21"/>
                <w:lang w:val="en-US"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1"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1" w:name="_Hlk72257253"/>
      <w:r>
        <w:rPr>
          <w:rFonts w:hint="eastAsia"/>
        </w:rPr>
        <w:t>主要包括以下内容：</w:t>
      </w:r>
    </w:p>
    <w:p>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pPr>
        <w:ind w:left="718" w:leftChars="342" w:firstLine="1417" w:firstLineChars="675"/>
        <w:rPr>
          <w:szCs w:val="21"/>
        </w:rPr>
      </w:pPr>
      <w:r>
        <w:rPr>
          <w:rFonts w:hint="eastAsia"/>
          <w:szCs w:val="21"/>
        </w:rPr>
        <w:t>（2）</w:t>
      </w:r>
      <w:bookmarkStart w:id="43" w:name="_Hlk72062521"/>
      <w:r>
        <w:rPr>
          <w:rFonts w:hint="eastAsia"/>
          <w:szCs w:val="21"/>
        </w:rPr>
        <w:t>采购投标及履约承诺函</w:t>
      </w:r>
      <w:bookmarkEnd w:id="43"/>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4" w:name="_Hlk72257201"/>
      <w:r>
        <w:rPr>
          <w:rFonts w:hint="eastAsia"/>
          <w:szCs w:val="21"/>
        </w:rPr>
        <w:t>（</w:t>
      </w:r>
      <w:r>
        <w:rPr>
          <w:szCs w:val="21"/>
        </w:rPr>
        <w:t>4</w:t>
      </w:r>
      <w:r>
        <w:rPr>
          <w:rFonts w:hint="eastAsia"/>
          <w:szCs w:val="21"/>
        </w:rPr>
        <w:t>）</w:t>
      </w:r>
      <w:bookmarkStart w:id="45" w:name="OLE_LINK2"/>
      <w:r>
        <w:rPr>
          <w:rFonts w:hint="eastAsia"/>
          <w:szCs w:val="21"/>
        </w:rPr>
        <w:t>项目详细报价</w:t>
      </w:r>
      <w:bookmarkEnd w:id="45"/>
    </w:p>
    <w:bookmarkEnd w:id="44"/>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6" w:name="OLE_LINK3"/>
      <w:r>
        <w:rPr>
          <w:rFonts w:hint="eastAsia"/>
          <w:szCs w:val="21"/>
        </w:rPr>
        <w:t>项目实施方案</w:t>
      </w:r>
      <w:bookmarkEnd w:id="46"/>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）免费保修期时长</w:t>
      </w:r>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47" w:name="OLE_LINK4"/>
      <w:r>
        <w:rPr>
          <w:rFonts w:hint="eastAsia"/>
          <w:szCs w:val="21"/>
        </w:rPr>
        <w:t>投标人认为需要加以说明的其他内容</w:t>
      </w:r>
      <w:bookmarkEnd w:id="47"/>
    </w:p>
    <w:p>
      <w:pPr>
        <w:pStyle w:val="8"/>
      </w:pPr>
    </w:p>
    <w:bookmarkEnd w:id="41"/>
    <w:p>
      <w:pPr>
        <w:ind w:left="718" w:leftChars="342" w:firstLine="1417" w:firstLineChars="675"/>
        <w:rPr>
          <w:szCs w:val="21"/>
        </w:rPr>
      </w:pPr>
    </w:p>
    <w:p>
      <w:pPr>
        <w:ind w:firstLine="426" w:firstLineChars="202"/>
        <w:rPr>
          <w:rFonts w:ascii="宋体" w:hAnsi="宋体"/>
          <w:b/>
          <w:szCs w:val="21"/>
        </w:rPr>
      </w:pPr>
      <w:bookmarkStart w:id="48"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9" w:name="_Hlk72263559"/>
      <w:r>
        <w:rPr>
          <w:rFonts w:hint="eastAsia" w:ascii="宋体" w:hAnsi="宋体"/>
          <w:b/>
          <w:szCs w:val="21"/>
        </w:rPr>
        <w:t>2.关于填写“开标一览表”的说明：“开标一览表”中除“投标总价”外，其他信息不作评审依据。</w:t>
      </w:r>
      <w:bookmarkEnd w:id="48"/>
      <w:bookmarkEnd w:id="49"/>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1"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2" w:name="_Hlk72263588"/>
      <w:r>
        <w:rPr>
          <w:rFonts w:hint="eastAsia"/>
          <w:szCs w:val="21"/>
        </w:rPr>
        <w:t>愿意按照招标文件要求承包上述项目并修补其任何缺陷。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3"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3"/>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1"/>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0"/>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5" w:name="_Hlk72587269"/>
      <w:bookmarkStart w:id="56"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hint="eastAsia" w:ascii="宋体" w:hAnsi="宋体"/>
          <w:szCs w:val="21"/>
        </w:rPr>
        <w:t>。</w:t>
      </w:r>
    </w:p>
    <w:bookmarkEnd w:id="56"/>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4"/>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7"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8" w:name="_Hlk72257908"/>
      <w:r>
        <w:rPr>
          <w:rFonts w:hint="eastAsia" w:ascii="黑体" w:hAnsi="宋体" w:eastAsia="黑体"/>
          <w:bCs/>
          <w:kern w:val="0"/>
          <w:sz w:val="24"/>
          <w:szCs w:val="32"/>
        </w:rPr>
        <w:t>（二）中小企业声明函、残疾人福利性单位声明函及监狱企业声明函</w:t>
      </w:r>
    </w:p>
    <w:bookmarkEnd w:id="57"/>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9"/>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9"/>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0" w:name="_Hlk73562331"/>
      <w:bookmarkStart w:id="61"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8"/>
    </w:p>
    <w:p>
      <w:pPr>
        <w:pStyle w:val="3"/>
        <w:jc w:val="center"/>
        <w:rPr>
          <w:rFonts w:ascii="黑体" w:eastAsia="黑体"/>
          <w:b w:val="0"/>
          <w:sz w:val="24"/>
          <w:szCs w:val="24"/>
        </w:rPr>
      </w:pPr>
      <w:bookmarkStart w:id="62"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多参数生物反馈仪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3"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3"/>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4" w:name="_Hlk72073235"/>
      <w:r>
        <w:rPr>
          <w:rFonts w:hint="eastAsia"/>
          <w:b/>
          <w:sz w:val="24"/>
        </w:rPr>
        <w:t>投标人认为需要涉及的其他内容报价清单</w:t>
      </w:r>
      <w:bookmarkEnd w:id="64"/>
    </w:p>
    <w:p>
      <w:pPr>
        <w:rPr>
          <w:b/>
          <w:bCs/>
        </w:rPr>
      </w:pPr>
    </w:p>
    <w:bookmarkEnd w:id="62"/>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5"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6" w:name="_Hlk72092499"/>
      <w:r>
        <w:rPr>
          <w:rFonts w:hint="eastAsia" w:ascii="黑体" w:eastAsia="黑体"/>
          <w:b w:val="0"/>
          <w:sz w:val="24"/>
        </w:rPr>
        <w:t>法定代表人（负责人）证明书</w:t>
      </w:r>
      <w:bookmarkEnd w:id="66"/>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0"/>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0"/>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7" w:name="_Hlk72092634"/>
      <w:r>
        <w:rPr>
          <w:rFonts w:hint="eastAsia" w:ascii="黑体" w:eastAsia="黑体"/>
          <w:b w:val="0"/>
          <w:kern w:val="0"/>
          <w:sz w:val="24"/>
          <w:szCs w:val="24"/>
        </w:rPr>
        <w:t>实质性条款响应情况表</w:t>
      </w:r>
      <w:bookmarkEnd w:id="67"/>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100"/>
        <w:gridCol w:w="1817"/>
        <w:gridCol w:w="117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68" w:name="_Hlk72092651"/>
            <w:r>
              <w:rPr>
                <w:rFonts w:hint="eastAsia" w:ascii="宋体" w:hAnsi="宋体"/>
                <w:b w:val="0"/>
                <w:bCs w:val="0"/>
                <w:color w:val="auto"/>
                <w:kern w:val="0"/>
                <w:szCs w:val="21"/>
              </w:rPr>
              <w:t>序号</w:t>
            </w:r>
          </w:p>
        </w:tc>
        <w:tc>
          <w:tcPr>
            <w:tcW w:w="3100"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817"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投标响应</w:t>
            </w:r>
          </w:p>
        </w:tc>
        <w:tc>
          <w:tcPr>
            <w:tcW w:w="1177"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说明</w:t>
            </w:r>
          </w:p>
        </w:tc>
      </w:tr>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310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Cs w:val="21"/>
              </w:rPr>
              <w:t>★</w:t>
            </w:r>
            <w:r>
              <w:rPr>
                <w:rFonts w:hint="eastAsia" w:ascii="宋体" w:hAnsi="宋体" w:cs="宋体"/>
                <w:b w:val="0"/>
                <w:bCs w:val="0"/>
                <w:color w:val="auto"/>
                <w:kern w:val="0"/>
                <w:szCs w:val="21"/>
                <w:lang w:eastAsia="zh-CN"/>
              </w:rPr>
              <w:t>1.1提供主机及配件免费保修期5年，保修期以验收合格，双方代表签署“验收报告”之日起计算。</w:t>
            </w:r>
          </w:p>
        </w:tc>
        <w:tc>
          <w:tcPr>
            <w:tcW w:w="1817" w:type="dxa"/>
          </w:tcPr>
          <w:p>
            <w:pPr>
              <w:adjustRightInd w:val="0"/>
              <w:snapToGrid w:val="0"/>
              <w:spacing w:line="240" w:lineRule="auto"/>
              <w:rPr>
                <w:rFonts w:ascii="宋体" w:hAnsi="宋体"/>
                <w:b w:val="0"/>
                <w:bCs w:val="0"/>
                <w:color w:val="auto"/>
                <w:kern w:val="0"/>
                <w:szCs w:val="21"/>
              </w:rPr>
            </w:pPr>
          </w:p>
        </w:tc>
        <w:tc>
          <w:tcPr>
            <w:tcW w:w="1177"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310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lang w:val="en-US" w:eastAsia="zh-CN"/>
              </w:rPr>
              <w:t>★</w:t>
            </w:r>
            <w:r>
              <w:rPr>
                <w:rFonts w:hint="eastAsia" w:ascii="宋体" w:hAnsi="宋体" w:eastAsia="宋体" w:cs="宋体"/>
                <w:b w:val="0"/>
                <w:bCs w:val="0"/>
                <w:color w:val="auto"/>
                <w:spacing w:val="9"/>
                <w:kern w:val="0"/>
                <w:sz w:val="21"/>
                <w:szCs w:val="21"/>
              </w:rPr>
              <w:t>1.5</w:t>
            </w:r>
            <w:r>
              <w:rPr>
                <w:rFonts w:hint="eastAsia" w:ascii="宋体" w:hAnsi="宋体" w:eastAsia="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817" w:type="dxa"/>
          </w:tcPr>
          <w:p>
            <w:pPr>
              <w:adjustRightInd w:val="0"/>
              <w:snapToGrid w:val="0"/>
              <w:spacing w:line="240" w:lineRule="auto"/>
              <w:rPr>
                <w:rFonts w:ascii="宋体" w:hAnsi="宋体"/>
                <w:b w:val="0"/>
                <w:bCs w:val="0"/>
                <w:color w:val="auto"/>
                <w:kern w:val="0"/>
                <w:szCs w:val="21"/>
              </w:rPr>
            </w:pPr>
          </w:p>
        </w:tc>
        <w:tc>
          <w:tcPr>
            <w:tcW w:w="1177"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310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color w:val="auto"/>
                <w:kern w:val="0"/>
                <w:sz w:val="21"/>
                <w:szCs w:val="21"/>
              </w:rPr>
              <w:t>★1.1投标人在签订合同之日起30 天（日历日）内交货。</w:t>
            </w:r>
          </w:p>
        </w:tc>
        <w:tc>
          <w:tcPr>
            <w:tcW w:w="1817" w:type="dxa"/>
          </w:tcPr>
          <w:p>
            <w:pPr>
              <w:adjustRightInd w:val="0"/>
              <w:snapToGrid w:val="0"/>
              <w:spacing w:line="240" w:lineRule="auto"/>
              <w:rPr>
                <w:rFonts w:ascii="宋体" w:hAnsi="宋体"/>
                <w:b w:val="0"/>
                <w:bCs w:val="0"/>
                <w:color w:val="auto"/>
                <w:kern w:val="0"/>
                <w:szCs w:val="21"/>
              </w:rPr>
            </w:pPr>
          </w:p>
        </w:tc>
        <w:tc>
          <w:tcPr>
            <w:tcW w:w="1177"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3100"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817" w:type="dxa"/>
          </w:tcPr>
          <w:p>
            <w:pPr>
              <w:adjustRightInd w:val="0"/>
              <w:snapToGrid w:val="0"/>
              <w:spacing w:line="240" w:lineRule="auto"/>
              <w:rPr>
                <w:rFonts w:ascii="宋体" w:hAnsi="宋体"/>
                <w:b w:val="0"/>
                <w:bCs w:val="0"/>
                <w:color w:val="auto"/>
                <w:kern w:val="0"/>
                <w:szCs w:val="21"/>
              </w:rPr>
            </w:pPr>
          </w:p>
        </w:tc>
        <w:tc>
          <w:tcPr>
            <w:tcW w:w="1177"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3100"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817" w:type="dxa"/>
          </w:tcPr>
          <w:p>
            <w:pPr>
              <w:adjustRightInd w:val="0"/>
              <w:snapToGrid w:val="0"/>
              <w:spacing w:line="240" w:lineRule="auto"/>
              <w:rPr>
                <w:rFonts w:ascii="宋体" w:hAnsi="宋体"/>
                <w:b w:val="0"/>
                <w:bCs w:val="0"/>
                <w:color w:val="auto"/>
                <w:kern w:val="0"/>
                <w:szCs w:val="21"/>
              </w:rPr>
            </w:pPr>
          </w:p>
        </w:tc>
        <w:tc>
          <w:tcPr>
            <w:tcW w:w="1177"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3100"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817" w:type="dxa"/>
          </w:tcPr>
          <w:p>
            <w:pPr>
              <w:adjustRightInd w:val="0"/>
              <w:snapToGrid w:val="0"/>
              <w:spacing w:line="240" w:lineRule="auto"/>
              <w:rPr>
                <w:rFonts w:ascii="宋体" w:hAnsi="宋体"/>
                <w:b w:val="0"/>
                <w:bCs w:val="0"/>
                <w:color w:val="auto"/>
                <w:kern w:val="0"/>
                <w:szCs w:val="21"/>
              </w:rPr>
            </w:pPr>
          </w:p>
        </w:tc>
        <w:tc>
          <w:tcPr>
            <w:tcW w:w="1177"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5"/>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2"/>
        <w:gridCol w:w="1032"/>
        <w:gridCol w:w="1801"/>
        <w:gridCol w:w="1734"/>
        <w:gridCol w:w="191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605" w:type="pc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货物名称</w:t>
            </w:r>
          </w:p>
        </w:tc>
        <w:tc>
          <w:tcPr>
            <w:tcW w:w="1056" w:type="pc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招标技术要求</w:t>
            </w:r>
          </w:p>
        </w:tc>
        <w:tc>
          <w:tcPr>
            <w:tcW w:w="1016" w:type="pct"/>
            <w:shd w:val="clear" w:color="auto" w:fill="auto"/>
            <w:vAlign w:val="center"/>
          </w:tcPr>
          <w:p>
            <w:pPr>
              <w:adjustRightInd w:val="0"/>
              <w:snapToGrid w:val="0"/>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Cs w:val="21"/>
              </w:rPr>
              <w:t>投标响应</w:t>
            </w:r>
          </w:p>
        </w:tc>
        <w:tc>
          <w:tcPr>
            <w:tcW w:w="1123" w:type="pct"/>
            <w:shd w:val="clear" w:color="auto" w:fill="auto"/>
            <w:vAlign w:val="center"/>
          </w:tcPr>
          <w:p>
            <w:pPr>
              <w:adjustRightInd w:val="0"/>
              <w:snapToGrid w:val="0"/>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Cs w:val="21"/>
              </w:rPr>
              <w:t>偏离情况</w:t>
            </w:r>
          </w:p>
        </w:tc>
        <w:tc>
          <w:tcPr>
            <w:tcW w:w="804" w:type="pct"/>
            <w:shd w:val="clear" w:color="auto" w:fill="auto"/>
            <w:vAlign w:val="center"/>
          </w:tcPr>
          <w:p>
            <w:pPr>
              <w:adjustRightInd w:val="0"/>
              <w:snapToGrid w:val="0"/>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5"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多参数生物反馈仪</w:t>
            </w: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1.1符合国家食品药品监督管理总局发布的YY/T 0903-2013《脑电生物反馈仪》标准。</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vMerge w:val="restar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信号采集器参数：</w:t>
            </w:r>
          </w:p>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脑电（EEG）、肌电（EMG）两个参数</w:t>
            </w:r>
          </w:p>
        </w:tc>
        <w:tc>
          <w:tcPr>
            <w:tcW w:w="1016" w:type="pct"/>
            <w:vMerge w:val="restar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vMerge w:val="restar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vMerge w:val="restar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vMerge w:val="continue"/>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p>
        </w:tc>
        <w:tc>
          <w:tcPr>
            <w:tcW w:w="1016" w:type="pct"/>
            <w:vMerge w:val="continue"/>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p>
        </w:tc>
        <w:tc>
          <w:tcPr>
            <w:tcW w:w="1123" w:type="pct"/>
            <w:vMerge w:val="continue"/>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p>
        </w:tc>
        <w:tc>
          <w:tcPr>
            <w:tcW w:w="804" w:type="pct"/>
            <w:vMerge w:val="continue"/>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4000" w:type="pct"/>
            <w:gridSpan w:val="4"/>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1.2脑电(EEG):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1.2.1、电压测量：电压测量误差应≤±10%范围。</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1.2.2、共模抑制比：各通道≥100dB。</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1.2.3、噪声电平应≤3μVp-v。</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1.2.4、耐极化电压：以峰谷值100µV、周期1s标准方波的幅值为基准，加±300mV直流耐极化电压后，幅值偏差不超过标准方波的±5％范围。</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1.2.5、时间间隔：误差≤±5％范围。</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Style w:val="484"/>
                <w:rFonts w:hint="eastAsia" w:ascii="宋体" w:hAnsi="宋体" w:eastAsia="宋体" w:cs="宋体"/>
                <w:b w:val="0"/>
                <w:bCs w:val="0"/>
                <w:lang w:val="en-US" w:eastAsia="zh-CN" w:bidi="ar"/>
              </w:rPr>
              <w:t>1.2.6</w:t>
            </w:r>
            <w:r>
              <w:rPr>
                <w:rFonts w:hint="eastAsia" w:ascii="宋体" w:hAnsi="宋体" w:eastAsia="宋体" w:cs="宋体"/>
                <w:b w:val="0"/>
                <w:bCs w:val="0"/>
                <w:i w:val="0"/>
                <w:iCs w:val="0"/>
                <w:color w:val="000000"/>
                <w:kern w:val="0"/>
                <w:sz w:val="21"/>
                <w:szCs w:val="21"/>
                <w:u w:val="none"/>
                <w:lang w:val="en-US" w:eastAsia="zh-CN" w:bidi="ar"/>
              </w:rPr>
              <w:t>、脑电电极的生物相容性：与患者接触的材料应无细胞毒性、迟发型超敏反应和皮内反应。该材料必须进行生物相容性的试验或评价。细胞毒性</w:t>
            </w:r>
            <w:r>
              <w:rPr>
                <w:rStyle w:val="484"/>
                <w:rFonts w:hint="eastAsia" w:ascii="宋体" w:hAnsi="宋体" w:eastAsia="宋体" w:cs="宋体"/>
                <w:b w:val="0"/>
                <w:bCs w:val="0"/>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级。迟发型超敏反应：无迟发型超敏反应。皮内反应</w:t>
            </w:r>
            <w:r>
              <w:rPr>
                <w:rStyle w:val="484"/>
                <w:rFonts w:hint="eastAsia" w:ascii="宋体" w:hAnsi="宋体" w:eastAsia="宋体" w:cs="宋体"/>
                <w:b w:val="0"/>
                <w:bCs w:val="0"/>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试验样品和溶剂对照平均积分之差≤</w:t>
            </w:r>
            <w:r>
              <w:rPr>
                <w:rStyle w:val="484"/>
                <w:rFonts w:hint="eastAsia" w:ascii="宋体" w:hAnsi="宋体" w:eastAsia="宋体" w:cs="宋体"/>
                <w:b w:val="0"/>
                <w:bCs w:val="0"/>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w:t>
            </w:r>
          </w:p>
        </w:tc>
        <w:tc>
          <w:tcPr>
            <w:tcW w:w="1016" w:type="pct"/>
            <w:shd w:val="clear" w:color="auto" w:fill="auto"/>
            <w:vAlign w:val="top"/>
          </w:tcPr>
          <w:p>
            <w:pPr>
              <w:keepNext w:val="0"/>
              <w:keepLines w:val="0"/>
              <w:widowControl/>
              <w:suppressLineNumbers w:val="0"/>
              <w:ind w:firstLineChars="200"/>
              <w:jc w:val="left"/>
              <w:textAlignment w:val="top"/>
              <w:rPr>
                <w:rStyle w:val="484"/>
                <w:rFonts w:hint="eastAsia" w:ascii="宋体" w:hAnsi="宋体" w:eastAsia="宋体" w:cs="宋体"/>
                <w:b w:val="0"/>
                <w:bCs w:val="0"/>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Style w:val="484"/>
                <w:rFonts w:hint="eastAsia" w:ascii="宋体" w:hAnsi="宋体" w:eastAsia="宋体" w:cs="宋体"/>
                <w:b w:val="0"/>
                <w:bCs w:val="0"/>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Style w:val="484"/>
                <w:rFonts w:hint="eastAsia" w:ascii="宋体" w:hAnsi="宋体" w:eastAsia="宋体" w:cs="宋体"/>
                <w:b w:val="0"/>
                <w:bCs w:val="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both"/>
              <w:textAlignment w:val="top"/>
              <w:rPr>
                <w:rFonts w:hint="eastAsia" w:ascii="宋体" w:hAnsi="宋体" w:eastAsia="宋体" w:cs="宋体"/>
                <w:b w:val="0"/>
                <w:bCs w:val="0"/>
                <w:i w:val="0"/>
                <w:iCs w:val="0"/>
                <w:color w:val="000000"/>
                <w:sz w:val="21"/>
                <w:szCs w:val="21"/>
                <w:u w:val="none"/>
              </w:rPr>
            </w:pPr>
            <w:r>
              <w:rPr>
                <w:rStyle w:val="484"/>
                <w:rFonts w:hint="eastAsia" w:ascii="宋体" w:hAnsi="宋体" w:eastAsia="宋体" w:cs="宋体"/>
                <w:b w:val="0"/>
                <w:bCs w:val="0"/>
                <w:lang w:val="en-US" w:eastAsia="zh-CN" w:bidi="ar"/>
              </w:rPr>
              <w:t>1.2.7</w:t>
            </w:r>
            <w:r>
              <w:rPr>
                <w:rFonts w:hint="eastAsia" w:ascii="宋体" w:hAnsi="宋体" w:eastAsia="宋体" w:cs="宋体"/>
                <w:b w:val="0"/>
                <w:bCs w:val="0"/>
                <w:i w:val="0"/>
                <w:iCs w:val="0"/>
                <w:color w:val="000000"/>
                <w:kern w:val="0"/>
                <w:sz w:val="21"/>
                <w:szCs w:val="21"/>
                <w:u w:val="none"/>
                <w:lang w:val="en-US" w:eastAsia="zh-CN" w:bidi="ar"/>
              </w:rPr>
              <w:t xml:space="preserve">、脑电传感器可实时传输各治疗终端的脑电信号，可实时监测各终端的治疗情况。 </w:t>
            </w:r>
          </w:p>
        </w:tc>
        <w:tc>
          <w:tcPr>
            <w:tcW w:w="1016" w:type="pct"/>
            <w:shd w:val="clear" w:color="auto" w:fill="auto"/>
            <w:vAlign w:val="top"/>
          </w:tcPr>
          <w:p>
            <w:pPr>
              <w:keepNext w:val="0"/>
              <w:keepLines w:val="0"/>
              <w:widowControl/>
              <w:suppressLineNumbers w:val="0"/>
              <w:ind w:firstLineChars="200"/>
              <w:jc w:val="both"/>
              <w:textAlignment w:val="top"/>
              <w:rPr>
                <w:rStyle w:val="484"/>
                <w:rFonts w:hint="eastAsia" w:ascii="宋体" w:hAnsi="宋体" w:eastAsia="宋体" w:cs="宋体"/>
                <w:b w:val="0"/>
                <w:bCs w:val="0"/>
                <w:lang w:val="en-US" w:eastAsia="zh-CN" w:bidi="ar"/>
              </w:rPr>
            </w:pPr>
          </w:p>
        </w:tc>
        <w:tc>
          <w:tcPr>
            <w:tcW w:w="1123" w:type="pct"/>
            <w:shd w:val="clear" w:color="auto" w:fill="auto"/>
            <w:vAlign w:val="top"/>
          </w:tcPr>
          <w:p>
            <w:pPr>
              <w:keepNext w:val="0"/>
              <w:keepLines w:val="0"/>
              <w:widowControl/>
              <w:suppressLineNumbers w:val="0"/>
              <w:ind w:firstLineChars="200"/>
              <w:jc w:val="both"/>
              <w:textAlignment w:val="top"/>
              <w:rPr>
                <w:rStyle w:val="484"/>
                <w:rFonts w:hint="eastAsia" w:ascii="宋体" w:hAnsi="宋体" w:eastAsia="宋体" w:cs="宋体"/>
                <w:b w:val="0"/>
                <w:bCs w:val="0"/>
                <w:lang w:val="en-US" w:eastAsia="zh-CN" w:bidi="ar"/>
              </w:rPr>
            </w:pPr>
          </w:p>
        </w:tc>
        <w:tc>
          <w:tcPr>
            <w:tcW w:w="804" w:type="pct"/>
            <w:shd w:val="clear" w:color="auto" w:fill="auto"/>
            <w:vAlign w:val="top"/>
          </w:tcPr>
          <w:p>
            <w:pPr>
              <w:keepNext w:val="0"/>
              <w:keepLines w:val="0"/>
              <w:widowControl/>
              <w:suppressLineNumbers w:val="0"/>
              <w:ind w:firstLineChars="200"/>
              <w:jc w:val="both"/>
              <w:textAlignment w:val="top"/>
              <w:rPr>
                <w:rStyle w:val="484"/>
                <w:rFonts w:hint="eastAsia" w:ascii="宋体" w:hAnsi="宋体" w:eastAsia="宋体" w:cs="宋体"/>
                <w:b w:val="0"/>
                <w:bCs w:val="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4000" w:type="pct"/>
            <w:gridSpan w:val="4"/>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1.3肌电(EMG):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1.3.1、测量范围：为1μV～5000μV。误差≤±10%范围。</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1.3.2、输入噪声：≤1μV。</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1.3.3、共模抑制比：＞80dB。</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1.3.4、最高分辨率：&lt;0.2μV</w:t>
            </w:r>
          </w:p>
        </w:tc>
        <w:tc>
          <w:tcPr>
            <w:tcW w:w="1016"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ind w:firstLineChars="200"/>
              <w:jc w:val="left"/>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4000" w:type="pct"/>
            <w:gridSpan w:val="4"/>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2.1.具有视频连续播放反馈功能和图片抓取播放反馈功能。（通过参数的变化视频可进行暂停或继续播放的模式）。</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2.2.脑电、肌电等多参数均可进行单独反馈，可提供≥3种治疗几训练方案（提供软件截图或彩页说明书关键页扫描件加盖制造商公章作为证明材料）</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一台服务器至少可以集中控制3台终端，操作人员可通过服务器实时调控和观测各个治疗终端脑电图功能（包括动画选择、难易程度、数据分析等）设置及脑电图的变化。（提供软件截图或彩页说明书关键页扫描件加盖制造商公章作为证明材料）</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可调节脑电反馈的频段，针对某一频段或某几段的脑电波进行增加或减弱训练，α、β、θ、SMR四个波段的分别训练及五个波段的组合训练。（提供软件截图或彩页说明书关键页扫描件加盖制造商公章作为证明材料）</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2.5操作人员可以通过服务器统一或自由设定终端训练方式，可预设保持治疗方案</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2.6.治疗终端均可分离当作独立单机使用，可分配到其他分院或科室使用。具备在线伪差鉴别功能。（提供软件截图或彩页说明书关键页扫描件加盖制造商公章作为证明材料）</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2.7.具备心理量表，可针对不同病症患者提供测评诊断病症的轻，中，重从而给与不同的诊治波型（α、β、θ、δ、SMR五个波段）及个性化的立体动画模式进行治疗，可实时反馈治疗数据，可脱网独立使用。</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2.8.具备数据分析平台，对患者的病情进行跟踪性记录和分析。</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2.9.可输出疗效报告、原始波形、波形分离、小波分析、快速傅里叶变化（FFT）、时频分析、趋势分析，肌电图报告等</w:t>
            </w:r>
          </w:p>
        </w:tc>
        <w:tc>
          <w:tcPr>
            <w:tcW w:w="1016"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top"/>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94" w:type="pct"/>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605" w:type="pct"/>
            <w:vMerge w:val="continue"/>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056"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2.10.肌电可根据临床需求随意调整电极位置，训练不同位置肌肉。肌电波形信号实时采集，肌电信号可实时显示</w:t>
            </w:r>
          </w:p>
        </w:tc>
        <w:tc>
          <w:tcPr>
            <w:tcW w:w="1016"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3"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0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9" w:name="_Hlk72095977"/>
      <w:r>
        <w:rPr>
          <w:rFonts w:hint="eastAsia"/>
          <w:sz w:val="21"/>
          <w:szCs w:val="21"/>
        </w:rPr>
        <w:t>证明资料【如有的话，提供的证明资料应统一编号（排序），格式自定】</w:t>
      </w:r>
      <w:bookmarkEnd w:id="69"/>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0" w:name="_Hlk72094407"/>
      <w:r>
        <w:rPr>
          <w:rFonts w:hint="eastAsia"/>
          <w:b w:val="0"/>
          <w:bCs/>
          <w:sz w:val="21"/>
          <w:szCs w:val="21"/>
        </w:rPr>
        <w:t>对应“用户需求书”中的“技术要求”章节</w:t>
      </w:r>
      <w:bookmarkEnd w:id="70"/>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1" w:name="_Hlk72158270"/>
      <w:r>
        <w:rPr>
          <w:rFonts w:hint="eastAsia"/>
          <w:b w:val="0"/>
          <w:bCs/>
          <w:sz w:val="21"/>
          <w:szCs w:val="21"/>
        </w:rPr>
        <w:t>“偏离情况”</w:t>
      </w:r>
      <w:bookmarkEnd w:id="71"/>
      <w:r>
        <w:rPr>
          <w:rFonts w:hint="eastAsia"/>
          <w:b w:val="0"/>
          <w:bCs/>
          <w:sz w:val="21"/>
          <w:szCs w:val="21"/>
        </w:rPr>
        <w:t>一栏填写如实填写“正偏离”、“负偏离”或“无偏离”，其中：</w:t>
      </w:r>
      <w:bookmarkStart w:id="72" w:name="_Hlk72093866"/>
      <w:r>
        <w:rPr>
          <w:rFonts w:hint="eastAsia"/>
          <w:b w:val="0"/>
          <w:bCs/>
          <w:sz w:val="21"/>
          <w:szCs w:val="21"/>
        </w:rPr>
        <w:t>“正偏离”表示“投标响应优于招标技术要求”，“负偏离”表示“投标响应不满足招标技术要求”，“无偏离”表示“投标响应与招标技术要求一致”</w:t>
      </w:r>
      <w:bookmarkEnd w:id="72"/>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3" w:name="_Hlk72096106"/>
      <w:r>
        <w:rPr>
          <w:rFonts w:hint="eastAsia"/>
          <w:b w:val="0"/>
          <w:bCs/>
          <w:sz w:val="21"/>
          <w:szCs w:val="21"/>
        </w:rPr>
        <w:t>证明资料条款响应要求</w:t>
      </w:r>
      <w:bookmarkEnd w:id="73"/>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4"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5" w:name="_Hlk73558164"/>
      <w:r>
        <w:rPr>
          <w:rFonts w:hint="eastAsia"/>
          <w:b w:val="0"/>
          <w:bCs/>
          <w:sz w:val="21"/>
          <w:szCs w:val="21"/>
        </w:rPr>
        <w:t>且投标人在“偏离情况”一栏响应为“正偏离”或“无偏离”的，经评审委员会认定，将判定为负偏离。</w:t>
      </w:r>
      <w:bookmarkEnd w:id="74"/>
      <w:bookmarkEnd w:id="75"/>
    </w:p>
    <w:p>
      <w:pPr>
        <w:ind w:firstLine="420" w:firstLineChars="200"/>
        <w:rPr>
          <w:b w:val="0"/>
          <w:bCs/>
          <w:sz w:val="21"/>
          <w:szCs w:val="21"/>
        </w:rPr>
      </w:pPr>
      <w:r>
        <w:rPr>
          <w:rFonts w:hint="eastAsia"/>
          <w:b w:val="0"/>
          <w:bCs/>
          <w:sz w:val="21"/>
          <w:szCs w:val="21"/>
        </w:rPr>
        <w:t>6、</w:t>
      </w:r>
      <w:bookmarkStart w:id="76" w:name="_Hlk72096137"/>
      <w:r>
        <w:rPr>
          <w:rFonts w:hint="eastAsia"/>
          <w:b w:val="0"/>
          <w:bCs/>
          <w:sz w:val="21"/>
          <w:szCs w:val="21"/>
        </w:rPr>
        <w:t>表后“证明资料”部分内容的编制</w:t>
      </w:r>
      <w:bookmarkEnd w:id="76"/>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7" w:name="_Hlk73558180"/>
      <w:r>
        <w:rPr>
          <w:rFonts w:hint="eastAsia"/>
          <w:b w:val="0"/>
          <w:bCs/>
          <w:sz w:val="21"/>
          <w:szCs w:val="21"/>
        </w:rPr>
        <w:t>未按照招标文件要求在表后放置证明材料的供应商将承担不利后果，经评审委员会认定，相关技术要求将判定为负偏离。</w:t>
      </w:r>
      <w:bookmarkEnd w:id="77"/>
    </w:p>
    <w:p>
      <w:pPr>
        <w:ind w:firstLine="420" w:firstLineChars="200"/>
        <w:rPr>
          <w:b w:val="0"/>
          <w:bCs/>
          <w:sz w:val="21"/>
          <w:szCs w:val="21"/>
        </w:rPr>
      </w:pPr>
      <w:r>
        <w:rPr>
          <w:rFonts w:hint="eastAsia"/>
          <w:b w:val="0"/>
          <w:bCs/>
          <w:sz w:val="21"/>
          <w:szCs w:val="21"/>
        </w:rPr>
        <w:t>7、</w:t>
      </w:r>
      <w:bookmarkStart w:id="78" w:name="_Hlk72096176"/>
      <w:r>
        <w:rPr>
          <w:rFonts w:hint="eastAsia"/>
          <w:b w:val="0"/>
          <w:bCs/>
          <w:sz w:val="21"/>
          <w:szCs w:val="21"/>
        </w:rPr>
        <w:t>证明资料的形式及其它具体要求</w:t>
      </w:r>
      <w:bookmarkEnd w:id="78"/>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9"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9"/>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0"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0"/>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1"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1"/>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1"/>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3"/>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2" w:name="_Toc27624"/>
      <w:r>
        <w:rPr>
          <w:rFonts w:hint="eastAsia" w:ascii="黑体" w:hAnsi="黑体" w:eastAsia="黑体" w:cs="Times New Roman"/>
          <w:b w:val="0"/>
          <w:bCs w:val="0"/>
          <w:kern w:val="2"/>
          <w:sz w:val="28"/>
          <w:szCs w:val="28"/>
          <w:lang w:val="en-US" w:eastAsia="zh-CN" w:bidi="ar-SA"/>
        </w:rPr>
        <w:t>第二节 政府采购合同通用条款</w:t>
      </w:r>
      <w:bookmarkEnd w:id="82"/>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4"/>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5"/>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6"/>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7"/>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4"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4"/>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5" w:name="_Hlk72399513"/>
      <w:r>
        <w:rPr>
          <w:rFonts w:hint="eastAsia" w:ascii="宋体" w:hAnsi="宋体" w:eastAsia="宋体" w:cs="Times New Roman"/>
          <w:b/>
          <w:bCs/>
          <w:kern w:val="0"/>
          <w:sz w:val="28"/>
          <w:szCs w:val="28"/>
          <w:lang w:val="en-US" w:eastAsia="zh-CN" w:bidi="ar-SA"/>
        </w:rPr>
        <w:t>总则</w:t>
      </w:r>
    </w:p>
    <w:bookmarkEnd w:id="85"/>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6" w:name="_Hlk72399729"/>
      <w:r>
        <w:rPr>
          <w:rFonts w:hint="eastAsia" w:ascii="宋体" w:hAnsi="宋体" w:eastAsia="宋体" w:cs="Times New Roman"/>
          <w:szCs w:val="21"/>
        </w:rPr>
        <w:t>如有需要，政府集中采购机构可以对通用条款的内容进行补充。</w:t>
      </w:r>
      <w:bookmarkEnd w:id="86"/>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7"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8"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8"/>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7"/>
    <w:p>
      <w:pPr>
        <w:ind w:firstLine="411" w:firstLineChars="196"/>
        <w:rPr>
          <w:rFonts w:ascii="宋体" w:hAnsi="宋体" w:eastAsia="宋体" w:cs="Times New Roman"/>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89"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9"/>
    </w:p>
    <w:p>
      <w:pPr>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0"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0"/>
    <w:p>
      <w:pPr>
        <w:rPr>
          <w:rFonts w:ascii="黑体" w:hAnsi="宋体" w:eastAsia="黑体" w:cs="Times New Roman"/>
          <w:sz w:val="24"/>
        </w:rPr>
      </w:pPr>
      <w:r>
        <w:rPr>
          <w:rFonts w:hint="eastAsia" w:ascii="黑体" w:hAnsi="宋体" w:eastAsia="黑体" w:cs="Times New Roman"/>
          <w:sz w:val="24"/>
        </w:rPr>
        <w:t>15．</w:t>
      </w:r>
      <w:bookmarkStart w:id="91"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1"/>
    <w:p>
      <w:pPr>
        <w:rPr>
          <w:rFonts w:ascii="黑体" w:hAnsi="宋体" w:eastAsia="黑体" w:cs="Times New Roman"/>
          <w:sz w:val="24"/>
        </w:rPr>
      </w:pPr>
      <w:r>
        <w:rPr>
          <w:rFonts w:hint="eastAsia" w:ascii="黑体" w:hAnsi="宋体" w:eastAsia="黑体" w:cs="Times New Roman"/>
          <w:sz w:val="24"/>
        </w:rPr>
        <w:t>18．</w:t>
      </w:r>
      <w:bookmarkStart w:id="92"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2"/>
    <w:p>
      <w:pPr>
        <w:rPr>
          <w:rFonts w:ascii="黑体" w:hAnsi="宋体" w:eastAsia="黑体" w:cs="Times New Roman"/>
          <w:sz w:val="24"/>
        </w:rPr>
      </w:pPr>
      <w:r>
        <w:rPr>
          <w:rFonts w:hint="eastAsia" w:ascii="黑体" w:hAnsi="宋体" w:eastAsia="黑体" w:cs="Times New Roman"/>
          <w:sz w:val="24"/>
        </w:rPr>
        <w:t>19．</w:t>
      </w:r>
      <w:bookmarkStart w:id="93"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4"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4"/>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3"/>
    <w:p>
      <w:pPr>
        <w:ind w:firstLine="411" w:firstLineChars="196"/>
        <w:rPr>
          <w:rFonts w:ascii="宋体" w:hAnsi="宋体" w:eastAsia="宋体" w:cs="Times New Roman"/>
          <w:szCs w:val="21"/>
        </w:rPr>
      </w:pPr>
      <w:bookmarkStart w:id="95"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5"/>
    <w:p>
      <w:pPr>
        <w:rPr>
          <w:rFonts w:ascii="黑体" w:hAnsi="宋体" w:eastAsia="黑体" w:cs="Times New Roman"/>
          <w:sz w:val="24"/>
        </w:rPr>
      </w:pPr>
      <w:r>
        <w:rPr>
          <w:rFonts w:hint="eastAsia" w:ascii="黑体" w:hAnsi="宋体" w:eastAsia="黑体" w:cs="Times New Roman"/>
          <w:sz w:val="24"/>
        </w:rPr>
        <w:t>21．</w:t>
      </w:r>
      <w:bookmarkStart w:id="96"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6"/>
    <w:p>
      <w:pPr>
        <w:rPr>
          <w:rFonts w:ascii="黑体" w:hAnsi="宋体" w:eastAsia="黑体" w:cs="Times New Roman"/>
          <w:sz w:val="24"/>
        </w:rPr>
      </w:pPr>
      <w:r>
        <w:rPr>
          <w:rFonts w:hint="eastAsia" w:ascii="黑体" w:hAnsi="宋体" w:eastAsia="黑体" w:cs="Times New Roman"/>
          <w:sz w:val="24"/>
        </w:rPr>
        <w:t>23．</w:t>
      </w:r>
      <w:bookmarkStart w:id="97"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7"/>
    </w:p>
    <w:p>
      <w:pPr>
        <w:ind w:firstLine="411" w:firstLineChars="196"/>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8"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8"/>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99"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99"/>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0" w:name="_Hlk72436580"/>
      <w:r>
        <w:rPr>
          <w:rFonts w:hint="eastAsia" w:ascii="宋体" w:hAnsi="宋体" w:eastAsia="宋体" w:cs="Times New Roman"/>
        </w:rPr>
        <w:t>评审委员会由采购人代表和评审专家组成。</w:t>
      </w:r>
      <w:bookmarkEnd w:id="100"/>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1"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1"/>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2" w:name="_Toc73521581"/>
      <w:bookmarkStart w:id="103" w:name="_Toc73521669"/>
      <w:bookmarkStart w:id="104" w:name="_Toc73517673"/>
      <w:bookmarkStart w:id="105" w:name="_Toc73518151"/>
      <w:bookmarkStart w:id="106" w:name="_Toc100052400"/>
      <w:r>
        <w:rPr>
          <w:rFonts w:hint="eastAsia" w:ascii="黑体" w:hAnsi="宋体" w:eastAsia="黑体" w:cs="Times New Roman"/>
          <w:sz w:val="24"/>
        </w:rPr>
        <w:t>34．错误的修正</w:t>
      </w:r>
      <w:bookmarkEnd w:id="102"/>
      <w:bookmarkEnd w:id="103"/>
      <w:bookmarkEnd w:id="104"/>
      <w:bookmarkEnd w:id="105"/>
      <w:bookmarkEnd w:id="106"/>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7"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7"/>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8"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09"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09"/>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0"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1"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0"/>
      <w:bookmarkEnd w:id="111"/>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8"/>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2"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2"/>
      <w:bookmarkStart w:id="113"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3"/>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4"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4"/>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5"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5"/>
    <w:p>
      <w:pPr>
        <w:ind w:firstLine="411" w:firstLineChars="196"/>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6" w:name="_Hlk72439043"/>
      <w:r>
        <w:rPr>
          <w:rFonts w:hint="eastAsia" w:ascii="宋体" w:hAnsi="宋体" w:eastAsia="宋体" w:cs="Times New Roman"/>
          <w:b/>
          <w:bCs/>
          <w:kern w:val="0"/>
          <w:sz w:val="28"/>
          <w:szCs w:val="28"/>
          <w:lang w:val="en-US" w:eastAsia="zh-CN" w:bidi="ar-SA"/>
        </w:rPr>
        <w:t>合同的授予与备案</w:t>
      </w:r>
      <w:bookmarkEnd w:id="116"/>
    </w:p>
    <w:p>
      <w:pPr>
        <w:rPr>
          <w:rFonts w:ascii="黑体" w:hAnsi="宋体" w:eastAsia="黑体" w:cs="Times New Roman"/>
          <w:sz w:val="24"/>
        </w:rPr>
      </w:pPr>
      <w:bookmarkStart w:id="117" w:name="_Toc73521674"/>
      <w:bookmarkStart w:id="118" w:name="_Toc73518157"/>
      <w:bookmarkStart w:id="119" w:name="_Toc73521586"/>
      <w:bookmarkStart w:id="120" w:name="_Toc73517679"/>
      <w:bookmarkStart w:id="121" w:name="_Toc100052408"/>
      <w:bookmarkStart w:id="122" w:name="_Hlk72439088"/>
      <w:r>
        <w:rPr>
          <w:rFonts w:hint="eastAsia" w:ascii="黑体" w:hAnsi="宋体" w:eastAsia="黑体" w:cs="Times New Roman"/>
          <w:sz w:val="24"/>
        </w:rPr>
        <w:t>43．合同授予标准</w:t>
      </w:r>
      <w:bookmarkEnd w:id="117"/>
      <w:bookmarkEnd w:id="118"/>
      <w:bookmarkEnd w:id="119"/>
      <w:bookmarkEnd w:id="120"/>
      <w:bookmarkEnd w:id="121"/>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3" w:name="_Toc73518158"/>
      <w:bookmarkStart w:id="124" w:name="_Toc73517680"/>
      <w:bookmarkStart w:id="125" w:name="_Toc73521587"/>
      <w:bookmarkStart w:id="126" w:name="_Toc100052409"/>
      <w:bookmarkStart w:id="127" w:name="_Toc73521675"/>
      <w:r>
        <w:rPr>
          <w:rFonts w:hint="eastAsia" w:ascii="黑体" w:hAnsi="宋体" w:eastAsia="黑体" w:cs="Times New Roman"/>
          <w:sz w:val="24"/>
        </w:rPr>
        <w:t>44．</w:t>
      </w:r>
      <w:bookmarkEnd w:id="123"/>
      <w:bookmarkEnd w:id="124"/>
      <w:bookmarkEnd w:id="125"/>
      <w:bookmarkEnd w:id="126"/>
      <w:bookmarkEnd w:id="127"/>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8" w:name="_Toc73521589"/>
      <w:bookmarkStart w:id="129" w:name="_Toc73518160"/>
      <w:bookmarkStart w:id="130" w:name="_Toc100052410"/>
      <w:bookmarkStart w:id="131" w:name="_Toc73517682"/>
      <w:bookmarkStart w:id="132" w:name="_Toc73521677"/>
      <w:r>
        <w:rPr>
          <w:rFonts w:hint="eastAsia" w:ascii="黑体" w:hAnsi="宋体" w:eastAsia="黑体" w:cs="Times New Roman"/>
          <w:sz w:val="24"/>
        </w:rPr>
        <w:t>45．合同的签订</w:t>
      </w:r>
      <w:bookmarkEnd w:id="128"/>
      <w:bookmarkEnd w:id="129"/>
      <w:bookmarkEnd w:id="130"/>
      <w:bookmarkEnd w:id="131"/>
      <w:bookmarkEnd w:id="132"/>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3" w:name="_Toc73521678"/>
      <w:bookmarkStart w:id="134" w:name="_Toc73517683"/>
      <w:bookmarkStart w:id="135" w:name="_Toc73521590"/>
      <w:bookmarkStart w:id="136" w:name="_Toc100052411"/>
      <w:bookmarkStart w:id="137" w:name="_Toc73518161"/>
      <w:r>
        <w:rPr>
          <w:rFonts w:hint="eastAsia" w:ascii="黑体" w:hAnsi="宋体" w:eastAsia="黑体" w:cs="Times New Roman"/>
          <w:sz w:val="24"/>
        </w:rPr>
        <w:t>46．履约担保</w:t>
      </w:r>
      <w:bookmarkEnd w:id="133"/>
      <w:bookmarkEnd w:id="134"/>
      <w:bookmarkEnd w:id="135"/>
      <w:bookmarkEnd w:id="136"/>
      <w:bookmarkEnd w:id="137"/>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8" w:name="_Hlk72440769"/>
      <w:r>
        <w:rPr>
          <w:rFonts w:hint="eastAsia" w:ascii="宋体" w:hAnsi="宋体" w:eastAsia="宋体" w:cs="Times New Roman"/>
          <w:szCs w:val="21"/>
        </w:rPr>
        <w:t>政府集中采购机构或采购人不予退还其交纳的谈判保证金，情节严重的，并由主管部门</w:t>
      </w:r>
      <w:bookmarkEnd w:id="138"/>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2"/>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39" w:name="_Hlk75374941"/>
      <w:r>
        <w:rPr>
          <w:rFonts w:hint="eastAsia" w:ascii="宋体" w:hAnsi="宋体" w:eastAsia="宋体" w:cs="Times New Roman"/>
          <w:szCs w:val="21"/>
        </w:rPr>
        <w:t>以联合体形式参与的，质疑应当由组成联合体的所有成员共同提出</w:t>
      </w:r>
      <w:bookmarkEnd w:id="139"/>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0000019"/>
    <w:multiLevelType w:val="multilevel"/>
    <w:tmpl w:val="00000019"/>
    <w:lvl w:ilvl="0" w:tentative="0">
      <w:start w:val="1"/>
      <w:numFmt w:val="decimal"/>
      <w:lvlText w:val="%1"/>
      <w:lvlJc w:val="center"/>
      <w:pPr>
        <w:ind w:left="142" w:hanging="142"/>
      </w:pPr>
      <w:rPr>
        <w:rFonts w:hint="eastAsia" w:ascii="黑体" w:eastAsia="黑体"/>
        <w:b/>
        <w:i w:val="0"/>
        <w:sz w:val="30"/>
        <w:szCs w:val="30"/>
      </w:rPr>
    </w:lvl>
    <w:lvl w:ilvl="1" w:tentative="0">
      <w:start w:val="1"/>
      <w:numFmt w:val="decimal"/>
      <w:pStyle w:val="483"/>
      <w:suff w:val="nothing"/>
      <w:lvlText w:val="%1.%2　"/>
      <w:lvlJc w:val="left"/>
      <w:pPr>
        <w:ind w:left="10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82"/>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426" w:firstLine="0"/>
      </w:pPr>
      <w:rPr>
        <w:rFonts w:hint="eastAsia" w:ascii="黑体" w:hAnsi="Times New Roman" w:eastAsia="黑体"/>
        <w:b w:val="0"/>
        <w:i w:val="0"/>
        <w:sz w:val="21"/>
      </w:rPr>
    </w:lvl>
    <w:lvl w:ilvl="5" w:tentative="0">
      <w:start w:val="1"/>
      <w:numFmt w:val="decimal"/>
      <w:suff w:val="nothing"/>
      <w:lvlText w:val="%1.%2.%3.%4.%5.%6　"/>
      <w:lvlJc w:val="left"/>
      <w:pPr>
        <w:ind w:left="-568" w:firstLine="0"/>
      </w:pPr>
      <w:rPr>
        <w:rFonts w:hint="eastAsia" w:ascii="黑体" w:hAnsi="Times New Roman" w:eastAsia="黑体"/>
        <w:b w:val="0"/>
        <w:i w:val="0"/>
        <w:sz w:val="21"/>
      </w:rPr>
    </w:lvl>
    <w:lvl w:ilvl="6" w:tentative="0">
      <w:start w:val="1"/>
      <w:numFmt w:val="decimal"/>
      <w:suff w:val="nothing"/>
      <w:lvlText w:val="%1%2.%3.%4.%5.%6.%7　"/>
      <w:lvlJc w:val="left"/>
      <w:pPr>
        <w:ind w:left="-71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852" w:firstLine="0"/>
      </w:pPr>
      <w:rPr>
        <w:rFonts w:hint="eastAsia"/>
      </w:rPr>
    </w:lvl>
    <w:lvl w:ilvl="8" w:tentative="0">
      <w:start w:val="1"/>
      <w:numFmt w:val="decimal"/>
      <w:lvlText w:val="%1.%2.%3.%4.%5.%6.%7.%8.%9"/>
      <w:lvlJc w:val="left"/>
      <w:pPr>
        <w:tabs>
          <w:tab w:val="left" w:pos="4777"/>
        </w:tabs>
        <w:ind w:left="-994" w:firstLine="0"/>
      </w:pPr>
      <w:rPr>
        <w:rFonts w:hint="eastAsia"/>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4232161"/>
    <w:multiLevelType w:val="singleLevel"/>
    <w:tmpl w:val="34232161"/>
    <w:lvl w:ilvl="0" w:tentative="0">
      <w:start w:val="2"/>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3"/>
  </w:num>
  <w:num w:numId="4">
    <w:abstractNumId w:val="12"/>
  </w:num>
  <w:num w:numId="5">
    <w:abstractNumId w:val="17"/>
  </w:num>
  <w:num w:numId="6">
    <w:abstractNumId w:val="14"/>
  </w:num>
  <w:num w:numId="7">
    <w:abstractNumId w:val="10"/>
  </w:num>
  <w:num w:numId="8">
    <w:abstractNumId w:val="15"/>
  </w:num>
  <w:num w:numId="9">
    <w:abstractNumId w:val="0"/>
  </w:num>
  <w:num w:numId="10">
    <w:abstractNumId w:val="1"/>
  </w:num>
  <w:num w:numId="11">
    <w:abstractNumId w:val="16"/>
  </w:num>
  <w:num w:numId="12">
    <w:abstractNumId w:val="3"/>
  </w:num>
  <w:num w:numId="13">
    <w:abstractNumId w:val="7"/>
  </w:num>
  <w:num w:numId="14">
    <w:abstractNumId w:val="5"/>
  </w:num>
  <w:num w:numId="15">
    <w:abstractNumId w:val="4"/>
  </w:num>
  <w:num w:numId="16">
    <w:abstractNumId w:val="2"/>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82D9B"/>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415748E"/>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6150E9"/>
    <w:rsid w:val="1E9C6591"/>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110D68"/>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603271"/>
    <w:rsid w:val="36653C91"/>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3474C9"/>
    <w:rsid w:val="564837DC"/>
    <w:rsid w:val="56562CF2"/>
    <w:rsid w:val="56927A26"/>
    <w:rsid w:val="572A016E"/>
    <w:rsid w:val="5730509E"/>
    <w:rsid w:val="573D71DF"/>
    <w:rsid w:val="577D0663"/>
    <w:rsid w:val="57AA2B3B"/>
    <w:rsid w:val="57AE734F"/>
    <w:rsid w:val="58236A15"/>
    <w:rsid w:val="583016CC"/>
    <w:rsid w:val="58321EC6"/>
    <w:rsid w:val="583D4604"/>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5D75707"/>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23363C"/>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 w:type="paragraph" w:customStyle="1" w:styleId="479">
    <w:name w:val="样式 首行缩进:  2 字符"/>
    <w:qFormat/>
    <w:uiPriority w:val="0"/>
    <w:pPr>
      <w:widowControl w:val="0"/>
      <w:spacing w:line="480" w:lineRule="auto"/>
      <w:jc w:val="both"/>
    </w:pPr>
    <w:rPr>
      <w:rFonts w:cs="宋体" w:asciiTheme="minorEastAsia" w:hAnsiTheme="minorEastAsia" w:eastAsiaTheme="minorEastAsia"/>
      <w:b/>
      <w:bCs/>
      <w:color w:val="000000"/>
      <w:kern w:val="2"/>
      <w:sz w:val="24"/>
      <w:szCs w:val="24"/>
      <w:lang w:val="en-GB" w:eastAsia="zh-CN" w:bidi="ar-SA"/>
    </w:rPr>
  </w:style>
  <w:style w:type="paragraph" w:customStyle="1" w:styleId="48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1">
    <w:name w:val="二级无"/>
    <w:basedOn w:val="482"/>
    <w:qFormat/>
    <w:uiPriority w:val="0"/>
    <w:pPr>
      <w:ind w:left="284"/>
    </w:pPr>
    <w:rPr>
      <w:rFonts w:ascii="宋体" w:eastAsia="宋体"/>
    </w:rPr>
  </w:style>
  <w:style w:type="paragraph" w:customStyle="1" w:styleId="482">
    <w:name w:val="二级条标题"/>
    <w:basedOn w:val="483"/>
    <w:next w:val="480"/>
    <w:qFormat/>
    <w:uiPriority w:val="0"/>
    <w:pPr>
      <w:numPr>
        <w:ilvl w:val="2"/>
      </w:numPr>
      <w:spacing w:beforeLines="0" w:afterLines="0"/>
      <w:outlineLvl w:val="3"/>
    </w:pPr>
  </w:style>
  <w:style w:type="paragraph" w:customStyle="1" w:styleId="483">
    <w:name w:val="一级条标题"/>
    <w:next w:val="480"/>
    <w:qFormat/>
    <w:uiPriority w:val="0"/>
    <w:pPr>
      <w:numPr>
        <w:ilvl w:val="1"/>
        <w:numId w:val="7"/>
      </w:numPr>
      <w:spacing w:beforeLines="50" w:afterLines="50"/>
      <w:outlineLvl w:val="2"/>
    </w:pPr>
    <w:rPr>
      <w:rFonts w:ascii="黑体" w:hAnsi="Times New Roman" w:eastAsia="黑体" w:cs="Times New Roman"/>
      <w:sz w:val="21"/>
      <w:szCs w:val="21"/>
      <w:lang w:val="en-US" w:eastAsia="zh-CN" w:bidi="ar-SA"/>
    </w:rPr>
  </w:style>
  <w:style w:type="character" w:customStyle="1" w:styleId="484">
    <w:name w:val="font51"/>
    <w:basedOn w:val="4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52841</Words>
  <Characters>55333</Characters>
  <Lines>368</Lines>
  <Paragraphs>103</Paragraphs>
  <TotalTime>1</TotalTime>
  <ScaleCrop>false</ScaleCrop>
  <LinksUpToDate>false</LinksUpToDate>
  <CharactersWithSpaces>59034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2021-05-16T11:04:00Z</cp:lastPrinted>
  <dcterms:modified xsi:type="dcterms:W3CDTF">2025-12-03T07:35:11Z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17784158DEBF44939F0F4F0B13500CAD</vt:lpwstr>
  </property>
  <property fmtid="{D5CDD505-2E9C-101B-9397-08002B2CF9AE}" pid="4" name="KSOTemplateDocerSaveRecord">
    <vt:lpwstr>eyJoZGlkIjoiNWMyOTMyNTQ1MWRmNGI0N2FlNmM4NDMxM2EyYTMzOGMiLCJ1c2VySWQiOiIxMTc1MzY1NzI0In0=</vt:lpwstr>
  </property>
</Properties>
</file>