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DPZXCG-2025-00064</w:t>
            </w:r>
            <w:bookmarkStart w:id="141" w:name="_GoBack"/>
            <w:bookmarkEnd w:id="141"/>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eastAsia" w:eastAsia="宋体"/>
                <w:sz w:val="30"/>
                <w:szCs w:val="30"/>
                <w:lang w:val="en-US" w:eastAsia="zh-CN"/>
              </w:rPr>
            </w:pPr>
            <w:r>
              <w:rPr>
                <w:rFonts w:hint="eastAsia" w:ascii="宋体" w:hAnsi="宋体" w:cs="宋体"/>
                <w:kern w:val="0"/>
                <w:sz w:val="30"/>
                <w:szCs w:val="30"/>
                <w:lang w:eastAsia="zh-CN" w:bidi="ar"/>
              </w:rPr>
              <w:t>新生儿保温箱</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ascii="Times New Roman" w:hAnsi="Times New Roman" w:eastAsia="宋体" w:cs="Times New Roman"/>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lang w:val="en-US" w:eastAsia="zh-CN"/>
              </w:rPr>
              <w:t>不得</w:t>
            </w:r>
            <w:r>
              <w:rPr>
                <w:rFonts w:hint="eastAsia" w:ascii="Times New Roman" w:hAnsi="Times New Roman" w:eastAsia="宋体" w:cs="Times New Roman"/>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对同一项目投标时，</w:t>
            </w:r>
            <w:r>
              <w:rPr>
                <w:rFonts w:hint="eastAsia" w:ascii="Times New Roman" w:hAnsi="Times New Roman" w:eastAsia="宋体" w:cs="Times New Roman"/>
                <w:lang w:val="en-US" w:eastAsia="zh-CN"/>
              </w:rPr>
              <w:t>不得</w:t>
            </w:r>
            <w:r>
              <w:rPr>
                <w:rFonts w:hint="eastAsia" w:ascii="Times New Roman" w:hAnsi="Times New Roman" w:eastAsia="宋体" w:cs="Times New Roman"/>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cs="Times New Roman"/>
              </w:rPr>
              <w:t>分项报价或投标总价</w:t>
            </w:r>
            <w:r>
              <w:rPr>
                <w:rFonts w:hint="eastAsia" w:ascii="Times New Roman" w:hAnsi="Times New Roman" w:cs="Times New Roman"/>
                <w:lang w:val="en-US" w:eastAsia="zh-CN"/>
              </w:rPr>
              <w:t>不得</w:t>
            </w:r>
            <w:r>
              <w:rPr>
                <w:rFonts w:hint="eastAsia" w:ascii="Times New Roman" w:hAnsi="Times New Roman" w:cs="Times New Roman"/>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color w:val="auto"/>
                <w:lang w:val="en-US" w:eastAsia="zh-CN"/>
              </w:rPr>
              <w:t>采购标的/服务清单/报价等任意一类有缺漏项或响应不全，</w:t>
            </w:r>
            <w:r>
              <w:rPr>
                <w:rFonts w:hint="eastAsia" w:ascii="Times New Roman" w:hAnsi="Times New Roman" w:eastAsia="宋体" w:cs="Times New Roman"/>
              </w:rPr>
              <w:t>或者对招标文件规定的项目需求内容或者需求数量进行修改</w:t>
            </w:r>
            <w:r>
              <w:rPr>
                <w:rFonts w:hint="eastAsia" w:ascii="Times New Roman" w:hAnsi="Times New Roman" w:eastAsia="宋体" w:cs="Times New Roman"/>
                <w:szCs w:val="21"/>
              </w:rPr>
              <w:t>，评审委员会判定投标响应不满足采购需求</w:t>
            </w:r>
            <w:r>
              <w:rPr>
                <w:rFonts w:hint="eastAsia" w:ascii="Times New Roman" w:hAnsi="Times New Roman" w:eastAsia="宋体"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投标文件电子文档</w:t>
            </w:r>
            <w:r>
              <w:rPr>
                <w:rFonts w:hint="eastAsia" w:ascii="Times New Roman" w:hAnsi="Times New Roman" w:eastAsia="宋体" w:cs="Times New Roman"/>
                <w:lang w:val="en-US" w:eastAsia="zh-CN"/>
              </w:rPr>
              <w:t>不得</w:t>
            </w:r>
            <w:r>
              <w:rPr>
                <w:rFonts w:hint="eastAsia" w:ascii="Times New Roman" w:hAnsi="Times New Roman" w:eastAsia="宋体" w:cs="Times New Roman"/>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77" w:hRule="atLeast"/>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eastAsia="宋体" w:cs="宋体"/>
                <w:szCs w:val="21"/>
              </w:rPr>
            </w:pPr>
            <w:r>
              <w:rPr>
                <w:rFonts w:ascii="Times New Roman" w:hAnsi="Times New Roman" w:eastAsia="宋体" w:cs="Times New Roman"/>
                <w:szCs w:val="21"/>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szCs w:val="21"/>
                <w:lang w:val="en-US" w:eastAsia="zh-CN"/>
              </w:rPr>
            </w:pPr>
            <w:r>
              <w:rPr>
                <w:rFonts w:hint="eastAsia" w:ascii="Times New Roman" w:hAnsi="Times New Roman" w:eastAsia="宋体" w:cs="Times New Roman"/>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eastAsia="宋体" w:cs="宋体"/>
                <w:szCs w:val="21"/>
              </w:rPr>
            </w:pPr>
            <w:r>
              <w:rPr>
                <w:rFonts w:hint="eastAsia" w:ascii="Times New Roman" w:hAnsi="Times New Roman" w:eastAsia="宋体" w:cs="Times New Roman"/>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146"/>
        <w:gridCol w:w="535"/>
        <w:gridCol w:w="681"/>
        <w:gridCol w:w="2837"/>
        <w:gridCol w:w="681"/>
        <w:gridCol w:w="4198"/>
        <w:gridCol w:w="14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146"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146"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ascii="宋体" w:hAnsi="宋体" w:cs="宋体"/>
                <w:kern w:val="0"/>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highlight w:val="none"/>
                <w:lang w:val="en-US" w:eastAsia="zh-CN"/>
              </w:rPr>
              <w:t>一般</w:t>
            </w:r>
            <w:r>
              <w:rPr>
                <w:rFonts w:hint="eastAsia" w:ascii="宋体" w:hAnsi="宋体" w:eastAsia="宋体" w:cs="宋体"/>
                <w:kern w:val="0"/>
                <w:sz w:val="21"/>
                <w:szCs w:val="21"/>
                <w:highlight w:val="none"/>
              </w:rPr>
              <w:t>技术要求偏离情况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（一）评分内容</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eastAsia="宋体" w:cs="宋体"/>
                <w:kern w:val="0"/>
                <w:sz w:val="21"/>
                <w:szCs w:val="21"/>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4.17</w:t>
            </w:r>
            <w:r>
              <w:rPr>
                <w:rFonts w:hint="eastAsia" w:ascii="宋体" w:hAnsi="宋体" w:eastAsia="宋体" w:cs="宋体"/>
                <w:sz w:val="21"/>
                <w:szCs w:val="21"/>
              </w:rPr>
              <w:t>分，扣完为止。</w:t>
            </w:r>
          </w:p>
          <w:p>
            <w:pPr>
              <w:widowControl/>
              <w:wordWrap w:val="0"/>
              <w:jc w:val="left"/>
              <w:textAlignment w:val="top"/>
              <w:rPr>
                <w:rFonts w:hint="eastAsia" w:ascii="宋体" w:hAnsi="宋体" w:eastAsia="宋体" w:cs="宋体"/>
                <w:sz w:val="21"/>
                <w:szCs w:val="21"/>
              </w:rPr>
            </w:pPr>
            <w:r>
              <w:rPr>
                <w:rFonts w:hint="eastAsia" w:ascii="宋体" w:hAnsi="宋体" w:eastAsia="宋体" w:cs="宋体"/>
                <w:sz w:val="21"/>
                <w:szCs w:val="21"/>
              </w:rPr>
              <w:t>（二）评分依据</w:t>
            </w:r>
          </w:p>
          <w:p>
            <w:pPr>
              <w:widowControl/>
              <w:wordWrap w:val="0"/>
              <w:jc w:val="left"/>
              <w:textAlignment w:val="top"/>
              <w:rPr>
                <w:rFonts w:hint="eastAsia" w:ascii="宋体" w:hAnsi="宋体" w:eastAsia="宋体" w:cs="宋体"/>
                <w:kern w:val="2"/>
                <w:sz w:val="21"/>
                <w:szCs w:val="21"/>
                <w:lang w:val="en-US" w:eastAsia="zh-CN" w:bidi="ar-SA"/>
              </w:rPr>
            </w:pPr>
            <w:r>
              <w:rPr>
                <w:rFonts w:hint="eastAsia" w:ascii="宋体" w:hAnsi="宋体" w:cs="宋体"/>
                <w:szCs w:val="21"/>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rHeight w:val="3647" w:hRule="atLeast"/>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根据招标文件要求提供项目实施方案，内容应包括：</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w:t>
            </w:r>
            <w:r>
              <w:rPr>
                <w:rFonts w:hint="eastAsia" w:ascii="宋体" w:hAnsi="宋体" w:cs="宋体"/>
                <w:sz w:val="21"/>
                <w:szCs w:val="21"/>
                <w:lang w:val="en-US" w:eastAsia="zh-CN"/>
              </w:rPr>
              <w:t>25</w:t>
            </w:r>
            <w:r>
              <w:rPr>
                <w:rFonts w:hint="eastAsia" w:ascii="宋体" w:hAnsi="宋体" w:eastAsia="宋体" w:cs="宋体"/>
                <w:sz w:val="21"/>
                <w:szCs w:val="21"/>
                <w:lang w:val="en-US" w:eastAsia="zh-CN"/>
              </w:rPr>
              <w:t>分，满分100分。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投标人提供承诺函（格式自拟）。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hint="eastAsia" w:eastAsia="宋体"/>
                <w:sz w:val="21"/>
                <w:szCs w:val="21"/>
                <w:lang w:val="en-US" w:eastAsia="zh-CN"/>
              </w:rPr>
            </w:pPr>
            <w:r>
              <w:rPr>
                <w:rFonts w:hint="eastAsia"/>
                <w:sz w:val="21"/>
                <w:szCs w:val="21"/>
                <w:lang w:val="en-US" w:eastAsia="zh-CN"/>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自2021年1月1日至本项目投标截止日前（以合同签订日期为准），投标人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w:t>
            </w:r>
            <w:r>
              <w:rPr>
                <w:rFonts w:hint="eastAsia" w:ascii="宋体" w:hAnsi="宋体" w:cs="宋体"/>
                <w:sz w:val="21"/>
                <w:szCs w:val="21"/>
                <w:lang w:eastAsia="zh-CN"/>
              </w:rPr>
              <w:t>（</w:t>
            </w:r>
            <w:r>
              <w:rPr>
                <w:rFonts w:hint="eastAsia" w:ascii="宋体" w:hAnsi="宋体" w:cs="宋体"/>
                <w:sz w:val="21"/>
                <w:szCs w:val="21"/>
                <w:lang w:val="en-US" w:eastAsia="zh-CN"/>
              </w:rPr>
              <w:t>同一品牌、型号</w:t>
            </w:r>
            <w:r>
              <w:rPr>
                <w:rFonts w:hint="eastAsia" w:ascii="宋体" w:hAnsi="宋体" w:cs="宋体"/>
                <w:sz w:val="21"/>
                <w:szCs w:val="21"/>
                <w:lang w:eastAsia="zh-CN"/>
              </w:rPr>
              <w:t>）</w:t>
            </w:r>
            <w:r>
              <w:rPr>
                <w:rFonts w:hint="eastAsia" w:ascii="宋体" w:hAnsi="宋体" w:eastAsia="宋体" w:cs="宋体"/>
                <w:sz w:val="21"/>
                <w:szCs w:val="21"/>
              </w:rPr>
              <w:t>的销售业绩，每提供1份得</w:t>
            </w:r>
            <w:r>
              <w:rPr>
                <w:rFonts w:hint="eastAsia" w:ascii="宋体" w:hAnsi="宋体" w:cs="宋体"/>
                <w:sz w:val="21"/>
                <w:szCs w:val="21"/>
                <w:lang w:val="en-US" w:eastAsia="zh-CN"/>
              </w:rPr>
              <w:t>25</w:t>
            </w:r>
            <w:r>
              <w:rPr>
                <w:rFonts w:hint="eastAsia" w:ascii="宋体" w:hAnsi="宋体" w:eastAsia="宋体" w:cs="宋体"/>
                <w:sz w:val="21"/>
                <w:szCs w:val="21"/>
              </w:rPr>
              <w:t>分，本项累计最高得100分。</w:t>
            </w:r>
          </w:p>
          <w:p>
            <w:pPr>
              <w:rPr>
                <w:rFonts w:hint="eastAsia" w:ascii="宋体" w:hAnsi="宋体" w:eastAsia="宋体" w:cs="宋体"/>
                <w:sz w:val="21"/>
                <w:szCs w:val="21"/>
              </w:rPr>
            </w:pPr>
            <w:r>
              <w:rPr>
                <w:rFonts w:hint="eastAsia" w:ascii="宋体" w:hAnsi="宋体" w:eastAsia="宋体" w:cs="宋体"/>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1.提供销售合同关键页（包括但不限于合同（项目）名称、合同采购内容、签订日期、合同双方签字盖章页），原件备查。</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2.未提供或提供不清晰导致无法识别的不得分。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5</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146"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1"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1"/>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2"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3" w:name="_Hlk71994379"/>
      <w:r>
        <w:rPr>
          <w:rFonts w:hint="eastAsia" w:ascii="宋体" w:hAnsi="宋体"/>
          <w:szCs w:val="21"/>
        </w:rPr>
        <w:t>对通用条款的补充内容及其他关键信息</w:t>
      </w:r>
      <w:bookmarkEnd w:id="3"/>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2"/>
    <w:p>
      <w:pPr>
        <w:pStyle w:val="2"/>
        <w:rPr>
          <w:color w:val="FF0000"/>
          <w:sz w:val="24"/>
        </w:rPr>
      </w:pPr>
      <w:bookmarkStart w:id="4" w:name="合同格式"/>
      <w:bookmarkEnd w:id="4"/>
      <w:bookmarkStart w:id="5" w:name="bt投标文件签署授权委托书"/>
      <w:bookmarkEnd w:id="5"/>
      <w:bookmarkStart w:id="6" w:name="bt技术标投标文件格式"/>
      <w:bookmarkEnd w:id="6"/>
      <w:bookmarkStart w:id="7" w:name="bt投标函"/>
      <w:bookmarkEnd w:id="7"/>
      <w:bookmarkStart w:id="8" w:name="bt投标人须知"/>
      <w:bookmarkEnd w:id="8"/>
      <w:bookmarkStart w:id="9" w:name="bt开标一览表"/>
      <w:bookmarkEnd w:id="9"/>
      <w:bookmarkStart w:id="10" w:name="bt投标报价汇总表"/>
      <w:bookmarkEnd w:id="10"/>
      <w:bookmarkStart w:id="11" w:name="bt合同条款及格式"/>
      <w:bookmarkEnd w:id="11"/>
      <w:bookmarkStart w:id="12" w:name="bt项目管理班子配备情况"/>
      <w:bookmarkEnd w:id="12"/>
      <w:bookmarkStart w:id="13" w:name="bt合同条款"/>
      <w:bookmarkEnd w:id="13"/>
      <w:bookmarkStart w:id="14" w:name="bt本工程承诺书"/>
      <w:bookmarkEnd w:id="14"/>
      <w:bookmarkStart w:id="15" w:name="bt说明"/>
      <w:bookmarkEnd w:id="15"/>
      <w:bookmarkStart w:id="16" w:name="bt投标人情况介绍"/>
      <w:bookmarkEnd w:id="16"/>
      <w:bookmarkStart w:id="17" w:name="bt其他资料2"/>
      <w:bookmarkEnd w:id="17"/>
      <w:bookmarkStart w:id="18" w:name="bt商务标投标文件格式"/>
      <w:bookmarkEnd w:id="18"/>
      <w:bookmarkStart w:id="19" w:name="bt其他资料由投标人自定"/>
      <w:bookmarkEnd w:id="19"/>
      <w:bookmarkStart w:id="20" w:name="bt合同格式"/>
      <w:bookmarkEnd w:id="20"/>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1" w:name="_Hlk72162904"/>
      <w:r>
        <w:rPr>
          <w:rFonts w:hint="eastAsia" w:ascii="宋体" w:hAnsi="宋体" w:cs="宋体"/>
          <w:kern w:val="0"/>
          <w:szCs w:val="21"/>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1"/>
      <w:r>
        <w:rPr>
          <w:rFonts w:hint="eastAsia"/>
          <w:lang w:eastAsia="zh-CN"/>
        </w:rPr>
        <w:t>；</w:t>
      </w:r>
    </w:p>
    <w:p>
      <w:pPr>
        <w:ind w:firstLine="420" w:firstLineChars="200"/>
        <w:rPr>
          <w:rFonts w:ascii="宋体" w:hAnsi="宋体" w:cs="宋体"/>
          <w:kern w:val="0"/>
          <w:szCs w:val="21"/>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p>
    <w:p>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全部</w:t>
      </w:r>
      <w:r>
        <w:rPr>
          <w:rFonts w:hint="eastAsia" w:ascii="宋体" w:hAnsi="宋体" w:cs="宋体"/>
          <w:kern w:val="0"/>
          <w:szCs w:val="21"/>
        </w:rPr>
        <w:t>专门面向中小企业采购：否</w:t>
      </w:r>
      <w:r>
        <w:rPr>
          <w:rFonts w:hint="eastAsia" w:ascii="宋体" w:hAnsi="宋体" w:cs="宋体"/>
          <w:kern w:val="0"/>
          <w:szCs w:val="21"/>
          <w:lang w:eastAsia="zh-CN"/>
        </w:rPr>
        <w:t>。</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pStyle w:val="5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2" w:name="_Hlk71926094"/>
      <w:r>
        <w:rPr>
          <w:rFonts w:hint="eastAsia"/>
          <w:sz w:val="28"/>
          <w:szCs w:val="28"/>
        </w:rPr>
        <w:t>对通用条款的补充内容及其他关键信息</w:t>
      </w:r>
      <w:bookmarkEnd w:id="22"/>
    </w:p>
    <w:p>
      <w:pPr>
        <w:pStyle w:val="5"/>
        <w:spacing w:before="120" w:beforeLines="50" w:after="120" w:afterLines="50"/>
        <w:rPr>
          <w:szCs w:val="24"/>
        </w:rPr>
      </w:pPr>
      <w:bookmarkStart w:id="23" w:name="_Toc73521635"/>
      <w:bookmarkStart w:id="24" w:name="_Toc60560625"/>
      <w:bookmarkStart w:id="25" w:name="_Toc100052364"/>
      <w:bookmarkStart w:id="26" w:name="_Toc73521547"/>
      <w:bookmarkStart w:id="27" w:name="_Toc101074876"/>
      <w:bookmarkStart w:id="28" w:name="_Toc73518117"/>
      <w:bookmarkStart w:id="29" w:name="_Toc73517639"/>
      <w:bookmarkStart w:id="30" w:name="_Toc60631620"/>
      <w:r>
        <w:rPr>
          <w:rFonts w:hint="eastAsia"/>
          <w:szCs w:val="24"/>
        </w:rPr>
        <w:t>一、对通用条款的补充内容</w:t>
      </w:r>
    </w:p>
    <w:bookmarkEnd w:id="23"/>
    <w:bookmarkEnd w:id="24"/>
    <w:bookmarkEnd w:id="25"/>
    <w:bookmarkEnd w:id="26"/>
    <w:bookmarkEnd w:id="27"/>
    <w:bookmarkEnd w:id="28"/>
    <w:bookmarkEnd w:id="29"/>
    <w:bookmarkEnd w:id="30"/>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1"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hAnsi="宋体"/>
              </w:rPr>
            </w:pPr>
            <w:r>
              <w:rPr>
                <w:rFonts w:hint="eastAsia" w:ascii="宋体" w:hAnsi="宋体"/>
              </w:rPr>
              <w:t>深圳市大鹏新区妇幼保健院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2" w:name="_Hlk71664860"/>
            <w:r>
              <w:rPr>
                <w:rFonts w:hint="eastAsia" w:ascii="宋体" w:hAnsi="宋体"/>
              </w:rPr>
              <w:t>样品、现场演示、方案讲解</w:t>
            </w:r>
            <w:bookmarkEnd w:id="32"/>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Theme="minorEastAsia" w:hAnsiTheme="minorEastAsia" w:eastAsiaTheme="minorEastAsia" w:cstheme="minorEastAsia"/>
                <w:spacing w:val="8"/>
                <w:kern w:val="0"/>
                <w:sz w:val="21"/>
                <w:szCs w:val="21"/>
              </w:rPr>
              <w:t>合同总额5%的</w:t>
            </w:r>
            <w:r>
              <w:rPr>
                <w:rFonts w:hint="eastAsia" w:asciiTheme="minorEastAsia" w:hAnsiTheme="minorEastAsia" w:cstheme="minorEastAsia"/>
                <w:spacing w:val="8"/>
                <w:kern w:val="0"/>
                <w:sz w:val="21"/>
                <w:szCs w:val="21"/>
                <w:lang w:val="en-US" w:eastAsia="zh-CN"/>
              </w:rPr>
              <w:t>履约保证金，</w:t>
            </w:r>
            <w:r>
              <w:rPr>
                <w:rFonts w:hint="eastAsia" w:asciiTheme="minorEastAsia" w:hAnsiTheme="minorEastAsia" w:eastAsiaTheme="minorEastAsia" w:cstheme="minorEastAsia"/>
                <w:spacing w:val="8"/>
                <w:kern w:val="0"/>
                <w:sz w:val="21"/>
                <w:szCs w:val="21"/>
                <w:highlight w:val="none"/>
                <w:lang w:val="en-US" w:eastAsia="zh-CN"/>
              </w:rPr>
              <w:t>详见商务要求。</w:t>
            </w:r>
          </w:p>
        </w:tc>
      </w:tr>
    </w:tbl>
    <w:p>
      <w:pPr>
        <w:rPr>
          <w:b/>
        </w:rPr>
      </w:pPr>
      <w:r>
        <w:rPr>
          <w:rFonts w:hint="eastAsia"/>
          <w:szCs w:val="21"/>
        </w:rPr>
        <w:t>备注：本表是通用条款相关条款的补充和明确，如与通用条款内容相冲突的，以本表为准。</w:t>
      </w:r>
    </w:p>
    <w:bookmarkEnd w:id="31"/>
    <w:p>
      <w:pPr>
        <w:pStyle w:val="5"/>
        <w:spacing w:before="120" w:beforeLines="50" w:after="120" w:afterLines="50"/>
        <w:rPr>
          <w:szCs w:val="24"/>
        </w:rPr>
      </w:pPr>
      <w:bookmarkStart w:id="33" w:name="_Hlk72218117"/>
      <w:r>
        <w:rPr>
          <w:rFonts w:hint="eastAsia"/>
          <w:szCs w:val="24"/>
        </w:rPr>
        <w:t>二、其他关键信息</w:t>
      </w:r>
    </w:p>
    <w:p>
      <w:pPr>
        <w:ind w:firstLine="422" w:firstLineChars="200"/>
        <w:rPr>
          <w:b/>
          <w:bCs/>
        </w:rPr>
      </w:pPr>
      <w:bookmarkStart w:id="34"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评标方法</w:t>
            </w:r>
          </w:p>
        </w:tc>
        <w:tc>
          <w:tcPr>
            <w:tcW w:w="2660" w:type="pct"/>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候选中标供应商家数</w:t>
            </w:r>
          </w:p>
        </w:tc>
        <w:tc>
          <w:tcPr>
            <w:tcW w:w="2660" w:type="pct"/>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pPr>
              <w:jc w:val="center"/>
            </w:pPr>
            <w:r>
              <w:rPr>
                <w:rFonts w:hint="eastAsia"/>
              </w:rPr>
              <w:t>中标供应商家数</w:t>
            </w:r>
          </w:p>
        </w:tc>
        <w:tc>
          <w:tcPr>
            <w:tcW w:w="2660" w:type="pct"/>
          </w:tcPr>
          <w:p>
            <w:pPr>
              <w:jc w:val="center"/>
            </w:pPr>
            <w:r>
              <w:rPr>
                <w:rFonts w:hint="eastAsia"/>
              </w:rPr>
              <w:t>1</w:t>
            </w:r>
          </w:p>
        </w:tc>
      </w:tr>
    </w:tbl>
    <w:p>
      <w:pPr>
        <w:pStyle w:val="37"/>
      </w:pPr>
    </w:p>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4"/>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10</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5"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5"/>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3"/>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szCs w:val="21"/>
              </w:rPr>
            </w:pPr>
            <w:r>
              <w:rPr>
                <w:rFonts w:hint="eastAsia"/>
                <w:bCs/>
                <w:szCs w:val="21"/>
              </w:rPr>
              <w:t>序号</w:t>
            </w:r>
          </w:p>
        </w:tc>
        <w:tc>
          <w:tcPr>
            <w:tcW w:w="2664" w:type="pct"/>
            <w:vAlign w:val="center"/>
          </w:tcPr>
          <w:p>
            <w:pPr>
              <w:jc w:val="center"/>
              <w:rPr>
                <w:bCs/>
                <w:szCs w:val="21"/>
              </w:rPr>
            </w:pPr>
            <w:r>
              <w:rPr>
                <w:rFonts w:hint="eastAsia"/>
                <w:bCs/>
                <w:szCs w:val="21"/>
              </w:rPr>
              <w:t>采购项目名称</w:t>
            </w:r>
          </w:p>
        </w:tc>
        <w:tc>
          <w:tcPr>
            <w:tcW w:w="1986" w:type="pct"/>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8" w:type="pct"/>
            <w:vAlign w:val="center"/>
          </w:tcPr>
          <w:p>
            <w:pPr>
              <w:jc w:val="center"/>
              <w:rPr>
                <w:bCs/>
                <w:color w:val="FF0000"/>
                <w:szCs w:val="21"/>
              </w:rPr>
            </w:pPr>
            <w:r>
              <w:rPr>
                <w:rFonts w:hint="eastAsia"/>
                <w:bCs/>
                <w:color w:val="FF0000"/>
                <w:szCs w:val="21"/>
              </w:rPr>
              <w:t>1</w:t>
            </w:r>
          </w:p>
        </w:tc>
        <w:tc>
          <w:tcPr>
            <w:tcW w:w="2664" w:type="pct"/>
            <w:vAlign w:val="center"/>
          </w:tcPr>
          <w:p>
            <w:pPr>
              <w:jc w:val="center"/>
              <w:rPr>
                <w:rFonts w:hint="eastAsia" w:eastAsia="宋体"/>
                <w:b/>
                <w:bCs/>
                <w:color w:val="FF0000"/>
                <w:szCs w:val="21"/>
                <w:lang w:eastAsia="zh-CN"/>
              </w:rPr>
            </w:pPr>
            <w:r>
              <w:rPr>
                <w:rFonts w:hint="eastAsia"/>
                <w:b/>
                <w:bCs/>
                <w:color w:val="FF0000"/>
                <w:szCs w:val="21"/>
                <w:lang w:eastAsia="zh-CN"/>
              </w:rPr>
              <w:t>新生儿保温箱</w:t>
            </w:r>
          </w:p>
        </w:tc>
        <w:tc>
          <w:tcPr>
            <w:tcW w:w="1986" w:type="pct"/>
            <w:vAlign w:val="center"/>
          </w:tcPr>
          <w:p>
            <w:pPr>
              <w:jc w:val="center"/>
              <w:rPr>
                <w:rFonts w:hint="default"/>
                <w:bCs/>
                <w:color w:val="FF0000"/>
                <w:szCs w:val="21"/>
                <w:lang w:val="en-US"/>
              </w:rPr>
            </w:pPr>
            <w:r>
              <w:rPr>
                <w:rFonts w:hint="eastAsia" w:ascii="仿宋" w:hAnsi="仿宋" w:eastAsia="仿宋"/>
                <w:color w:val="auto"/>
                <w:sz w:val="24"/>
                <w:szCs w:val="24"/>
                <w:lang w:val="en-US" w:eastAsia="zh-CN"/>
              </w:rPr>
              <w:t>31800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6" w:name="_Hlk72258617"/>
      <w:r>
        <w:rPr>
          <w:rFonts w:hint="eastAsia"/>
          <w:szCs w:val="24"/>
        </w:rPr>
        <w:t>二、</w:t>
      </w:r>
      <w:bookmarkStart w:id="37" w:name="_Hlk72073432"/>
      <w:r>
        <w:rPr>
          <w:rFonts w:hint="eastAsia"/>
          <w:szCs w:val="24"/>
        </w:rPr>
        <w:t>货物</w:t>
      </w:r>
      <w:r>
        <w:rPr>
          <w:rFonts w:hint="eastAsia"/>
          <w:szCs w:val="24"/>
          <w:lang w:val="en-US" w:eastAsia="zh-CN"/>
        </w:rPr>
        <w:t>清单</w:t>
      </w:r>
      <w:r>
        <w:rPr>
          <w:rFonts w:hint="eastAsia"/>
          <w:szCs w:val="24"/>
        </w:rPr>
        <w:t>明细</w:t>
      </w:r>
      <w:bookmarkEnd w:id="37"/>
    </w:p>
    <w:tbl>
      <w:tblPr>
        <w:tblStyle w:val="44"/>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055"/>
        <w:gridCol w:w="825"/>
        <w:gridCol w:w="750"/>
        <w:gridCol w:w="1395"/>
        <w:gridCol w:w="138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6" w:type="pct"/>
            <w:vAlign w:val="center"/>
          </w:tcPr>
          <w:p>
            <w:pPr>
              <w:jc w:val="center"/>
              <w:rPr>
                <w:bCs/>
                <w:szCs w:val="21"/>
              </w:rPr>
            </w:pPr>
            <w:r>
              <w:rPr>
                <w:rFonts w:hint="eastAsia"/>
                <w:bCs/>
                <w:szCs w:val="21"/>
              </w:rPr>
              <w:t>序号</w:t>
            </w:r>
          </w:p>
        </w:tc>
        <w:tc>
          <w:tcPr>
            <w:tcW w:w="1210" w:type="pct"/>
            <w:vAlign w:val="center"/>
          </w:tcPr>
          <w:p>
            <w:pPr>
              <w:jc w:val="center"/>
              <w:rPr>
                <w:bCs/>
                <w:szCs w:val="21"/>
              </w:rPr>
            </w:pPr>
            <w:r>
              <w:rPr>
                <w:rFonts w:hint="eastAsia"/>
                <w:bCs/>
                <w:szCs w:val="21"/>
              </w:rPr>
              <w:t>货物名称（标的名称）</w:t>
            </w:r>
          </w:p>
        </w:tc>
        <w:tc>
          <w:tcPr>
            <w:tcW w:w="486" w:type="pct"/>
            <w:vAlign w:val="center"/>
          </w:tcPr>
          <w:p>
            <w:pPr>
              <w:jc w:val="center"/>
              <w:rPr>
                <w:bCs/>
                <w:szCs w:val="21"/>
              </w:rPr>
            </w:pPr>
            <w:r>
              <w:rPr>
                <w:rFonts w:hint="eastAsia"/>
                <w:bCs/>
                <w:szCs w:val="21"/>
              </w:rPr>
              <w:t>数量</w:t>
            </w:r>
          </w:p>
        </w:tc>
        <w:tc>
          <w:tcPr>
            <w:tcW w:w="441" w:type="pct"/>
            <w:vAlign w:val="center"/>
          </w:tcPr>
          <w:p>
            <w:pPr>
              <w:jc w:val="center"/>
              <w:rPr>
                <w:bCs/>
                <w:szCs w:val="21"/>
              </w:rPr>
            </w:pPr>
            <w:r>
              <w:rPr>
                <w:rFonts w:hint="eastAsia"/>
                <w:bCs/>
                <w:szCs w:val="21"/>
              </w:rPr>
              <w:t>单位</w:t>
            </w:r>
          </w:p>
        </w:tc>
        <w:tc>
          <w:tcPr>
            <w:tcW w:w="821" w:type="pct"/>
            <w:vAlign w:val="center"/>
          </w:tcPr>
          <w:p>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813" w:type="pct"/>
            <w:vAlign w:val="center"/>
          </w:tcPr>
          <w:p>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889" w:type="pct"/>
            <w:vAlign w:val="center"/>
          </w:tcPr>
          <w:p>
            <w:pPr>
              <w:jc w:val="center"/>
              <w:rPr>
                <w:rFonts w:hint="default"/>
                <w:b/>
                <w:bCs/>
                <w:color w:val="FF0000"/>
                <w:szCs w:val="21"/>
                <w:lang w:val="en-US" w:eastAsia="zh-CN"/>
              </w:rPr>
            </w:pPr>
            <w:r>
              <w:rPr>
                <w:rFonts w:hint="eastAsia"/>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6" w:type="pct"/>
            <w:vAlign w:val="center"/>
          </w:tcPr>
          <w:p>
            <w:pPr>
              <w:jc w:val="center"/>
              <w:rPr>
                <w:bCs/>
                <w:szCs w:val="21"/>
              </w:rPr>
            </w:pPr>
            <w:r>
              <w:rPr>
                <w:rFonts w:hint="eastAsia"/>
                <w:bCs/>
                <w:szCs w:val="21"/>
              </w:rPr>
              <w:t>1</w:t>
            </w:r>
          </w:p>
        </w:tc>
        <w:tc>
          <w:tcPr>
            <w:tcW w:w="1210" w:type="pct"/>
            <w:vAlign w:val="center"/>
          </w:tcPr>
          <w:p>
            <w:pPr>
              <w:jc w:val="center"/>
              <w:rPr>
                <w:bCs/>
                <w:szCs w:val="21"/>
              </w:rPr>
            </w:pPr>
            <w:r>
              <w:rPr>
                <w:rFonts w:hint="eastAsia"/>
                <w:bCs/>
                <w:szCs w:val="21"/>
              </w:rPr>
              <w:t>新生儿保温箱</w:t>
            </w:r>
          </w:p>
        </w:tc>
        <w:tc>
          <w:tcPr>
            <w:tcW w:w="486" w:type="pct"/>
            <w:vAlign w:val="center"/>
          </w:tcPr>
          <w:p>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bCs/>
                <w:sz w:val="21"/>
                <w:szCs w:val="21"/>
              </w:rPr>
              <w:t>1</w:t>
            </w:r>
          </w:p>
        </w:tc>
        <w:tc>
          <w:tcPr>
            <w:tcW w:w="441" w:type="pct"/>
            <w:vAlign w:val="center"/>
          </w:tcPr>
          <w:p>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bCs/>
                <w:sz w:val="21"/>
                <w:szCs w:val="21"/>
              </w:rPr>
              <w:t>台</w:t>
            </w:r>
          </w:p>
        </w:tc>
        <w:tc>
          <w:tcPr>
            <w:tcW w:w="821" w:type="pct"/>
            <w:vAlign w:val="center"/>
          </w:tcPr>
          <w:p>
            <w:pPr>
              <w:jc w:val="center"/>
              <w:rPr>
                <w:b/>
                <w:bCs/>
                <w:color w:val="FF0000"/>
                <w:szCs w:val="21"/>
              </w:rPr>
            </w:pPr>
            <w:r>
              <w:rPr>
                <w:rFonts w:hint="eastAsia"/>
                <w:b/>
                <w:bCs/>
                <w:szCs w:val="21"/>
              </w:rPr>
              <w:t>拒绝进口</w:t>
            </w:r>
          </w:p>
        </w:tc>
        <w:tc>
          <w:tcPr>
            <w:tcW w:w="813"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否</w:t>
            </w:r>
          </w:p>
        </w:tc>
        <w:tc>
          <w:tcPr>
            <w:tcW w:w="889"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工业</w:t>
            </w:r>
          </w:p>
        </w:tc>
      </w:tr>
    </w:tbl>
    <w:p>
      <w:pPr>
        <w:ind w:firstLine="422" w:firstLineChars="200"/>
        <w:rPr>
          <w:rFonts w:hint="eastAsia" w:ascii="宋体" w:hAnsi="宋体"/>
          <w:b/>
          <w:color w:val="FF0000"/>
          <w:szCs w:val="21"/>
        </w:rPr>
      </w:pPr>
    </w:p>
    <w:p>
      <w:pPr>
        <w:outlineLvl w:val="0"/>
        <w:rPr>
          <w:rFonts w:hint="eastAsia"/>
        </w:rPr>
      </w:pPr>
      <w:r>
        <w:rPr>
          <w:rFonts w:hint="eastAsia"/>
        </w:rPr>
        <w:t>配置清单（新生儿保温箱单台配置）：</w:t>
      </w:r>
    </w:p>
    <w:p>
      <w:pPr>
        <w:outlineLvl w:val="0"/>
        <w:rPr>
          <w:rFonts w:hint="eastAsia"/>
        </w:rPr>
      </w:pPr>
      <w:r>
        <w:rPr>
          <w:rFonts w:hint="eastAsia"/>
        </w:rPr>
        <w:t>1. 主机 1 台</w:t>
      </w:r>
    </w:p>
    <w:p>
      <w:pPr>
        <w:outlineLvl w:val="0"/>
        <w:rPr>
          <w:rFonts w:hint="eastAsia"/>
        </w:rPr>
      </w:pPr>
      <w:r>
        <w:rPr>
          <w:rFonts w:hint="eastAsia"/>
        </w:rPr>
        <w:t>2. 电子秤 1 台</w:t>
      </w:r>
    </w:p>
    <w:p>
      <w:pPr>
        <w:outlineLvl w:val="0"/>
        <w:rPr>
          <w:rFonts w:hint="eastAsia"/>
        </w:rPr>
      </w:pPr>
      <w:r>
        <w:rPr>
          <w:rFonts w:hint="eastAsia"/>
        </w:rPr>
        <w:t>3. 国标电源线 1 条</w:t>
      </w:r>
    </w:p>
    <w:p>
      <w:pPr>
        <w:outlineLvl w:val="0"/>
        <w:rPr>
          <w:rFonts w:hint="eastAsia"/>
        </w:rPr>
      </w:pPr>
      <w:r>
        <w:rPr>
          <w:rFonts w:hint="eastAsia"/>
        </w:rPr>
        <w:t>4. 体温探头/体表/儿童/新生儿 1 个</w:t>
      </w:r>
    </w:p>
    <w:p>
      <w:pPr>
        <w:outlineLvl w:val="0"/>
        <w:rPr>
          <w:rFonts w:hint="eastAsia"/>
        </w:rPr>
      </w:pPr>
      <w:r>
        <w:rPr>
          <w:rFonts w:hint="eastAsia"/>
        </w:rPr>
        <w:t>5. 过滤棉 5 个</w:t>
      </w:r>
    </w:p>
    <w:p>
      <w:pPr>
        <w:outlineLvl w:val="0"/>
        <w:rPr>
          <w:rFonts w:hint="eastAsia"/>
        </w:rPr>
      </w:pPr>
      <w:r>
        <w:rPr>
          <w:rFonts w:hint="eastAsia"/>
        </w:rPr>
        <w:t>6. 说明书 1 份</w:t>
      </w:r>
    </w:p>
    <w:p>
      <w:pPr>
        <w:ind w:firstLine="0" w:firstLineChars="0"/>
        <w:rPr>
          <w:rFonts w:hint="eastAsia" w:ascii="仿宋" w:hAnsi="仿宋" w:eastAsia="仿宋"/>
          <w:b/>
          <w:color w:val="auto"/>
          <w:sz w:val="24"/>
          <w:szCs w:val="24"/>
        </w:rPr>
      </w:pPr>
      <w:r>
        <w:rPr>
          <w:rFonts w:hint="eastAsia"/>
          <w:lang w:val="en-US" w:eastAsia="zh-CN"/>
        </w:rPr>
        <w:t>7. 电子秤1个</w:t>
      </w:r>
    </w:p>
    <w:p>
      <w:pPr>
        <w:ind w:firstLine="422" w:firstLineChars="200"/>
        <w:rPr>
          <w:rFonts w:hint="eastAsia" w:ascii="宋体" w:hAnsi="宋体"/>
          <w:b/>
          <w:color w:val="FF0000"/>
          <w:szCs w:val="21"/>
        </w:rPr>
      </w:pPr>
    </w:p>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u w:val="single"/>
        </w:rPr>
        <w:t xml:space="preserve">  新生儿保温箱  </w:t>
      </w:r>
      <w:r>
        <w:rPr>
          <w:rFonts w:hint="eastAsia" w:ascii="宋体" w:hAnsi="宋体"/>
          <w:b/>
          <w:color w:val="FF0000"/>
          <w:szCs w:val="21"/>
        </w:rPr>
        <w:t>。</w:t>
      </w:r>
    </w:p>
    <w:bookmarkEnd w:id="36"/>
    <w:p>
      <w:pPr>
        <w:rPr>
          <w:rFonts w:ascii="宋体" w:hAnsi="宋体"/>
          <w:b/>
          <w:color w:val="FF0000"/>
          <w:szCs w:val="21"/>
        </w:rPr>
      </w:pPr>
    </w:p>
    <w:p>
      <w:pPr>
        <w:pStyle w:val="8"/>
      </w:pPr>
    </w:p>
    <w:p>
      <w:pPr>
        <w:pStyle w:val="5"/>
        <w:spacing w:before="120" w:beforeLines="50" w:after="120" w:afterLines="50"/>
        <w:rPr>
          <w:sz w:val="28"/>
          <w:szCs w:val="28"/>
        </w:rPr>
      </w:pPr>
      <w:bookmarkStart w:id="38" w:name="_Toc128884461"/>
      <w:r>
        <w:rPr>
          <w:rFonts w:hint="eastAsia"/>
          <w:sz w:val="28"/>
          <w:szCs w:val="28"/>
        </w:rPr>
        <w:t>三、实质性条款</w:t>
      </w:r>
    </w:p>
    <w:tbl>
      <w:tblPr>
        <w:tblStyle w:val="44"/>
        <w:tblW w:w="828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7290" w:type="dxa"/>
            <w:vAlign w:val="center"/>
          </w:tcPr>
          <w:p>
            <w:pPr>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290"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kern w:val="0"/>
                <w:sz w:val="21"/>
                <w:szCs w:val="21"/>
                <w:lang w:val="en-US" w:eastAsia="zh-CN" w:bidi="ar"/>
              </w:rPr>
              <w:t>25</w:t>
            </w:r>
            <w:r>
              <w:rPr>
                <w:rFonts w:hint="eastAsia" w:ascii="宋体" w:hAnsi="宋体" w:eastAsia="宋体" w:cs="宋体"/>
                <w:b w:val="0"/>
                <w:bCs w:val="0"/>
                <w:color w:val="auto"/>
                <w:kern w:val="0"/>
                <w:sz w:val="21"/>
                <w:szCs w:val="21"/>
                <w:lang w:bidi="ar"/>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adjustRightInd w:val="0"/>
              <w:snapToGrid w:val="0"/>
              <w:spacing w:line="240" w:lineRule="auto"/>
              <w:jc w:val="center"/>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2</w:t>
            </w:r>
          </w:p>
        </w:tc>
        <w:tc>
          <w:tcPr>
            <w:tcW w:w="7290"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t>1.1</w:t>
            </w:r>
            <w:r>
              <w:rPr>
                <w:rFonts w:hint="eastAsia" w:ascii="宋体" w:hAnsi="宋体" w:cs="宋体"/>
                <w:b w:val="0"/>
                <w:bCs w:val="0"/>
                <w:color w:val="auto"/>
                <w:kern w:val="0"/>
                <w:sz w:val="21"/>
                <w:szCs w:val="21"/>
                <w:lang w:eastAsia="zh-CN"/>
              </w:rPr>
              <w:t>提供主机及配件免费保修期5年，保修期以验收合格，双方代表签署“验收报告”之日起计算。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7290"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★1.1投标人在签订合同之日起30 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adjustRightInd w:val="0"/>
              <w:snapToGrid w:val="0"/>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7290"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lang w:val="en-US" w:eastAsia="zh-CN"/>
              </w:rPr>
              <w:t>5.2</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adjustRightInd w:val="0"/>
              <w:snapToGrid w:val="0"/>
              <w:spacing w:line="240" w:lineRule="auto"/>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290" w:type="dxa"/>
            <w:vAlign w:val="center"/>
          </w:tcPr>
          <w:p>
            <w:pPr>
              <w:pStyle w:val="54"/>
              <w:rPr>
                <w:rFonts w:hint="eastAsia" w:ascii="宋体" w:hAnsi="宋体" w:eastAsia="宋体" w:cs="宋体"/>
                <w:b w:val="0"/>
                <w:bCs w:val="0"/>
                <w:color w:val="auto"/>
                <w:spacing w:val="9"/>
                <w:kern w:val="0"/>
                <w:sz w:val="21"/>
                <w:szCs w:val="21"/>
              </w:rPr>
            </w:pPr>
            <w:r>
              <w:rPr>
                <w:rFonts w:ascii="宋体" w:hAnsi="宋体" w:eastAsia="宋体" w:cs="宋体"/>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r>
        <w:rPr>
          <w:rFonts w:hint="eastAsia"/>
          <w:b/>
        </w:rPr>
        <w:t>注：上表所列内容为不可负偏离条款</w:t>
      </w:r>
      <w:bookmarkEnd w:id="38"/>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39"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”或“＞</w:t>
      </w:r>
      <w:r>
        <w:rPr>
          <w:rFonts w:hint="eastAsia" w:cs="Times New Roman"/>
          <w:kern w:val="2"/>
          <w:sz w:val="21"/>
          <w:szCs w:val="20"/>
          <w:lang w:val="en-US" w:eastAsia="zh-CN" w:bidi="ar-SA"/>
        </w:rPr>
        <w:t>7</w:t>
      </w:r>
      <w:r>
        <w:rPr>
          <w:rFonts w:hint="eastAsia" w:ascii="Times New Roman" w:hAnsi="Times New Roman" w:eastAsia="宋体" w:cs="Times New Roman"/>
          <w:kern w:val="2"/>
          <w:sz w:val="21"/>
          <w:szCs w:val="20"/>
          <w:lang w:val="en-US" w:eastAsia="zh-CN" w:bidi="ar-SA"/>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39"/>
    <w:tbl>
      <w:tblPr>
        <w:tblStyle w:val="44"/>
        <w:tblW w:w="8265"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89"/>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0"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bookmarkStart w:id="40" w:name="_Hlk70236148"/>
            <w:r>
              <w:rPr>
                <w:rFonts w:hint="eastAsia" w:ascii="宋体" w:hAnsi="宋体" w:eastAsia="宋体" w:cs="宋体"/>
                <w:color w:val="000000" w:themeColor="text1"/>
                <w:sz w:val="21"/>
                <w:szCs w:val="21"/>
                <w14:textFill>
                  <w14:solidFill>
                    <w14:schemeClr w14:val="tx1"/>
                  </w14:solidFill>
                </w14:textFill>
              </w:rPr>
              <w:t>序号</w:t>
            </w:r>
          </w:p>
        </w:tc>
        <w:tc>
          <w:tcPr>
            <w:tcW w:w="1389" w:type="dxa"/>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5876"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89" w:type="dxa"/>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婴儿培养箱设备</w:t>
            </w: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 功能需求：为低体重婴儿、病危儿、早产儿提供温湿度适宜的培养治疗环境。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2. 温度控制：具有箱温控制和肤温控制功能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3. 箱温控制范围：20℃～37℃，37.1℃～39℃，肤温控制范围：34℃～37℃，37.1℃～38.0℃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4. 箱温和肤温测量范围：0℃～70℃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5. 肤温测量精度：±0.1℃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6. 升温时间≤25min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7. 控制精度：平均培养箱温度与控制温度之差≤0.5℃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8. 体温监测：支持升级双体温探头，可同时监测两个不同部位的皮肤温度，显示两个体温探头的温差值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9. 支持腔内体温探头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10. 具有自动风帘功能：确保箱内暖空气在箱门开放状态下不易散出，维持暖箱内微环境的热量平衡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11. 湿度控制范围：30%～99%，控制精度：±5%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12. 湿度测量范围：0%～100%，测量精度：±5%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13. 湿度报警：水箱水位过低、水箱不在位具有视觉与听觉的报警功能。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14. 可选配新生儿呼吸暂停监测与呼吸暂停唤醒功能。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15. 可选配氧浓度控制功能，氧浓度控制范围：21%～65%，氧浓度测量范围：0-100%，精度：±2%。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16. 彩色液晶触摸显示屏≥8英寸，屏幕的高度和角度可灵活调节。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17. 支持五笔、拼音输入法，还具有中文手写输入功能。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18. 数据回顾：≥150小时趋势图/趋势表回顾，方便临床跟踪/回顾。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19. 床垫推拉功能：床垫可前后推拉。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20. 床垫倾斜功能：支持婴儿床倾斜角度电动无级调节，床面倾斜无需打开箱门，床面最大倾斜角度不小于12°。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en-US" w:eastAsia="zh-CN"/>
              </w:rPr>
              <w:t>21</w:t>
            </w:r>
            <w:r>
              <w:rPr>
                <w:rFonts w:hint="eastAsia" w:ascii="宋体" w:hAnsi="宋体" w:eastAsia="宋体" w:cs="宋体"/>
                <w:sz w:val="21"/>
                <w:szCs w:val="21"/>
              </w:rPr>
              <w:t>. 箱内噪音水平≤45dB。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 婴儿床下可放置X光拍片盒，无需移动新生儿，降低感染风险。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r>
              <w:rPr>
                <w:rFonts w:hint="eastAsia" w:ascii="宋体" w:hAnsi="宋体" w:eastAsia="宋体" w:cs="宋体"/>
                <w:sz w:val="21"/>
                <w:szCs w:val="21"/>
              </w:rPr>
              <w:t>. 具有静音阻尼门，箱门内置静音阻尼装置,无需手扶,门体缓缓下落。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 产品使用寿命不低于10年。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00"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389"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5876" w:type="dxa"/>
          </w:tcPr>
          <w:p>
            <w:pPr>
              <w:rPr>
                <w:rFonts w:hint="eastAsia" w:ascii="宋体" w:hAnsi="宋体" w:eastAsia="宋体" w:cs="宋体"/>
                <w:sz w:val="21"/>
                <w:szCs w:val="21"/>
                <w:lang w:val="en-US" w:eastAsia="zh-CN"/>
              </w:rPr>
            </w:pPr>
            <w:r>
              <w:rPr>
                <w:rFonts w:hint="eastAsia" w:ascii="宋体" w:hAnsi="宋体" w:eastAsia="宋体" w:cs="宋体"/>
                <w:b/>
                <w:bCs/>
                <w:color w:val="FF0000"/>
                <w:spacing w:val="9"/>
                <w:kern w:val="0"/>
                <w:sz w:val="21"/>
                <w:szCs w:val="21"/>
              </w:rPr>
              <w:t>★</w:t>
            </w:r>
            <w:r>
              <w:rPr>
                <w:rFonts w:hint="eastAsia" w:ascii="宋体" w:hAnsi="宋体" w:eastAsia="宋体" w:cs="宋体"/>
                <w:color w:val="000000"/>
                <w:kern w:val="0"/>
                <w:sz w:val="21"/>
                <w:szCs w:val="21"/>
                <w:lang w:val="en-US" w:eastAsia="zh-CN" w:bidi="ar"/>
              </w:rPr>
              <w:t>25</w:t>
            </w:r>
            <w:r>
              <w:rPr>
                <w:rFonts w:hint="eastAsia" w:ascii="宋体" w:hAnsi="宋体" w:eastAsia="宋体" w:cs="宋体"/>
                <w:color w:val="000000"/>
                <w:kern w:val="0"/>
                <w:sz w:val="21"/>
                <w:szCs w:val="21"/>
                <w:lang w:bidi="ar"/>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bookmarkEnd w:id="40"/>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pPr>
        <w:ind w:firstLine="422" w:firstLineChars="200"/>
        <w:rPr>
          <w:b/>
          <w:szCs w:val="21"/>
        </w:rPr>
      </w:pPr>
      <w:r>
        <w:rPr>
          <w:b/>
          <w:szCs w:val="21"/>
        </w:rPr>
        <w:t>2</w:t>
      </w:r>
      <w:r>
        <w:rPr>
          <w:rFonts w:hint="eastAsia"/>
          <w:b/>
          <w:szCs w:val="21"/>
        </w:rPr>
        <w:t>、带★号条款为不可偏离条款，不作为评分准则中的评分内容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”指标项为重要参数，负偏离时依相关评分准则内容作重点扣分处理。</w:t>
      </w:r>
    </w:p>
    <w:tbl>
      <w:tblPr>
        <w:tblStyle w:val="478"/>
        <w:tblW w:w="500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8"/>
        <w:gridCol w:w="1693"/>
        <w:gridCol w:w="58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6"/>
                <w:kern w:val="0"/>
                <w:sz w:val="21"/>
                <w:szCs w:val="21"/>
              </w:rPr>
              <w:t>序号</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14"/>
                <w:kern w:val="0"/>
                <w:sz w:val="21"/>
                <w:szCs w:val="21"/>
              </w:rPr>
              <w:t>目录</w:t>
            </w:r>
          </w:p>
        </w:tc>
        <w:tc>
          <w:tcPr>
            <w:tcW w:w="34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position w:val="-1"/>
                <w:sz w:val="21"/>
                <w:szCs w:val="21"/>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9"/>
                <w:kern w:val="0"/>
                <w:sz w:val="21"/>
                <w:szCs w:val="21"/>
              </w:rPr>
              <w:t>维修及维护服务</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b/>
                <w:bCs/>
                <w:color w:val="FF0000"/>
                <w:spacing w:val="9"/>
                <w:kern w:val="0"/>
                <w:sz w:val="21"/>
                <w:szCs w:val="21"/>
              </w:rPr>
              <w:t>★1.1提供主机及配件免费保修期5年，保修期以验收合格，双方代表签署“验收报告”之日起计算。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1.2由生产厂家提供售后服务，4 小时内响应，24小时</w:t>
            </w:r>
            <w:r>
              <w:rPr>
                <w:rFonts w:hint="eastAsia" w:asciiTheme="minorEastAsia" w:hAnsiTheme="minorEastAsia" w:eastAsiaTheme="minorEastAsia" w:cstheme="minorEastAsia"/>
                <w:spacing w:val="9"/>
                <w:kern w:val="0"/>
                <w:sz w:val="21"/>
                <w:szCs w:val="21"/>
                <w:lang w:val="en-US" w:eastAsia="zh-CN"/>
              </w:rPr>
              <w:t>内</w:t>
            </w:r>
            <w:r>
              <w:rPr>
                <w:rFonts w:hint="eastAsia" w:asciiTheme="minorEastAsia" w:hAnsiTheme="minorEastAsia" w:eastAsiaTheme="minorEastAsia" w:cstheme="minorEastAsia"/>
                <w:spacing w:val="9"/>
                <w:kern w:val="0"/>
                <w:sz w:val="21"/>
                <w:szCs w:val="21"/>
              </w:rPr>
              <w:t>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1.5保修期内，投标人负责提供及开放数据接口，免费提供该设备与医院PACS、HIS、叫号系统等的数据接口服务，次数不限，涉及与第三方公司的接口费用，由投标人负责。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9"/>
                <w:kern w:val="0"/>
                <w:sz w:val="21"/>
                <w:szCs w:val="21"/>
              </w:rPr>
              <w:t>维修服务和优惠</w:t>
            </w:r>
            <w:r>
              <w:rPr>
                <w:rFonts w:hint="eastAsia" w:asciiTheme="minorEastAsia" w:hAnsiTheme="minorEastAsia" w:eastAsiaTheme="minorEastAsia" w:cstheme="minorEastAsia"/>
                <w:spacing w:val="6"/>
                <w:kern w:val="0"/>
                <w:sz w:val="21"/>
                <w:szCs w:val="21"/>
              </w:rPr>
              <w:t>价格</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1.1由生产厂家提供售后服务，  4 小时内响应，  24  小时</w:t>
            </w:r>
            <w:r>
              <w:rPr>
                <w:rFonts w:hint="eastAsia" w:asciiTheme="minorEastAsia" w:hAnsiTheme="minorEastAsia" w:eastAsiaTheme="minorEastAsia" w:cstheme="minorEastAsia"/>
                <w:spacing w:val="9"/>
                <w:kern w:val="0"/>
                <w:sz w:val="21"/>
                <w:szCs w:val="21"/>
                <w:lang w:val="en-US" w:eastAsia="zh-CN"/>
              </w:rPr>
              <w:t>内</w:t>
            </w:r>
            <w:r>
              <w:rPr>
                <w:rFonts w:hint="eastAsia" w:asciiTheme="minorEastAsia" w:hAnsiTheme="minorEastAsia" w:eastAsiaTheme="minorEastAsia" w:cstheme="minorEastAsia"/>
                <w:spacing w:val="9"/>
                <w:kern w:val="0"/>
                <w:sz w:val="21"/>
                <w:szCs w:val="21"/>
              </w:rPr>
              <w:t>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Theme="minorEastAsia" w:hAnsiTheme="minorEastAsia" w:eastAsiaTheme="minorEastAsia" w:cstheme="minor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1.2终身维修，保修期满后，生产厂家对用户进行的售后服务只收更换部件的成本费，提供维修零配件、消耗品优惠价格。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Theme="minorEastAsia" w:hAnsiTheme="minorEastAsia" w:eastAsiaTheme="minorEastAsia" w:cstheme="minor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1.3采购人可与投标人就优惠价进行谈判，但优惠价不得高于投标人在投标文件中承诺的消耗品、零配件报价。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Theme="minorEastAsia" w:hAnsiTheme="minorEastAsia" w:eastAsiaTheme="minorEastAsia" w:cstheme="minor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textAlignment w:val="auto"/>
              <w:rPr>
                <w:rFonts w:hint="eastAsia" w:asciiTheme="minorEastAsia" w:hAnsiTheme="minorEastAsia" w:eastAsiaTheme="minorEastAsia" w:cstheme="minorEastAsia"/>
                <w:spacing w:val="9"/>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8"/>
                <w:kern w:val="0"/>
                <w:sz w:val="21"/>
                <w:szCs w:val="21"/>
              </w:rPr>
              <w:t>交货要求</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eastAsiaTheme="minorEastAsia" w:cstheme="minorEastAsia"/>
                <w:b w:val="0"/>
                <w:bCs w:val="0"/>
                <w:spacing w:val="8"/>
                <w:kern w:val="0"/>
                <w:sz w:val="21"/>
                <w:szCs w:val="21"/>
              </w:rPr>
              <w:t>1.1投标人在签订合同之日起</w:t>
            </w:r>
            <w:r>
              <w:rPr>
                <w:rFonts w:hint="eastAsia" w:asciiTheme="minorEastAsia" w:hAnsiTheme="minorEastAsia" w:cstheme="minorEastAsia"/>
                <w:b w:val="0"/>
                <w:bCs w:val="0"/>
                <w:spacing w:val="8"/>
                <w:kern w:val="0"/>
                <w:sz w:val="21"/>
                <w:szCs w:val="21"/>
                <w:lang w:val="en-US" w:eastAsia="zh-CN"/>
              </w:rPr>
              <w:t>30</w:t>
            </w:r>
            <w:r>
              <w:rPr>
                <w:rFonts w:hint="eastAsia" w:asciiTheme="minorEastAsia" w:hAnsiTheme="minorEastAsia" w:eastAsiaTheme="minorEastAsia" w:cstheme="minorEastAsia"/>
                <w:b w:val="0"/>
                <w:bCs w:val="0"/>
                <w:spacing w:val="8"/>
                <w:kern w:val="0"/>
                <w:sz w:val="21"/>
                <w:szCs w:val="21"/>
              </w:rPr>
              <w:t xml:space="preserve"> 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1.2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1.3提供的货物须为全新、经检验合格的产品。产品如需要计量检定的应提供相关计量检定部门出具的合法检定报告。其中，进口设备必须提供相关进口资料。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3"/>
                <w:kern w:val="0"/>
                <w:sz w:val="21"/>
                <w:szCs w:val="21"/>
              </w:rPr>
              <w:t>运输、安装和验收</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2.1投标人负责将货物安全无损运抵采购人指定地点，并承担设备的包装、运输、保险、装卸、安装调试、培训、商检及计量检测、关税、增值税和进口代理等费用。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2.2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2.4供货时须确保产品外观清洁，标记编号以及盘面显示等字体清晰、明确，能够准确无误地表示产品的型号、规格、制造商等，并保证所提供的产品的可追溯性。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2.5投标人负责货物的现场安装和调试，提供货物安装、调试和维修所需的专用工具和辅助材料。投标人应在货物运至指定地点后一周内开始安装调试，并在  15  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3"/>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2.6由投标人代表、厂家代表和采购人组成验收小组对产品进行验收。验收标准按照产品技术参数要求和合同约定执行。经检验设备正常运作后签署性能验收报告，产品保修期自性能验收合格之日起算。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3</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spacing w:val="3"/>
                <w:kern w:val="0"/>
                <w:sz w:val="21"/>
                <w:szCs w:val="21"/>
                <w:highlight w:val="none"/>
                <w:lang w:val="en-US" w:eastAsia="zh-CN"/>
              </w:rPr>
            </w:pPr>
            <w:r>
              <w:rPr>
                <w:rFonts w:hint="eastAsia" w:asciiTheme="minorEastAsia" w:hAnsiTheme="minorEastAsia" w:cstheme="minorEastAsia"/>
                <w:spacing w:val="3"/>
                <w:kern w:val="0"/>
                <w:sz w:val="21"/>
                <w:szCs w:val="21"/>
                <w:highlight w:val="none"/>
                <w:lang w:val="en-US" w:eastAsia="zh-CN"/>
              </w:rPr>
              <w:t>付款方式</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合同签订后，</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提供全额发票，</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在收到发票且财政资金到位后，向</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将货物运至指定地点、完成安装调试、设备运行合格并通过验收后，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2.1若财政资金足额到位且设备验收合格，</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2.2若财政资金不足以支付尾款，</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lang w:val="en-US" w:eastAsia="zh-CN" w:bidi="ar-SA"/>
              </w:rPr>
            </w:pPr>
            <w:r>
              <w:rPr>
                <w:rFonts w:hint="eastAsia" w:ascii="宋体" w:hAnsi="宋体" w:cs="宋体"/>
                <w:spacing w:val="8"/>
                <w:kern w:val="0"/>
                <w:szCs w:val="21"/>
                <w:highlight w:val="none"/>
              </w:rPr>
              <w:t>2.3若</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4</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cstheme="minorEastAsia"/>
                <w:spacing w:val="3"/>
                <w:kern w:val="0"/>
                <w:sz w:val="21"/>
                <w:szCs w:val="21"/>
                <w:highlight w:val="none"/>
                <w:lang w:val="en-US" w:eastAsia="zh-CN"/>
              </w:rPr>
            </w:pPr>
            <w:r>
              <w:rPr>
                <w:rFonts w:hint="eastAsia" w:asciiTheme="minorEastAsia" w:hAnsiTheme="minorEastAsia" w:cstheme="minorEastAsia"/>
                <w:spacing w:val="3"/>
                <w:kern w:val="0"/>
                <w:sz w:val="21"/>
                <w:szCs w:val="21"/>
                <w:highlight w:val="none"/>
                <w:lang w:val="en-US" w:eastAsia="zh-CN"/>
              </w:rPr>
              <w:t>履约保证金</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1.履约保证金提交要求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1.1</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需向</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提供合同总额5%的履约保证金，由供应商自主选择以支票、汇票、本票、保函等非现金方式提交。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1.2提交时间：合同签订后10日内提交。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1.3如涉及相关费用的，均由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宋体" w:hAnsi="宋体" w:cs="宋体"/>
                <w:spacing w:val="8"/>
                <w:kern w:val="0"/>
                <w:szCs w:val="21"/>
                <w:highlight w:val="none"/>
              </w:rPr>
            </w:pPr>
            <w:r>
              <w:rPr>
                <w:rFonts w:hint="eastAsia" w:ascii="宋体" w:hAnsi="宋体" w:cs="宋体"/>
                <w:spacing w:val="8"/>
                <w:kern w:val="0"/>
                <w:szCs w:val="21"/>
                <w:highlight w:val="none"/>
              </w:rPr>
              <w:t>2.保证金退还：</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完成供货且经过</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验收合格后，</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在30日内不计息退还。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宋体" w:hAnsi="宋体" w:eastAsia="宋体" w:cs="宋体"/>
                <w:spacing w:val="8"/>
                <w:kern w:val="0"/>
                <w:sz w:val="21"/>
                <w:szCs w:val="21"/>
                <w:highlight w:val="none"/>
                <w:lang w:val="en-US" w:eastAsia="zh-CN" w:bidi="ar-SA"/>
              </w:rPr>
            </w:pPr>
            <w:r>
              <w:rPr>
                <w:rFonts w:hint="eastAsia" w:ascii="宋体" w:hAnsi="宋体" w:cs="宋体"/>
                <w:spacing w:val="8"/>
                <w:kern w:val="0"/>
                <w:szCs w:val="21"/>
                <w:highlight w:val="none"/>
              </w:rPr>
              <w:t>3.违约处理：如</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发生违约行为，如设备出现质量问题，或</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未按</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要求维修或替换，则</w:t>
            </w:r>
            <w:r>
              <w:rPr>
                <w:rFonts w:hint="eastAsia" w:ascii="宋体" w:hAnsi="宋体" w:cs="宋体"/>
                <w:spacing w:val="8"/>
                <w:kern w:val="0"/>
                <w:szCs w:val="21"/>
                <w:highlight w:val="none"/>
                <w:lang w:eastAsia="zh-CN"/>
              </w:rPr>
              <w:t>采购人</w:t>
            </w:r>
            <w:r>
              <w:rPr>
                <w:rFonts w:hint="eastAsia" w:ascii="宋体" w:hAnsi="宋体" w:cs="宋体"/>
                <w:spacing w:val="8"/>
                <w:kern w:val="0"/>
                <w:szCs w:val="21"/>
                <w:highlight w:val="none"/>
              </w:rPr>
              <w:t>有权扣除已收取的履约保证金，无需经过</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同意，由此造成的一切损失由</w:t>
            </w:r>
            <w:r>
              <w:rPr>
                <w:rFonts w:hint="eastAsia" w:ascii="宋体" w:hAnsi="宋体" w:cs="宋体"/>
                <w:spacing w:val="8"/>
                <w:kern w:val="0"/>
                <w:szCs w:val="21"/>
                <w:highlight w:val="none"/>
                <w:lang w:eastAsia="zh-CN"/>
              </w:rPr>
              <w:t>中标供应商</w:t>
            </w:r>
            <w:r>
              <w:rPr>
                <w:rFonts w:hint="eastAsia" w:ascii="宋体" w:hAnsi="宋体" w:cs="宋体"/>
                <w:spacing w:val="8"/>
                <w:kern w:val="0"/>
                <w:szCs w:val="21"/>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48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5</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5"/>
                <w:kern w:val="0"/>
                <w:sz w:val="21"/>
                <w:szCs w:val="21"/>
              </w:rPr>
              <w:t>培训</w:t>
            </w:r>
          </w:p>
        </w:tc>
        <w:tc>
          <w:tcPr>
            <w:tcW w:w="34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3.1中标人应派专业技术人员免费对采购单位制定人员进行定期培训及指导，直至其完全掌握设备的基本故障处理技术。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6</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7"/>
                <w:kern w:val="0"/>
                <w:sz w:val="21"/>
                <w:szCs w:val="21"/>
              </w:rPr>
              <w:t>知识产权</w:t>
            </w: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485"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34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4.2采购人购买产品后，有权对该产品与其他设备进行配套、整合或适当改进，而免受侵犯专利权的起诉。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5"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6</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7"/>
                <w:kern w:val="0"/>
                <w:sz w:val="21"/>
                <w:szCs w:val="21"/>
              </w:rPr>
              <w:t>其他</w:t>
            </w:r>
          </w:p>
        </w:tc>
        <w:tc>
          <w:tcPr>
            <w:tcW w:w="34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5.1投标人应按其投标文件中的承诺，进行其他售后服务工作。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5"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3498"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Theme="minorEastAsia" w:hAnsiTheme="minorEastAsia" w:eastAsiaTheme="minorEastAsia" w:cstheme="minorEastAsia"/>
                <w:spacing w:val="8"/>
                <w:kern w:val="0"/>
                <w:sz w:val="21"/>
                <w:szCs w:val="21"/>
                <w:lang w:val="en-US" w:eastAsia="zh-CN"/>
              </w:rPr>
            </w:pPr>
            <w:r>
              <w:rPr>
                <w:rFonts w:hint="eastAsia" w:asciiTheme="minorEastAsia" w:hAnsiTheme="minorEastAsia" w:eastAsiaTheme="minorEastAsia" w:cstheme="minorEastAsia"/>
                <w:b w:val="0"/>
                <w:bCs w:val="0"/>
                <w:spacing w:val="8"/>
                <w:kern w:val="0"/>
                <w:sz w:val="21"/>
                <w:szCs w:val="21"/>
              </w:rPr>
              <w:t>★</w:t>
            </w:r>
            <w:r>
              <w:rPr>
                <w:rFonts w:hint="eastAsia" w:asciiTheme="minorEastAsia" w:hAnsiTheme="minorEastAsia" w:eastAsiaTheme="minorEastAsia" w:cstheme="minorEastAsia"/>
                <w:b w:val="0"/>
                <w:bCs w:val="0"/>
                <w:spacing w:val="8"/>
                <w:kern w:val="0"/>
                <w:sz w:val="21"/>
                <w:szCs w:val="21"/>
                <w:lang w:val="en-US" w:eastAsia="zh-CN"/>
              </w:rPr>
              <w:t>5.2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485"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016" w:type="pct"/>
            <w:vMerge w:val="continue"/>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3498"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Theme="minorEastAsia" w:hAnsiTheme="minorEastAsia" w:eastAsiaTheme="minorEastAsia" w:cstheme="minorEastAsia"/>
                <w:b/>
                <w:bCs/>
                <w:color w:val="FF0000"/>
                <w:spacing w:val="9"/>
                <w:kern w:val="0"/>
                <w:sz w:val="21"/>
                <w:szCs w:val="21"/>
              </w:rPr>
            </w:pPr>
            <w:r>
              <w:rPr>
                <w:rFonts w:ascii="宋体" w:hAnsi="宋体" w:eastAsia="宋体" w:cs="宋体"/>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1" w:name="_Hlk72257253"/>
      <w:r>
        <w:rPr>
          <w:rFonts w:hint="eastAsia"/>
        </w:rPr>
        <w:t>主要包括以下内容：</w:t>
      </w:r>
    </w:p>
    <w:p>
      <w:pPr>
        <w:ind w:left="718" w:leftChars="342" w:firstLine="1417" w:firstLineChars="675"/>
        <w:rPr>
          <w:szCs w:val="21"/>
        </w:rPr>
      </w:pPr>
      <w:r>
        <w:rPr>
          <w:rFonts w:hint="eastAsia"/>
          <w:szCs w:val="21"/>
        </w:rPr>
        <w:t>（1）</w:t>
      </w:r>
      <w:bookmarkStart w:id="42" w:name="_Hlk72070784"/>
      <w:r>
        <w:rPr>
          <w:rFonts w:hint="eastAsia"/>
          <w:szCs w:val="21"/>
        </w:rPr>
        <w:t>投标函</w:t>
      </w:r>
      <w:bookmarkEnd w:id="42"/>
    </w:p>
    <w:p>
      <w:pPr>
        <w:ind w:left="718" w:leftChars="342" w:firstLine="1417" w:firstLineChars="675"/>
        <w:rPr>
          <w:szCs w:val="21"/>
        </w:rPr>
      </w:pPr>
      <w:r>
        <w:rPr>
          <w:rFonts w:hint="eastAsia"/>
          <w:szCs w:val="21"/>
        </w:rPr>
        <w:t>（2）</w:t>
      </w:r>
      <w:bookmarkStart w:id="43" w:name="_Hlk72062521"/>
      <w:r>
        <w:rPr>
          <w:rFonts w:hint="eastAsia"/>
          <w:szCs w:val="21"/>
        </w:rPr>
        <w:t>采购投标及履约承诺函</w:t>
      </w:r>
      <w:bookmarkEnd w:id="43"/>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4" w:name="_Hlk72257201"/>
      <w:r>
        <w:rPr>
          <w:rFonts w:hint="eastAsia"/>
          <w:szCs w:val="21"/>
        </w:rPr>
        <w:t>（</w:t>
      </w:r>
      <w:r>
        <w:rPr>
          <w:szCs w:val="21"/>
        </w:rPr>
        <w:t>4</w:t>
      </w:r>
      <w:r>
        <w:rPr>
          <w:rFonts w:hint="eastAsia"/>
          <w:szCs w:val="21"/>
        </w:rPr>
        <w:t>）项目详细报价</w:t>
      </w:r>
    </w:p>
    <w:bookmarkEnd w:id="44"/>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w:t>
      </w:r>
      <w:bookmarkStart w:id="45" w:name="OLE_LINK2"/>
      <w:r>
        <w:rPr>
          <w:rFonts w:hint="eastAsia"/>
          <w:szCs w:val="21"/>
        </w:rPr>
        <w:t>项目实施方案</w:t>
      </w:r>
      <w:bookmarkEnd w:id="45"/>
    </w:p>
    <w:p>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w:t>
      </w:r>
      <w:bookmarkStart w:id="46" w:name="OLE_LINK3"/>
      <w:r>
        <w:rPr>
          <w:rFonts w:hint="eastAsia"/>
          <w:szCs w:val="21"/>
        </w:rPr>
        <w:t>免费保修期时长</w:t>
      </w:r>
      <w:bookmarkEnd w:id="46"/>
    </w:p>
    <w:p>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）同类业绩</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w:t>
      </w:r>
      <w:bookmarkStart w:id="47" w:name="OLE_LINK4"/>
      <w:r>
        <w:rPr>
          <w:rFonts w:hint="eastAsia"/>
          <w:szCs w:val="21"/>
        </w:rPr>
        <w:t>投标人认为需要加以说明的其他内容</w:t>
      </w:r>
      <w:bookmarkEnd w:id="47"/>
    </w:p>
    <w:p>
      <w:pPr>
        <w:pStyle w:val="8"/>
      </w:pPr>
    </w:p>
    <w:bookmarkEnd w:id="41"/>
    <w:p>
      <w:pPr>
        <w:ind w:left="718" w:leftChars="342" w:firstLine="1417" w:firstLineChars="675"/>
        <w:rPr>
          <w:szCs w:val="21"/>
        </w:rPr>
      </w:pPr>
    </w:p>
    <w:p>
      <w:pPr>
        <w:ind w:firstLine="426" w:firstLineChars="202"/>
        <w:rPr>
          <w:rFonts w:ascii="宋体" w:hAnsi="宋体"/>
          <w:b/>
          <w:szCs w:val="21"/>
        </w:rPr>
      </w:pPr>
      <w:bookmarkStart w:id="48"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49" w:name="_Hlk72263559"/>
      <w:r>
        <w:rPr>
          <w:rFonts w:hint="eastAsia" w:ascii="宋体" w:hAnsi="宋体"/>
          <w:b/>
          <w:szCs w:val="21"/>
        </w:rPr>
        <w:t>2.关于填写“开标一览表”的说明：“开标一览表”中除“投标总价”外，其他信息不作评审依据。</w:t>
      </w:r>
      <w:bookmarkEnd w:id="48"/>
      <w:bookmarkEnd w:id="49"/>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5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1"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2" w:name="_Hlk72263588"/>
      <w:r>
        <w:rPr>
          <w:rFonts w:hint="eastAsia"/>
          <w:szCs w:val="21"/>
        </w:rPr>
        <w:t>愿意按照招标文件要求承包上述项目并修补其任何缺陷。</w:t>
      </w:r>
      <w:bookmarkEnd w:id="52"/>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3"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3"/>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1"/>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50"/>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4"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5" w:name="_Hlk72587269"/>
      <w:bookmarkStart w:id="56"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5"/>
      <w:r>
        <w:rPr>
          <w:rFonts w:hint="eastAsia" w:ascii="宋体" w:hAnsi="宋体"/>
          <w:szCs w:val="21"/>
        </w:rPr>
        <w:t>。</w:t>
      </w:r>
    </w:p>
    <w:bookmarkEnd w:id="56"/>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4"/>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7"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8" w:name="_Hlk72257908"/>
      <w:r>
        <w:rPr>
          <w:rFonts w:hint="eastAsia" w:ascii="黑体" w:hAnsi="宋体" w:eastAsia="黑体"/>
          <w:bCs/>
          <w:kern w:val="0"/>
          <w:sz w:val="24"/>
          <w:szCs w:val="32"/>
        </w:rPr>
        <w:t>（二）中小企业声明函、残疾人福利性单位声明函及监狱企业声明函</w:t>
      </w:r>
    </w:p>
    <w:bookmarkEnd w:id="57"/>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8"/>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9"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9"/>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60" w:name="_Hlk73562331"/>
      <w:bookmarkStart w:id="61"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0"/>
    </w:p>
    <w:bookmarkEnd w:id="61"/>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8"/>
    </w:p>
    <w:p>
      <w:pPr>
        <w:pStyle w:val="3"/>
        <w:jc w:val="center"/>
        <w:rPr>
          <w:rFonts w:ascii="黑体" w:eastAsia="黑体"/>
          <w:b w:val="0"/>
          <w:sz w:val="24"/>
          <w:szCs w:val="24"/>
        </w:rPr>
      </w:pPr>
      <w:bookmarkStart w:id="62"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774"/>
        <w:gridCol w:w="774"/>
        <w:gridCol w:w="774"/>
        <w:gridCol w:w="774"/>
        <w:gridCol w:w="774"/>
        <w:gridCol w:w="774"/>
        <w:gridCol w:w="774"/>
        <w:gridCol w:w="774"/>
        <w:gridCol w:w="774"/>
        <w:gridCol w:w="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货物名称（标的名称）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型号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原产地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制造商名称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是否接受进口</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新生儿保温箱</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u w:val="none"/>
                <w:lang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u w:val="none"/>
                <w:lang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u w:val="none"/>
                <w:lang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kern w:val="0"/>
                <w:sz w:val="21"/>
                <w:szCs w:val="21"/>
                <w:u w:val="none"/>
                <w:lang w:bidi="ar"/>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79"/>
                <w:lang w:val="en-US" w:eastAsia="zh-CN" w:bidi="ar"/>
              </w:rPr>
              <w:t>拒绝进口</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3"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3"/>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4" w:name="_Hlk72073235"/>
      <w:r>
        <w:rPr>
          <w:rFonts w:hint="eastAsia"/>
          <w:b/>
          <w:sz w:val="24"/>
        </w:rPr>
        <w:t>投标人认为需要涉及的其他内容报价清单</w:t>
      </w:r>
      <w:bookmarkEnd w:id="64"/>
    </w:p>
    <w:p>
      <w:pPr>
        <w:rPr>
          <w:b/>
          <w:bCs/>
        </w:rPr>
      </w:pPr>
    </w:p>
    <w:bookmarkEnd w:id="62"/>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5"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6" w:name="_Hlk72092499"/>
      <w:r>
        <w:rPr>
          <w:rFonts w:hint="eastAsia" w:ascii="黑体" w:eastAsia="黑体"/>
          <w:b w:val="0"/>
          <w:sz w:val="24"/>
        </w:rPr>
        <w:t>法定代表人（负责人）证明书</w:t>
      </w:r>
      <w:bookmarkEnd w:id="66"/>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7" w:name="_Hlk72092634"/>
      <w:r>
        <w:rPr>
          <w:rFonts w:hint="eastAsia" w:ascii="黑体" w:eastAsia="黑体"/>
          <w:b w:val="0"/>
          <w:kern w:val="0"/>
          <w:sz w:val="24"/>
          <w:szCs w:val="24"/>
        </w:rPr>
        <w:t>实质性条款响应情况表</w:t>
      </w:r>
      <w:bookmarkEnd w:id="67"/>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240" w:lineRule="auto"/>
              <w:jc w:val="center"/>
              <w:rPr>
                <w:rFonts w:ascii="宋体" w:hAnsi="宋体"/>
                <w:b w:val="0"/>
                <w:bCs w:val="0"/>
                <w:color w:val="auto"/>
                <w:kern w:val="0"/>
                <w:szCs w:val="21"/>
              </w:rPr>
            </w:pPr>
            <w:bookmarkStart w:id="68" w:name="_Hlk72092651"/>
            <w:r>
              <w:rPr>
                <w:rFonts w:hint="eastAsia" w:ascii="宋体" w:hAnsi="宋体"/>
                <w:b w:val="0"/>
                <w:bCs w:val="0"/>
                <w:color w:val="auto"/>
                <w:kern w:val="0"/>
                <w:szCs w:val="21"/>
              </w:rPr>
              <w:t>序号</w:t>
            </w:r>
          </w:p>
        </w:tc>
        <w:tc>
          <w:tcPr>
            <w:tcW w:w="2664" w:type="dxa"/>
            <w:vAlign w:val="center"/>
          </w:tcPr>
          <w:p>
            <w:pPr>
              <w:adjustRightInd w:val="0"/>
              <w:snapToGrid w:val="0"/>
              <w:spacing w:line="240" w:lineRule="auto"/>
              <w:jc w:val="center"/>
              <w:rPr>
                <w:rFonts w:ascii="宋体" w:hAnsi="宋体"/>
                <w:b w:val="0"/>
                <w:bCs w:val="0"/>
                <w:color w:val="auto"/>
                <w:kern w:val="0"/>
                <w:szCs w:val="21"/>
              </w:rPr>
            </w:pPr>
            <w:r>
              <w:rPr>
                <w:rFonts w:hint="eastAsia" w:ascii="宋体" w:hAnsi="宋体"/>
                <w:b w:val="0"/>
                <w:bCs w:val="0"/>
                <w:color w:val="auto"/>
                <w:kern w:val="0"/>
                <w:szCs w:val="21"/>
              </w:rPr>
              <w:t>实质性条款具体内容</w:t>
            </w:r>
          </w:p>
        </w:tc>
        <w:tc>
          <w:tcPr>
            <w:tcW w:w="158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投标响应</w:t>
            </w:r>
          </w:p>
        </w:tc>
        <w:tc>
          <w:tcPr>
            <w:tcW w:w="1842"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偏离情况</w:t>
            </w:r>
          </w:p>
        </w:tc>
        <w:tc>
          <w:tcPr>
            <w:tcW w:w="1418" w:type="dxa"/>
            <w:vAlign w:val="center"/>
          </w:tcPr>
          <w:p>
            <w:pPr>
              <w:adjustRightInd w:val="0"/>
              <w:snapToGrid w:val="0"/>
              <w:spacing w:line="240" w:lineRule="auto"/>
              <w:jc w:val="center"/>
              <w:rPr>
                <w:rFonts w:ascii="宋体" w:hAnsi="宋体"/>
                <w:b w:val="0"/>
                <w:bCs w:val="0"/>
                <w:color w:val="auto"/>
                <w:kern w:val="0"/>
                <w:szCs w:val="21"/>
              </w:rPr>
            </w:pPr>
            <w:r>
              <w:rPr>
                <w:rFonts w:hint="eastAsia"/>
                <w:b w:val="0"/>
                <w:bCs w:val="0"/>
                <w:color w:val="auto"/>
              </w:rPr>
              <w:t>说明</w:t>
            </w:r>
          </w:p>
        </w:tc>
      </w:tr>
      <w:bookmark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1</w:t>
            </w:r>
          </w:p>
        </w:tc>
        <w:tc>
          <w:tcPr>
            <w:tcW w:w="2664" w:type="dxa"/>
            <w:vAlign w:val="center"/>
          </w:tcPr>
          <w:p>
            <w:pPr>
              <w:adjustRightInd w:val="0"/>
              <w:snapToGrid w:val="0"/>
              <w:spacing w:line="240" w:lineRule="auto"/>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kern w:val="0"/>
                <w:sz w:val="21"/>
                <w:szCs w:val="21"/>
                <w:lang w:val="en-US" w:eastAsia="zh-CN" w:bidi="ar"/>
              </w:rPr>
              <w:t>25</w:t>
            </w:r>
            <w:r>
              <w:rPr>
                <w:rFonts w:hint="eastAsia" w:ascii="宋体" w:hAnsi="宋体" w:eastAsia="宋体" w:cs="宋体"/>
                <w:b w:val="0"/>
                <w:bCs w:val="0"/>
                <w:color w:val="auto"/>
                <w:kern w:val="0"/>
                <w:sz w:val="21"/>
                <w:szCs w:val="21"/>
                <w:lang w:bidi="ar"/>
              </w:rPr>
              <w:t>信息化系统：含设备接入医院信息系统（包括但不限于HIS、PACS、LIS等）端口开发、调试及对接费用，确保设备数据能实时、准确上传至医院指定系统，投标供应商须配合医院信息科及科室完成系统对接测试。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2</w:t>
            </w:r>
          </w:p>
        </w:tc>
        <w:tc>
          <w:tcPr>
            <w:tcW w:w="266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w:t>
            </w:r>
            <w:bookmarkStart w:id="69" w:name="OLE_LINK1"/>
            <w:r>
              <w:rPr>
                <w:rFonts w:hint="eastAsia" w:ascii="宋体" w:hAnsi="宋体" w:eastAsia="宋体" w:cs="宋体"/>
                <w:b w:val="0"/>
                <w:bCs w:val="0"/>
                <w:color w:val="auto"/>
                <w:kern w:val="0"/>
                <w:sz w:val="21"/>
                <w:szCs w:val="21"/>
              </w:rPr>
              <w:t>1.1</w:t>
            </w:r>
            <w:r>
              <w:rPr>
                <w:rFonts w:hint="eastAsia" w:ascii="宋体" w:hAnsi="宋体" w:cs="宋体"/>
                <w:b w:val="0"/>
                <w:bCs w:val="0"/>
                <w:color w:val="auto"/>
                <w:kern w:val="0"/>
                <w:sz w:val="21"/>
                <w:szCs w:val="21"/>
                <w:lang w:eastAsia="zh-CN"/>
              </w:rPr>
              <w:t>提供主机及配件免费保修期5年，保修期以验收合格，双方代表签署“验收报告”之日起计算。</w:t>
            </w:r>
            <w:bookmarkEnd w:id="69"/>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ascii="宋体" w:hAnsi="宋体"/>
                <w:b w:val="0"/>
                <w:bCs w:val="0"/>
                <w:color w:val="auto"/>
                <w:kern w:val="0"/>
                <w:szCs w:val="21"/>
              </w:rPr>
            </w:pPr>
            <w:r>
              <w:rPr>
                <w:rFonts w:hint="eastAsia" w:ascii="宋体" w:hAnsi="宋体"/>
                <w:b w:val="0"/>
                <w:bCs w:val="0"/>
                <w:color w:val="auto"/>
                <w:kern w:val="0"/>
                <w:szCs w:val="21"/>
              </w:rPr>
              <w:t>3</w:t>
            </w:r>
          </w:p>
        </w:tc>
        <w:tc>
          <w:tcPr>
            <w:tcW w:w="2664" w:type="dxa"/>
            <w:vAlign w:val="center"/>
          </w:tcPr>
          <w:p>
            <w:pPr>
              <w:adjustRightInd w:val="0"/>
              <w:snapToGrid w:val="0"/>
              <w:spacing w:line="240" w:lineRule="auto"/>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★1.1投标人在签订合同之日起30 天（日历日）内交货。</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eastAsia" w:ascii="宋体" w:hAnsi="宋体" w:eastAsia="宋体"/>
                <w:b w:val="0"/>
                <w:bCs w:val="0"/>
                <w:color w:val="auto"/>
                <w:kern w:val="0"/>
                <w:szCs w:val="21"/>
                <w:lang w:val="en-US" w:eastAsia="zh-CN"/>
              </w:rPr>
            </w:pPr>
            <w:r>
              <w:rPr>
                <w:rFonts w:hint="eastAsia" w:ascii="宋体" w:hAnsi="宋体"/>
                <w:b w:val="0"/>
                <w:bCs w:val="0"/>
                <w:color w:val="auto"/>
                <w:kern w:val="0"/>
                <w:szCs w:val="21"/>
                <w:lang w:val="en-US" w:eastAsia="zh-CN"/>
              </w:rPr>
              <w:t>4</w:t>
            </w:r>
          </w:p>
        </w:tc>
        <w:tc>
          <w:tcPr>
            <w:tcW w:w="266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lang w:val="en-US" w:eastAsia="zh-CN" w:bidi="ar-SA"/>
              </w:rPr>
            </w:pPr>
            <w:r>
              <w:rPr>
                <w:rFonts w:hint="eastAsia" w:ascii="宋体" w:hAnsi="宋体" w:eastAsia="宋体" w:cs="宋体"/>
                <w:b w:val="0"/>
                <w:bCs w:val="0"/>
                <w:color w:val="auto"/>
                <w:spacing w:val="9"/>
                <w:kern w:val="0"/>
                <w:sz w:val="21"/>
                <w:szCs w:val="21"/>
              </w:rPr>
              <w:t>★</w:t>
            </w:r>
            <w:r>
              <w:rPr>
                <w:rFonts w:hint="eastAsia" w:ascii="宋体" w:hAnsi="宋体" w:eastAsia="宋体" w:cs="宋体"/>
                <w:b w:val="0"/>
                <w:bCs w:val="0"/>
                <w:color w:val="auto"/>
                <w:spacing w:val="8"/>
                <w:kern w:val="0"/>
                <w:sz w:val="21"/>
                <w:szCs w:val="21"/>
                <w:lang w:val="en-US" w:eastAsia="zh-CN"/>
              </w:rPr>
              <w:t>5.2</w:t>
            </w:r>
            <w:r>
              <w:rPr>
                <w:rFonts w:hint="eastAsia" w:ascii="宋体" w:hAnsi="宋体" w:cs="宋体"/>
                <w:b w:val="0"/>
                <w:bCs w:val="0"/>
                <w:color w:val="auto"/>
                <w:spacing w:val="8"/>
                <w:kern w:val="0"/>
                <w:sz w:val="21"/>
                <w:szCs w:val="21"/>
                <w:lang w:val="en-US" w:eastAsia="zh-CN"/>
              </w:rPr>
              <w:t>投标人所投产品为第一类医疗器械的，提供监督管理部门签发的有效的《医疗器械备案凭证》扫描件。所投产品为第二类或第三类医疗器械的，必须提供医疗器械注册证书（或者备案凭证）扫描件，原件备查。开标时，该证应在有效期内，若不在有效期内，则需提供该证和所投产品在该证有效期内生产的药监局出具的证明文件。</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240" w:lineRule="auto"/>
              <w:rPr>
                <w:rFonts w:hint="default" w:ascii="宋体" w:hAnsi="宋体"/>
                <w:b w:val="0"/>
                <w:bCs w:val="0"/>
                <w:color w:val="auto"/>
                <w:kern w:val="0"/>
                <w:szCs w:val="21"/>
                <w:lang w:val="en-US" w:eastAsia="zh-CN"/>
              </w:rPr>
            </w:pPr>
            <w:r>
              <w:rPr>
                <w:rFonts w:hint="eastAsia" w:ascii="宋体" w:hAnsi="宋体"/>
                <w:b w:val="0"/>
                <w:bCs w:val="0"/>
                <w:color w:val="auto"/>
                <w:kern w:val="0"/>
                <w:szCs w:val="21"/>
                <w:lang w:val="en-US" w:eastAsia="zh-CN"/>
              </w:rPr>
              <w:t>5</w:t>
            </w:r>
          </w:p>
        </w:tc>
        <w:tc>
          <w:tcPr>
            <w:tcW w:w="2664" w:type="dxa"/>
            <w:vAlign w:val="center"/>
          </w:tcPr>
          <w:p>
            <w:pPr>
              <w:adjustRightInd w:val="0"/>
              <w:snapToGrid w:val="0"/>
              <w:spacing w:line="240" w:lineRule="auto"/>
              <w:jc w:val="left"/>
              <w:rPr>
                <w:rFonts w:hint="eastAsia" w:ascii="宋体" w:hAnsi="宋体" w:eastAsia="宋体" w:cs="宋体"/>
                <w:b w:val="0"/>
                <w:bCs w:val="0"/>
                <w:color w:val="auto"/>
                <w:spacing w:val="9"/>
                <w:kern w:val="0"/>
                <w:sz w:val="21"/>
                <w:szCs w:val="21"/>
              </w:rPr>
            </w:pPr>
            <w:r>
              <w:rPr>
                <w:rFonts w:ascii="宋体" w:hAnsi="宋体" w:eastAsia="宋体" w:cs="宋体"/>
                <w:b w:val="0"/>
                <w:bCs w:val="0"/>
                <w:color w:val="auto"/>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c>
          <w:tcPr>
            <w:tcW w:w="1588" w:type="dxa"/>
          </w:tcPr>
          <w:p>
            <w:pPr>
              <w:adjustRightInd w:val="0"/>
              <w:snapToGrid w:val="0"/>
              <w:spacing w:line="240" w:lineRule="auto"/>
              <w:rPr>
                <w:rFonts w:ascii="宋体" w:hAnsi="宋体"/>
                <w:b w:val="0"/>
                <w:bCs w:val="0"/>
                <w:color w:val="auto"/>
                <w:kern w:val="0"/>
                <w:szCs w:val="21"/>
              </w:rPr>
            </w:pPr>
          </w:p>
        </w:tc>
        <w:tc>
          <w:tcPr>
            <w:tcW w:w="1842" w:type="dxa"/>
          </w:tcPr>
          <w:p>
            <w:pPr>
              <w:adjustRightInd w:val="0"/>
              <w:snapToGrid w:val="0"/>
              <w:spacing w:line="240" w:lineRule="auto"/>
              <w:rPr>
                <w:rFonts w:ascii="宋体" w:hAnsi="宋体"/>
                <w:b w:val="0"/>
                <w:bCs w:val="0"/>
                <w:color w:val="auto"/>
                <w:kern w:val="0"/>
                <w:szCs w:val="21"/>
              </w:rPr>
            </w:pPr>
          </w:p>
        </w:tc>
        <w:tc>
          <w:tcPr>
            <w:tcW w:w="1418" w:type="dxa"/>
          </w:tcPr>
          <w:p>
            <w:pPr>
              <w:adjustRightInd w:val="0"/>
              <w:snapToGrid w:val="0"/>
              <w:spacing w:line="240" w:lineRule="auto"/>
              <w:rPr>
                <w:rFonts w:ascii="宋体" w:hAnsi="宋体"/>
                <w:b w:val="0"/>
                <w:bCs w:val="0"/>
                <w:color w:val="auto"/>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5"/>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p>
      <w:pPr>
        <w:rPr>
          <w:sz w:val="24"/>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06"/>
        <w:gridCol w:w="2169"/>
        <w:gridCol w:w="1987"/>
        <w:gridCol w:w="1219"/>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473" w:type="pct"/>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1271" w:type="pc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c>
          <w:tcPr>
            <w:tcW w:w="1164"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投标技术响应</w:t>
            </w:r>
          </w:p>
        </w:tc>
        <w:tc>
          <w:tcPr>
            <w:tcW w:w="714"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偏离情况</w:t>
            </w:r>
          </w:p>
        </w:tc>
        <w:tc>
          <w:tcPr>
            <w:tcW w:w="1124" w:type="pct"/>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473" w:type="pct"/>
            <w:vMerge w:val="restart"/>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婴儿培养箱设备</w:t>
            </w: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 功能需求：为低体重婴儿、病危儿、早产儿提供温湿度适宜的培养治疗环境。</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2. 温度控制：具有箱温控制和肤温控制功能</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3. 箱温控制范围：20℃～37℃，37.1℃～39℃，肤温控制范围：34℃～37℃，37.1℃～38.0℃</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4. 箱温和肤温测量范围：0℃～70℃</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5. 肤温测量精度：±0.1℃</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6. 升温时间≤25min</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7. 控制精度：平均培养箱温度与控制温度之差≤0.5℃</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8. 体温监测：支持升级双体温探头，可同时监测两个不同部位的皮肤温度，显示两个体温探头的温差值</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9. 支持腔内体温探头</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10. 具有自动风帘功能：确保箱内暖空气在箱门开放状态下不易散出，维持暖箱内微环境的热量平衡</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11. 湿度控制范围：30%～99%，控制精度：±5%</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12. 湿度测量范围：0%～100%，测量精度：±5%</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13. 湿度报警：水箱水位过低、水箱不在位具有视觉与听觉的报警功能。</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14. 可选配新生儿呼吸暂停监测与呼吸暂停唤醒功能。</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15. 可选配氧浓度控制功能，氧浓度控制范围：21%～65%，氧浓度测量范围：0-100%，精度：±2%。</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16. 彩色液晶触摸显示屏≥8英寸，屏幕的高度和角度可灵活调节。</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17. 支持五笔、拼音输入法，还具有中文手写输入功能。</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18. 数据回顾：≥150小时趋势图/趋势表回顾，方便临床跟踪/回顾。</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19. 床垫推拉功能：床垫可前后推拉。</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20. 床垫倾斜功能：支持婴儿床倾斜角度电动无级调节，床面倾斜无需打开箱门，床面最大倾斜角度不小于12°。</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en-US" w:eastAsia="zh-CN"/>
              </w:rPr>
              <w:t>21</w:t>
            </w:r>
            <w:r>
              <w:rPr>
                <w:rFonts w:hint="eastAsia" w:ascii="宋体" w:hAnsi="宋体" w:eastAsia="宋体" w:cs="宋体"/>
                <w:sz w:val="21"/>
                <w:szCs w:val="21"/>
              </w:rPr>
              <w:t>. 箱内噪音水平≤45dB。</w:t>
            </w:r>
          </w:p>
        </w:tc>
        <w:tc>
          <w:tcPr>
            <w:tcW w:w="1164" w:type="pct"/>
          </w:tcPr>
          <w:p>
            <w:pPr>
              <w:rPr>
                <w:rFonts w:hint="eastAsia" w:ascii="宋体" w:hAnsi="宋体" w:eastAsia="宋体" w:cs="宋体"/>
                <w:sz w:val="21"/>
                <w:szCs w:val="21"/>
                <w:lang w:val="en-US" w:eastAsia="zh-CN"/>
              </w:rPr>
            </w:pPr>
          </w:p>
        </w:tc>
        <w:tc>
          <w:tcPr>
            <w:tcW w:w="714" w:type="pct"/>
          </w:tcPr>
          <w:p>
            <w:pPr>
              <w:rPr>
                <w:rFonts w:hint="eastAsia" w:ascii="宋体" w:hAnsi="宋体" w:eastAsia="宋体" w:cs="宋体"/>
                <w:sz w:val="21"/>
                <w:szCs w:val="21"/>
                <w:lang w:val="en-US" w:eastAsia="zh-CN"/>
              </w:rPr>
            </w:pPr>
          </w:p>
        </w:tc>
        <w:tc>
          <w:tcPr>
            <w:tcW w:w="1124" w:type="pct"/>
          </w:tcPr>
          <w:p>
            <w:pP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r>
              <w:rPr>
                <w:rFonts w:hint="eastAsia" w:ascii="宋体" w:hAnsi="宋体" w:eastAsia="宋体" w:cs="宋体"/>
                <w:sz w:val="21"/>
                <w:szCs w:val="21"/>
              </w:rPr>
              <w:t>. 婴儿床下可放置X光拍片盒，无需移动新生儿，降低感染风险。</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r>
              <w:rPr>
                <w:rFonts w:hint="eastAsia" w:ascii="宋体" w:hAnsi="宋体" w:eastAsia="宋体" w:cs="宋体"/>
                <w:sz w:val="21"/>
                <w:szCs w:val="21"/>
              </w:rPr>
              <w:t>. 具有静音阻尼门，箱门内置静音阻尼装置,无需手扶,门体缓缓下落。</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473" w:type="pct"/>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271" w:type="pct"/>
          </w:tcPr>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 产品使用寿命不低于10年。</w:t>
            </w:r>
          </w:p>
        </w:tc>
        <w:tc>
          <w:tcPr>
            <w:tcW w:w="1164" w:type="pct"/>
          </w:tcPr>
          <w:p>
            <w:pPr>
              <w:rPr>
                <w:rFonts w:hint="eastAsia" w:ascii="宋体" w:hAnsi="宋体" w:eastAsia="宋体" w:cs="宋体"/>
                <w:sz w:val="21"/>
                <w:szCs w:val="21"/>
              </w:rPr>
            </w:pPr>
          </w:p>
        </w:tc>
        <w:tc>
          <w:tcPr>
            <w:tcW w:w="714" w:type="pct"/>
          </w:tcPr>
          <w:p>
            <w:pPr>
              <w:rPr>
                <w:rFonts w:hint="eastAsia" w:ascii="宋体" w:hAnsi="宋体" w:eastAsia="宋体" w:cs="宋体"/>
                <w:sz w:val="21"/>
                <w:szCs w:val="21"/>
              </w:rPr>
            </w:pPr>
          </w:p>
        </w:tc>
        <w:tc>
          <w:tcPr>
            <w:tcW w:w="1124" w:type="pct"/>
          </w:tcPr>
          <w:p>
            <w:pPr>
              <w:rPr>
                <w:rFonts w:hint="eastAsia" w:ascii="宋体" w:hAnsi="宋体" w:eastAsia="宋体" w:cs="宋体"/>
                <w:sz w:val="21"/>
                <w:szCs w:val="21"/>
              </w:rPr>
            </w:pPr>
          </w:p>
        </w:tc>
      </w:tr>
    </w:tbl>
    <w:p>
      <w:pPr>
        <w:rPr>
          <w:sz w:val="24"/>
        </w:rPr>
      </w:pPr>
    </w:p>
    <w:p>
      <w:pPr>
        <w:rPr>
          <w:sz w:val="24"/>
        </w:rPr>
      </w:pPr>
    </w:p>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0" w:name="_Hlk72095977"/>
      <w:r>
        <w:rPr>
          <w:rFonts w:hint="eastAsia"/>
          <w:sz w:val="21"/>
          <w:szCs w:val="21"/>
        </w:rPr>
        <w:t>证明资料【如有的话，提供的证明资料应统一编号（排序），格式自定】</w:t>
      </w:r>
      <w:bookmarkEnd w:id="70"/>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1" w:name="_Hlk72094407"/>
      <w:r>
        <w:rPr>
          <w:rFonts w:hint="eastAsia"/>
          <w:b w:val="0"/>
          <w:bCs/>
          <w:sz w:val="21"/>
          <w:szCs w:val="21"/>
        </w:rPr>
        <w:t>对应“用户需求书”中的“技术要求”章节</w:t>
      </w:r>
      <w:bookmarkEnd w:id="71"/>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2" w:name="_Hlk72158270"/>
      <w:r>
        <w:rPr>
          <w:rFonts w:hint="eastAsia"/>
          <w:b w:val="0"/>
          <w:bCs/>
          <w:sz w:val="21"/>
          <w:szCs w:val="21"/>
        </w:rPr>
        <w:t>“偏离情况”</w:t>
      </w:r>
      <w:bookmarkEnd w:id="72"/>
      <w:r>
        <w:rPr>
          <w:rFonts w:hint="eastAsia"/>
          <w:b w:val="0"/>
          <w:bCs/>
          <w:sz w:val="21"/>
          <w:szCs w:val="21"/>
        </w:rPr>
        <w:t>一栏填写如实填写“正偏离”、“负偏离”或“无偏离”，其中：</w:t>
      </w:r>
      <w:bookmarkStart w:id="73" w:name="_Hlk72093866"/>
      <w:r>
        <w:rPr>
          <w:rFonts w:hint="eastAsia"/>
          <w:b w:val="0"/>
          <w:bCs/>
          <w:sz w:val="21"/>
          <w:szCs w:val="21"/>
        </w:rPr>
        <w:t>“正偏离”表示“投标响应优于招标技术要求”，“负偏离”表示“投标响应不满足招标技术要求”，“无偏离”表示“投标响应与招标技术要求一致”</w:t>
      </w:r>
      <w:bookmarkEnd w:id="73"/>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4" w:name="_Hlk72096106"/>
      <w:r>
        <w:rPr>
          <w:rFonts w:hint="eastAsia"/>
          <w:b w:val="0"/>
          <w:bCs/>
          <w:sz w:val="21"/>
          <w:szCs w:val="21"/>
        </w:rPr>
        <w:t>证明资料条款响应要求</w:t>
      </w:r>
      <w:bookmarkEnd w:id="74"/>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5"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6" w:name="_Hlk73558164"/>
      <w:r>
        <w:rPr>
          <w:rFonts w:hint="eastAsia"/>
          <w:b w:val="0"/>
          <w:bCs/>
          <w:sz w:val="21"/>
          <w:szCs w:val="21"/>
        </w:rPr>
        <w:t>且投标人在“偏离情况”一栏响应为“正偏离”或“无偏离”的，经评审委员会认定，将判定为负偏离。</w:t>
      </w:r>
      <w:bookmarkEnd w:id="75"/>
      <w:bookmarkEnd w:id="76"/>
    </w:p>
    <w:p>
      <w:pPr>
        <w:ind w:firstLine="420" w:firstLineChars="200"/>
        <w:rPr>
          <w:b w:val="0"/>
          <w:bCs/>
          <w:sz w:val="21"/>
          <w:szCs w:val="21"/>
        </w:rPr>
      </w:pPr>
      <w:r>
        <w:rPr>
          <w:rFonts w:hint="eastAsia"/>
          <w:b w:val="0"/>
          <w:bCs/>
          <w:sz w:val="21"/>
          <w:szCs w:val="21"/>
        </w:rPr>
        <w:t>6、</w:t>
      </w:r>
      <w:bookmarkStart w:id="77" w:name="_Hlk72096137"/>
      <w:r>
        <w:rPr>
          <w:rFonts w:hint="eastAsia"/>
          <w:b w:val="0"/>
          <w:bCs/>
          <w:sz w:val="21"/>
          <w:szCs w:val="21"/>
        </w:rPr>
        <w:t>表后“证明资料”部分内容的编制</w:t>
      </w:r>
      <w:bookmarkEnd w:id="77"/>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8" w:name="_Hlk73558180"/>
      <w:r>
        <w:rPr>
          <w:rFonts w:hint="eastAsia"/>
          <w:b w:val="0"/>
          <w:bCs/>
          <w:sz w:val="21"/>
          <w:szCs w:val="21"/>
        </w:rPr>
        <w:t>未按照招标文件要求在表后放置证明材料的供应商将承担不利后果，经评审委员会认定，相关技术要求将判定为负偏离。</w:t>
      </w:r>
      <w:bookmarkEnd w:id="78"/>
    </w:p>
    <w:p>
      <w:pPr>
        <w:ind w:firstLine="420" w:firstLineChars="200"/>
        <w:rPr>
          <w:b w:val="0"/>
          <w:bCs/>
          <w:sz w:val="21"/>
          <w:szCs w:val="21"/>
        </w:rPr>
      </w:pPr>
      <w:r>
        <w:rPr>
          <w:rFonts w:hint="eastAsia"/>
          <w:b w:val="0"/>
          <w:bCs/>
          <w:sz w:val="21"/>
          <w:szCs w:val="21"/>
        </w:rPr>
        <w:t>7、</w:t>
      </w:r>
      <w:bookmarkStart w:id="79" w:name="_Hlk72096176"/>
      <w:r>
        <w:rPr>
          <w:rFonts w:hint="eastAsia"/>
          <w:b w:val="0"/>
          <w:bCs/>
          <w:sz w:val="21"/>
          <w:szCs w:val="21"/>
        </w:rPr>
        <w:t>证明资料的形式及其它具体要求</w:t>
      </w:r>
      <w:bookmarkEnd w:id="79"/>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0"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0"/>
    </w:p>
    <w:p>
      <w:pPr>
        <w:rPr>
          <w:sz w:val="24"/>
        </w:rPr>
      </w:pPr>
    </w:p>
    <w:p>
      <w:pPr>
        <w:pStyle w:val="3"/>
        <w:jc w:val="center"/>
        <w:rPr>
          <w:rFonts w:hint="eastAsia" w:ascii="黑体" w:eastAsia="黑体"/>
          <w:b w:val="0"/>
          <w:sz w:val="24"/>
          <w:szCs w:val="24"/>
        </w:rPr>
      </w:pPr>
      <w:r>
        <w:rPr>
          <w:rFonts w:hint="eastAsia" w:ascii="黑体" w:eastAsia="黑体"/>
          <w:b w:val="0"/>
          <w:sz w:val="24"/>
          <w:szCs w:val="24"/>
          <w:lang w:val="en-US" w:eastAsia="zh-CN"/>
        </w:rPr>
        <w:t>十、</w:t>
      </w:r>
      <w:r>
        <w:rPr>
          <w:rFonts w:hint="eastAsia" w:ascii="黑体" w:eastAsia="黑体"/>
          <w:b w:val="0"/>
          <w:sz w:val="24"/>
          <w:szCs w:val="24"/>
        </w:rPr>
        <w:t>项目实施方案</w:t>
      </w:r>
    </w:p>
    <w:p>
      <w:pPr>
        <w:pStyle w:val="3"/>
        <w:jc w:val="center"/>
        <w:rPr>
          <w:rFonts w:hint="eastAsia" w:ascii="黑体" w:eastAsia="黑体"/>
          <w:b w:val="0"/>
          <w:sz w:val="24"/>
          <w:szCs w:val="24"/>
        </w:rPr>
      </w:pPr>
      <w:r>
        <w:rPr>
          <w:rFonts w:hint="eastAsia" w:ascii="黑体" w:eastAsia="黑体"/>
          <w:b w:val="0"/>
          <w:sz w:val="24"/>
          <w:szCs w:val="24"/>
          <w:lang w:val="en-US" w:eastAsia="zh-CN"/>
        </w:rPr>
        <w:t>十一、</w:t>
      </w:r>
      <w:r>
        <w:rPr>
          <w:rFonts w:hint="eastAsia" w:ascii="黑体" w:eastAsia="黑体"/>
          <w:b w:val="0"/>
          <w:sz w:val="24"/>
          <w:szCs w:val="24"/>
        </w:rPr>
        <w:t>免费保修期时长</w:t>
      </w:r>
    </w:p>
    <w:p>
      <w:pPr>
        <w:pStyle w:val="3"/>
        <w:jc w:val="center"/>
        <w:rPr>
          <w:rFonts w:hint="eastAsia" w:ascii="黑体" w:eastAsia="黑体"/>
          <w:b w:val="0"/>
          <w:sz w:val="24"/>
          <w:szCs w:val="24"/>
        </w:rPr>
      </w:pPr>
      <w:r>
        <w:rPr>
          <w:rFonts w:hint="eastAsia" w:ascii="黑体" w:eastAsia="黑体"/>
          <w:b w:val="0"/>
          <w:sz w:val="24"/>
          <w:szCs w:val="24"/>
          <w:lang w:val="en-US" w:eastAsia="zh-CN"/>
        </w:rPr>
        <w:t>十二、</w:t>
      </w:r>
      <w:r>
        <w:rPr>
          <w:rFonts w:hint="eastAsia" w:ascii="黑体" w:eastAsia="黑体"/>
          <w:b w:val="0"/>
          <w:sz w:val="24"/>
          <w:szCs w:val="24"/>
        </w:rPr>
        <w:t>同类业绩</w:t>
      </w:r>
    </w:p>
    <w:p>
      <w:pPr>
        <w:pStyle w:val="3"/>
        <w:jc w:val="center"/>
        <w:rPr>
          <w:rFonts w:hint="eastAsia" w:ascii="黑体" w:eastAsia="黑体"/>
          <w:b w:val="0"/>
          <w:sz w:val="24"/>
          <w:szCs w:val="24"/>
        </w:rPr>
      </w:pPr>
      <w:r>
        <w:rPr>
          <w:rFonts w:hint="eastAsia" w:ascii="黑体" w:eastAsia="黑体"/>
          <w:b w:val="0"/>
          <w:sz w:val="24"/>
          <w:szCs w:val="24"/>
          <w:lang w:val="en-US" w:eastAsia="zh-CN"/>
        </w:rPr>
        <w:t>十三、</w:t>
      </w:r>
      <w:r>
        <w:rPr>
          <w:rFonts w:hint="eastAsia" w:ascii="黑体" w:eastAsia="黑体"/>
          <w:b w:val="0"/>
          <w:sz w:val="24"/>
          <w:szCs w:val="24"/>
        </w:rPr>
        <w:t>投标人认为需要加以说明的其他内容</w:t>
      </w:r>
    </w:p>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1"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1"/>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2"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2"/>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3" w:name="_Toc27624"/>
      <w:r>
        <w:rPr>
          <w:rFonts w:hint="eastAsia" w:ascii="黑体" w:hAnsi="黑体" w:eastAsia="黑体" w:cs="Times New Roman"/>
          <w:b w:val="0"/>
          <w:bCs w:val="0"/>
          <w:kern w:val="2"/>
          <w:sz w:val="28"/>
          <w:szCs w:val="28"/>
          <w:lang w:val="en-US" w:eastAsia="zh-CN" w:bidi="ar-SA"/>
        </w:rPr>
        <w:t>第二节 政府采购合同通用条款</w:t>
      </w:r>
      <w:bookmarkEnd w:id="83"/>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4"/>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5"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5"/>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6" w:name="_Hlk72399513"/>
      <w:r>
        <w:rPr>
          <w:rFonts w:hint="eastAsia" w:ascii="宋体" w:hAnsi="宋体" w:eastAsia="宋体" w:cs="Times New Roman"/>
          <w:b/>
          <w:bCs/>
          <w:kern w:val="0"/>
          <w:sz w:val="28"/>
          <w:szCs w:val="28"/>
          <w:lang w:val="en-US" w:eastAsia="zh-CN" w:bidi="ar-SA"/>
        </w:rPr>
        <w:t>总则</w:t>
      </w:r>
    </w:p>
    <w:bookmarkEnd w:id="86"/>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7" w:name="_Hlk72399729"/>
      <w:r>
        <w:rPr>
          <w:rFonts w:hint="eastAsia" w:ascii="宋体" w:hAnsi="宋体" w:eastAsia="宋体" w:cs="Times New Roman"/>
          <w:szCs w:val="21"/>
        </w:rPr>
        <w:t>如有需要，政府集中采购机构可以对通用条款的内容进行补充。</w:t>
      </w:r>
      <w:bookmarkEnd w:id="87"/>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8"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9"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8"/>
    <w:p>
      <w:pPr>
        <w:ind w:firstLine="411" w:firstLineChars="196"/>
        <w:rPr>
          <w:rFonts w:ascii="宋体" w:hAnsi="宋体" w:eastAsia="宋体" w:cs="Times New Roman"/>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0"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0"/>
    </w:p>
    <w:p>
      <w:pPr>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1"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1"/>
    <w:p>
      <w:pPr>
        <w:rPr>
          <w:rFonts w:ascii="黑体" w:hAnsi="宋体" w:eastAsia="黑体" w:cs="Times New Roman"/>
          <w:sz w:val="24"/>
        </w:rPr>
      </w:pPr>
      <w:r>
        <w:rPr>
          <w:rFonts w:hint="eastAsia" w:ascii="黑体" w:hAnsi="宋体" w:eastAsia="黑体" w:cs="Times New Roman"/>
          <w:sz w:val="24"/>
        </w:rPr>
        <w:t>15．</w:t>
      </w:r>
      <w:bookmarkStart w:id="92"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2"/>
    <w:p>
      <w:pPr>
        <w:rPr>
          <w:rFonts w:ascii="黑体" w:hAnsi="宋体" w:eastAsia="黑体" w:cs="Times New Roman"/>
          <w:sz w:val="24"/>
        </w:rPr>
      </w:pPr>
      <w:r>
        <w:rPr>
          <w:rFonts w:hint="eastAsia" w:ascii="黑体" w:hAnsi="宋体" w:eastAsia="黑体" w:cs="Times New Roman"/>
          <w:sz w:val="24"/>
        </w:rPr>
        <w:t>18．</w:t>
      </w:r>
      <w:bookmarkStart w:id="93"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3"/>
    <w:p>
      <w:pPr>
        <w:rPr>
          <w:rFonts w:ascii="黑体" w:hAnsi="宋体" w:eastAsia="黑体" w:cs="Times New Roman"/>
          <w:sz w:val="24"/>
        </w:rPr>
      </w:pPr>
      <w:r>
        <w:rPr>
          <w:rFonts w:hint="eastAsia" w:ascii="黑体" w:hAnsi="宋体" w:eastAsia="黑体" w:cs="Times New Roman"/>
          <w:sz w:val="24"/>
        </w:rPr>
        <w:t>19．</w:t>
      </w:r>
      <w:bookmarkStart w:id="94"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5"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5"/>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4"/>
    <w:p>
      <w:pPr>
        <w:ind w:firstLine="411" w:firstLineChars="196"/>
        <w:rPr>
          <w:rFonts w:ascii="宋体" w:hAnsi="宋体" w:eastAsia="宋体" w:cs="Times New Roman"/>
          <w:szCs w:val="21"/>
        </w:rPr>
      </w:pPr>
      <w:bookmarkStart w:id="96"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6"/>
    <w:p>
      <w:pPr>
        <w:rPr>
          <w:rFonts w:ascii="黑体" w:hAnsi="宋体" w:eastAsia="黑体" w:cs="Times New Roman"/>
          <w:sz w:val="24"/>
        </w:rPr>
      </w:pPr>
      <w:r>
        <w:rPr>
          <w:rFonts w:hint="eastAsia" w:ascii="黑体" w:hAnsi="宋体" w:eastAsia="黑体" w:cs="Times New Roman"/>
          <w:sz w:val="24"/>
        </w:rPr>
        <w:t>21．</w:t>
      </w:r>
      <w:bookmarkStart w:id="97"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7"/>
    <w:p>
      <w:pPr>
        <w:rPr>
          <w:rFonts w:ascii="黑体" w:hAnsi="宋体" w:eastAsia="黑体" w:cs="Times New Roman"/>
          <w:sz w:val="24"/>
        </w:rPr>
      </w:pPr>
      <w:r>
        <w:rPr>
          <w:rFonts w:hint="eastAsia" w:ascii="黑体" w:hAnsi="宋体" w:eastAsia="黑体" w:cs="Times New Roman"/>
          <w:sz w:val="24"/>
        </w:rPr>
        <w:t>23．</w:t>
      </w:r>
      <w:bookmarkStart w:id="98"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8"/>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99"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99"/>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0"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0"/>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1" w:name="_Hlk72436580"/>
      <w:r>
        <w:rPr>
          <w:rFonts w:hint="eastAsia" w:ascii="宋体" w:hAnsi="宋体" w:eastAsia="宋体" w:cs="Times New Roman"/>
        </w:rPr>
        <w:t>评审委员会由采购人代表和评审专家组成。</w:t>
      </w:r>
      <w:bookmarkEnd w:id="101"/>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2"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2"/>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3" w:name="_Toc73517673"/>
      <w:bookmarkStart w:id="104" w:name="_Toc73521669"/>
      <w:bookmarkStart w:id="105" w:name="_Toc73521581"/>
      <w:bookmarkStart w:id="106" w:name="_Toc100052400"/>
      <w:bookmarkStart w:id="107" w:name="_Toc73518151"/>
      <w:r>
        <w:rPr>
          <w:rFonts w:hint="eastAsia" w:ascii="黑体" w:hAnsi="宋体" w:eastAsia="黑体" w:cs="Times New Roman"/>
          <w:sz w:val="24"/>
        </w:rPr>
        <w:t>34．错误的修正</w:t>
      </w:r>
      <w:bookmarkEnd w:id="103"/>
      <w:bookmarkEnd w:id="104"/>
      <w:bookmarkEnd w:id="105"/>
      <w:bookmarkEnd w:id="106"/>
      <w:bookmarkEnd w:id="107"/>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8"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8"/>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09"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0"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0"/>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1"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2"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1"/>
      <w:bookmarkEnd w:id="112"/>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9"/>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3"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3"/>
      <w:bookmarkStart w:id="114"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4"/>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5"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5"/>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6"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6"/>
    <w:p>
      <w:pPr>
        <w:ind w:firstLine="411" w:firstLineChars="196"/>
        <w:rPr>
          <w:rFonts w:ascii="宋体" w:hAnsi="宋体" w:eastAsia="宋体" w:cs="Times New Roman"/>
          <w:szCs w:val="21"/>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7" w:name="_Hlk72439043"/>
      <w:r>
        <w:rPr>
          <w:rFonts w:hint="eastAsia" w:ascii="宋体" w:hAnsi="宋体" w:eastAsia="宋体" w:cs="Times New Roman"/>
          <w:b/>
          <w:bCs/>
          <w:kern w:val="0"/>
          <w:sz w:val="28"/>
          <w:szCs w:val="28"/>
          <w:lang w:val="en-US" w:eastAsia="zh-CN" w:bidi="ar-SA"/>
        </w:rPr>
        <w:t>合同的授予与备案</w:t>
      </w:r>
      <w:bookmarkEnd w:id="117"/>
    </w:p>
    <w:p>
      <w:pPr>
        <w:rPr>
          <w:rFonts w:ascii="黑体" w:hAnsi="宋体" w:eastAsia="黑体" w:cs="Times New Roman"/>
          <w:sz w:val="24"/>
        </w:rPr>
      </w:pPr>
      <w:bookmarkStart w:id="118" w:name="_Toc73517679"/>
      <w:bookmarkStart w:id="119" w:name="_Toc73518157"/>
      <w:bookmarkStart w:id="120" w:name="_Toc100052408"/>
      <w:bookmarkStart w:id="121" w:name="_Toc73521586"/>
      <w:bookmarkStart w:id="122" w:name="_Toc73521674"/>
      <w:bookmarkStart w:id="123" w:name="_Hlk72439088"/>
      <w:r>
        <w:rPr>
          <w:rFonts w:hint="eastAsia" w:ascii="黑体" w:hAnsi="宋体" w:eastAsia="黑体" w:cs="Times New Roman"/>
          <w:sz w:val="24"/>
        </w:rPr>
        <w:t>43．合同授予标准</w:t>
      </w:r>
      <w:bookmarkEnd w:id="118"/>
      <w:bookmarkEnd w:id="119"/>
      <w:bookmarkEnd w:id="120"/>
      <w:bookmarkEnd w:id="121"/>
      <w:bookmarkEnd w:id="122"/>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4" w:name="_Toc100052409"/>
      <w:bookmarkStart w:id="125" w:name="_Toc73521587"/>
      <w:bookmarkStart w:id="126" w:name="_Toc73521675"/>
      <w:bookmarkStart w:id="127" w:name="_Toc73517680"/>
      <w:bookmarkStart w:id="128" w:name="_Toc73518158"/>
      <w:r>
        <w:rPr>
          <w:rFonts w:hint="eastAsia" w:ascii="黑体" w:hAnsi="宋体" w:eastAsia="黑体" w:cs="Times New Roman"/>
          <w:sz w:val="24"/>
        </w:rPr>
        <w:t>44．</w:t>
      </w:r>
      <w:bookmarkEnd w:id="124"/>
      <w:bookmarkEnd w:id="125"/>
      <w:bookmarkEnd w:id="126"/>
      <w:bookmarkEnd w:id="127"/>
      <w:bookmarkEnd w:id="128"/>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29" w:name="_Toc73521589"/>
      <w:bookmarkStart w:id="130" w:name="_Toc73521677"/>
      <w:bookmarkStart w:id="131" w:name="_Toc73518160"/>
      <w:bookmarkStart w:id="132" w:name="_Toc100052410"/>
      <w:bookmarkStart w:id="133" w:name="_Toc73517682"/>
      <w:r>
        <w:rPr>
          <w:rFonts w:hint="eastAsia" w:ascii="黑体" w:hAnsi="宋体" w:eastAsia="黑体" w:cs="Times New Roman"/>
          <w:sz w:val="24"/>
        </w:rPr>
        <w:t>45．合同的签订</w:t>
      </w:r>
      <w:bookmarkEnd w:id="129"/>
      <w:bookmarkEnd w:id="130"/>
      <w:bookmarkEnd w:id="131"/>
      <w:bookmarkEnd w:id="132"/>
      <w:bookmarkEnd w:id="133"/>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4" w:name="_Toc73521590"/>
      <w:bookmarkStart w:id="135" w:name="_Toc73517683"/>
      <w:bookmarkStart w:id="136" w:name="_Toc73518161"/>
      <w:bookmarkStart w:id="137" w:name="_Toc100052411"/>
      <w:bookmarkStart w:id="138" w:name="_Toc73521678"/>
      <w:r>
        <w:rPr>
          <w:rFonts w:hint="eastAsia" w:ascii="黑体" w:hAnsi="宋体" w:eastAsia="黑体" w:cs="Times New Roman"/>
          <w:sz w:val="24"/>
        </w:rPr>
        <w:t>46．履约担保</w:t>
      </w:r>
      <w:bookmarkEnd w:id="134"/>
      <w:bookmarkEnd w:id="135"/>
      <w:bookmarkEnd w:id="136"/>
      <w:bookmarkEnd w:id="137"/>
      <w:bookmarkEnd w:id="138"/>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9" w:name="_Hlk72440769"/>
      <w:r>
        <w:rPr>
          <w:rFonts w:hint="eastAsia" w:ascii="宋体" w:hAnsi="宋体" w:eastAsia="宋体" w:cs="Times New Roman"/>
          <w:szCs w:val="21"/>
        </w:rPr>
        <w:t>政府集中采购机构或采购人不予退还其交纳的谈判保证金，情节严重的，并由主管部门</w:t>
      </w:r>
      <w:bookmarkEnd w:id="139"/>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3"/>
    <w:p>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0" w:name="_Hlk75374941"/>
      <w:r>
        <w:rPr>
          <w:rFonts w:hint="eastAsia" w:ascii="宋体" w:hAnsi="宋体" w:eastAsia="宋体" w:cs="Times New Roman"/>
          <w:szCs w:val="21"/>
        </w:rPr>
        <w:t>以联合体形式参与的，质疑应当由组成联合体的所有成员共同提出</w:t>
      </w:r>
      <w:bookmarkEnd w:id="140"/>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TViYmM5N2VkNzE3YzEyMDY3NjQ5MmFhNDQzY2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33B4"/>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B80B7A"/>
    <w:rsid w:val="01E55D35"/>
    <w:rsid w:val="01F72B36"/>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6CE0008"/>
    <w:rsid w:val="07554285"/>
    <w:rsid w:val="0775586D"/>
    <w:rsid w:val="07EC528E"/>
    <w:rsid w:val="081C64DD"/>
    <w:rsid w:val="08272D29"/>
    <w:rsid w:val="083E1B6F"/>
    <w:rsid w:val="08435461"/>
    <w:rsid w:val="08435AFA"/>
    <w:rsid w:val="087109F5"/>
    <w:rsid w:val="08AF0DE8"/>
    <w:rsid w:val="090C7C1B"/>
    <w:rsid w:val="0929095D"/>
    <w:rsid w:val="09493091"/>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CF425D"/>
    <w:rsid w:val="1DE3725E"/>
    <w:rsid w:val="1E330E9C"/>
    <w:rsid w:val="1E340CEE"/>
    <w:rsid w:val="1E9C6591"/>
    <w:rsid w:val="1F507A92"/>
    <w:rsid w:val="1FD21930"/>
    <w:rsid w:val="1FDD5627"/>
    <w:rsid w:val="20043B19"/>
    <w:rsid w:val="203A1396"/>
    <w:rsid w:val="20BE2A44"/>
    <w:rsid w:val="20BE2B3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5735D35"/>
    <w:rsid w:val="25784A9C"/>
    <w:rsid w:val="2596668B"/>
    <w:rsid w:val="25E16A45"/>
    <w:rsid w:val="25F11338"/>
    <w:rsid w:val="25F46AB0"/>
    <w:rsid w:val="27217B54"/>
    <w:rsid w:val="274348DC"/>
    <w:rsid w:val="277D1EE5"/>
    <w:rsid w:val="27A31B59"/>
    <w:rsid w:val="27B87AF2"/>
    <w:rsid w:val="27EE3E21"/>
    <w:rsid w:val="285E29E0"/>
    <w:rsid w:val="286C3B37"/>
    <w:rsid w:val="289002C6"/>
    <w:rsid w:val="28B86003"/>
    <w:rsid w:val="28C71A62"/>
    <w:rsid w:val="293801B5"/>
    <w:rsid w:val="298A23AD"/>
    <w:rsid w:val="2B033371"/>
    <w:rsid w:val="2B067EC8"/>
    <w:rsid w:val="2B343BE6"/>
    <w:rsid w:val="2B3A56AF"/>
    <w:rsid w:val="2BB71443"/>
    <w:rsid w:val="2BDC0BC9"/>
    <w:rsid w:val="2BF00047"/>
    <w:rsid w:val="2C0853D9"/>
    <w:rsid w:val="2C240F34"/>
    <w:rsid w:val="2C64115C"/>
    <w:rsid w:val="2C70392E"/>
    <w:rsid w:val="2D0B54A3"/>
    <w:rsid w:val="2D230138"/>
    <w:rsid w:val="2D355E3C"/>
    <w:rsid w:val="2D6F4378"/>
    <w:rsid w:val="2DED1D9C"/>
    <w:rsid w:val="2DFF521E"/>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4233AC"/>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B1D7E"/>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382367"/>
    <w:rsid w:val="505144B9"/>
    <w:rsid w:val="509960DB"/>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EC22F0"/>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734B3"/>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896799"/>
    <w:rsid w:val="68D357B0"/>
    <w:rsid w:val="68E21A43"/>
    <w:rsid w:val="68F669DD"/>
    <w:rsid w:val="690C170A"/>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E241C6"/>
    <w:rsid w:val="71034F30"/>
    <w:rsid w:val="71603DA0"/>
    <w:rsid w:val="722515A8"/>
    <w:rsid w:val="722E2B52"/>
    <w:rsid w:val="728B1D53"/>
    <w:rsid w:val="72991E28"/>
    <w:rsid w:val="72D26514"/>
    <w:rsid w:val="7310706F"/>
    <w:rsid w:val="74564E86"/>
    <w:rsid w:val="74C434B7"/>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4F03FB"/>
    <w:rsid w:val="7D7173A1"/>
    <w:rsid w:val="7DB23C95"/>
    <w:rsid w:val="7E43357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qFormat/>
    <w:uiPriority w:val="0"/>
    <w:pPr>
      <w:adjustRightInd w:val="0"/>
      <w:jc w:val="center"/>
      <w:textAlignment w:val="baseline"/>
      <w:outlineLvl w:val="1"/>
    </w:pPr>
    <w:rPr>
      <w:kern w:val="0"/>
      <w:sz w:val="24"/>
      <w:szCs w:val="20"/>
    </w:rPr>
  </w:style>
  <w:style w:type="paragraph" w:styleId="3">
    <w:name w:val="heading 3"/>
    <w:basedOn w:val="4"/>
    <w:next w:val="1"/>
    <w:link w:val="57"/>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qFormat/>
    <w:uiPriority w:val="0"/>
    <w:pPr>
      <w:keepNext/>
      <w:keepLines/>
      <w:spacing w:before="280" w:after="290" w:line="376" w:lineRule="auto"/>
      <w:outlineLvl w:val="4"/>
    </w:pPr>
    <w:rPr>
      <w:b/>
      <w:sz w:val="28"/>
      <w:szCs w:val="20"/>
    </w:rPr>
  </w:style>
  <w:style w:type="paragraph" w:styleId="10">
    <w:name w:val="heading 6"/>
    <w:basedOn w:val="1"/>
    <w:next w:val="7"/>
    <w:link w:val="85"/>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qFormat/>
    <w:uiPriority w:val="0"/>
    <w:pPr>
      <w:keepNext/>
      <w:keepLines/>
      <w:spacing w:before="240" w:after="64" w:line="320" w:lineRule="auto"/>
      <w:outlineLvl w:val="6"/>
    </w:pPr>
    <w:rPr>
      <w:b/>
      <w:sz w:val="24"/>
      <w:szCs w:val="20"/>
    </w:rPr>
  </w:style>
  <w:style w:type="paragraph" w:styleId="12">
    <w:name w:val="heading 8"/>
    <w:basedOn w:val="1"/>
    <w:next w:val="7"/>
    <w:link w:val="87"/>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qFormat/>
    <w:uiPriority w:val="0"/>
    <w:pPr>
      <w:ind w:firstLine="420"/>
    </w:pPr>
    <w:rPr>
      <w:szCs w:val="20"/>
    </w:rPr>
  </w:style>
  <w:style w:type="paragraph" w:styleId="8">
    <w:name w:val="Body Text"/>
    <w:basedOn w:val="1"/>
    <w:next w:val="9"/>
    <w:link w:val="94"/>
    <w:qFormat/>
    <w:uiPriority w:val="0"/>
    <w:pPr>
      <w:spacing w:line="360" w:lineRule="auto"/>
    </w:pPr>
    <w:rPr>
      <w:b/>
      <w:bCs/>
      <w:sz w:val="24"/>
    </w:rPr>
  </w:style>
  <w:style w:type="paragraph" w:styleId="9">
    <w:name w:val="Quote"/>
    <w:next w:val="1"/>
    <w:link w:val="440"/>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qFormat/>
    <w:uiPriority w:val="0"/>
    <w:pPr>
      <w:spacing w:after="120"/>
    </w:pPr>
    <w:rPr>
      <w:sz w:val="16"/>
      <w:szCs w:val="16"/>
    </w:rPr>
  </w:style>
  <w:style w:type="paragraph" w:styleId="20">
    <w:name w:val="Body Text Indent"/>
    <w:basedOn w:val="1"/>
    <w:link w:val="81"/>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0"/>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semiHidden/>
    <w:qFormat/>
    <w:uiPriority w:val="99"/>
    <w:rPr>
      <w:sz w:val="18"/>
      <w:szCs w:val="18"/>
    </w:rPr>
  </w:style>
  <w:style w:type="paragraph" w:styleId="28">
    <w:name w:val="footer"/>
    <w:basedOn w:val="1"/>
    <w:link w:val="99"/>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Subtitle"/>
    <w:next w:val="1"/>
    <w:link w:val="311"/>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98"/>
    <w:qFormat/>
    <w:uiPriority w:val="0"/>
    <w:pPr>
      <w:spacing w:line="360" w:lineRule="auto"/>
    </w:pPr>
    <w:rPr>
      <w:sz w:val="24"/>
    </w:rPr>
  </w:style>
  <w:style w:type="paragraph" w:styleId="38">
    <w:name w:val="HTML Preformatted"/>
    <w:basedOn w:val="1"/>
    <w:link w:val="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qFormat/>
    <w:uiPriority w:val="99"/>
    <w:pPr>
      <w:spacing w:beforeAutospacing="1" w:afterAutospacing="1"/>
      <w:jc w:val="left"/>
    </w:pPr>
    <w:rPr>
      <w:kern w:val="0"/>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qFormat/>
    <w:uiPriority w:val="0"/>
    <w:pPr>
      <w:spacing w:after="120" w:line="240" w:lineRule="auto"/>
      <w:ind w:firstLine="420" w:firstLineChars="100"/>
    </w:pPr>
    <w:rPr>
      <w:sz w:val="21"/>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basedOn w:val="47"/>
    <w:qFormat/>
    <w:uiPriority w:val="0"/>
    <w:rPr>
      <w:sz w:val="20"/>
    </w:rPr>
  </w:style>
  <w:style w:type="character" w:styleId="52">
    <w:name w:val="Hyperlink"/>
    <w:qFormat/>
    <w:uiPriority w:val="0"/>
    <w:rPr>
      <w:color w:val="0000FF"/>
      <w:u w:val="single"/>
    </w:rPr>
  </w:style>
  <w:style w:type="character" w:styleId="53">
    <w:name w:val="annotation reference"/>
    <w:basedOn w:val="47"/>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qFormat/>
    <w:uiPriority w:val="9"/>
    <w:rPr>
      <w:rFonts w:ascii="Arial" w:hAnsi="Arial" w:eastAsia="黑体"/>
      <w:b/>
      <w:bCs/>
      <w:kern w:val="2"/>
      <w:sz w:val="28"/>
      <w:szCs w:val="28"/>
      <w:lang w:val="en-US" w:eastAsia="zh-CN" w:bidi="ar-SA"/>
    </w:r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qFormat/>
    <w:uiPriority w:val="9"/>
    <w:rPr>
      <w:rFonts w:ascii="宋体" w:hAnsi="宋体" w:eastAsia="宋体"/>
      <w:b/>
      <w:bCs/>
      <w:kern w:val="2"/>
      <w:sz w:val="28"/>
      <w:szCs w:val="32"/>
      <w:lang w:val="en-US" w:eastAsia="zh-CN" w:bidi="ar-SA"/>
    </w:rPr>
  </w:style>
  <w:style w:type="character" w:customStyle="1" w:styleId="58">
    <w:name w:val="标题 1 Char"/>
    <w:link w:val="2"/>
    <w:qFormat/>
    <w:uiPriority w:val="0"/>
    <w:rPr>
      <w:rFonts w:ascii="宋体" w:hAnsi="宋体" w:eastAsia="黑体"/>
      <w:b/>
      <w:bCs/>
      <w:kern w:val="44"/>
      <w:sz w:val="28"/>
      <w:szCs w:val="44"/>
      <w:lang w:val="en-US" w:eastAsia="zh-CN" w:bidi="ar-SA"/>
    </w:rPr>
  </w:style>
  <w:style w:type="character" w:customStyle="1" w:styleId="59">
    <w:name w:val="正文缩进 Char"/>
    <w:link w:val="7"/>
    <w:qFormat/>
    <w:uiPriority w:val="0"/>
    <w:rPr>
      <w:rFonts w:eastAsia="宋体"/>
      <w:kern w:val="2"/>
      <w:sz w:val="21"/>
      <w:lang w:val="en-US" w:eastAsia="zh-CN" w:bidi="ar-SA"/>
    </w:rPr>
  </w:style>
  <w:style w:type="character" w:customStyle="1" w:styleId="60">
    <w:name w:val="标题 3 Char"/>
    <w:qFormat/>
    <w:uiPriority w:val="0"/>
    <w:rPr>
      <w:rFonts w:ascii="黑体" w:eastAsia="黑体"/>
      <w:bCs/>
      <w:sz w:val="30"/>
    </w:rPr>
  </w:style>
  <w:style w:type="paragraph" w:customStyle="1" w:styleId="61">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qFormat/>
    <w:uiPriority w:val="0"/>
    <w:pPr>
      <w:spacing w:afterLines="50"/>
      <w:ind w:left="600" w:leftChars="600"/>
    </w:pPr>
  </w:style>
  <w:style w:type="paragraph" w:customStyle="1" w:styleId="69">
    <w:name w:val="Char Char Char Char Char"/>
    <w:basedOn w:val="1"/>
    <w:qFormat/>
    <w:uiPriority w:val="0"/>
    <w:rPr>
      <w:rFonts w:ascii="Tahoma" w:hAnsi="Tahoma"/>
      <w:sz w:val="24"/>
      <w:szCs w:val="20"/>
    </w:rPr>
  </w:style>
  <w:style w:type="paragraph" w:customStyle="1" w:styleId="70">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qFormat/>
    <w:uiPriority w:val="0"/>
    <w:rPr>
      <w:rFonts w:ascii="Tahoma" w:hAnsi="Tahoma"/>
      <w:sz w:val="24"/>
      <w:szCs w:val="20"/>
    </w:rPr>
  </w:style>
  <w:style w:type="paragraph" w:customStyle="1" w:styleId="72">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qFormat/>
    <w:uiPriority w:val="0"/>
    <w:rPr>
      <w:rFonts w:ascii="宋体" w:hAnsi="宋体" w:eastAsia="宋体"/>
      <w:b/>
      <w:bCs/>
      <w:sz w:val="24"/>
      <w:lang w:val="en-US" w:eastAsia="zh-CN" w:bidi="ar-SA"/>
    </w:rPr>
  </w:style>
  <w:style w:type="paragraph" w:customStyle="1" w:styleId="7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qFormat/>
    <w:uiPriority w:val="0"/>
    <w:pPr>
      <w:ind w:firstLine="420" w:firstLineChars="200"/>
    </w:pPr>
    <w:rPr>
      <w:rFonts w:ascii="Calibri" w:hAnsi="Calibri"/>
      <w:szCs w:val="22"/>
    </w:rPr>
  </w:style>
  <w:style w:type="paragraph" w:customStyle="1" w:styleId="76">
    <w:name w:val="USE 1"/>
    <w:basedOn w:val="1"/>
    <w:qFormat/>
    <w:uiPriority w:val="0"/>
    <w:pPr>
      <w:spacing w:line="200" w:lineRule="atLeast"/>
      <w:jc w:val="left"/>
    </w:pPr>
    <w:rPr>
      <w:rFonts w:ascii="宋体" w:hAnsi="宋体"/>
      <w:b/>
      <w:sz w:val="24"/>
      <w:szCs w:val="28"/>
    </w:rPr>
  </w:style>
  <w:style w:type="paragraph" w:customStyle="1" w:styleId="77">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80">
    <w:name w:val="H4 Char2"/>
    <w:qFormat/>
    <w:uiPriority w:val="0"/>
    <w:rPr>
      <w:rFonts w:ascii="Arial" w:hAnsi="Arial" w:eastAsia="黑体"/>
      <w:b/>
      <w:bCs/>
      <w:kern w:val="2"/>
      <w:sz w:val="28"/>
      <w:szCs w:val="28"/>
      <w:lang w:val="en-US" w:eastAsia="zh-CN" w:bidi="ar-SA"/>
    </w:rPr>
  </w:style>
  <w:style w:type="character" w:customStyle="1" w:styleId="81">
    <w:name w:val="正文文本缩进 Char"/>
    <w:link w:val="20"/>
    <w:qFormat/>
    <w:uiPriority w:val="0"/>
    <w:rPr>
      <w:rFonts w:eastAsia="宋体"/>
      <w:kern w:val="2"/>
      <w:sz w:val="21"/>
      <w:szCs w:val="24"/>
      <w:lang w:val="en-US" w:eastAsia="zh-CN" w:bidi="ar-SA"/>
    </w:rPr>
  </w:style>
  <w:style w:type="character" w:customStyle="1" w:styleId="82">
    <w:name w:val="标题 5 Char"/>
    <w:link w:val="6"/>
    <w:qFormat/>
    <w:uiPriority w:val="0"/>
    <w:rPr>
      <w:rFonts w:eastAsia="宋体"/>
      <w:b/>
      <w:kern w:val="2"/>
      <w:sz w:val="28"/>
      <w:lang w:val="en-US" w:eastAsia="zh-CN" w:bidi="ar-SA"/>
    </w:rPr>
  </w:style>
  <w:style w:type="character" w:customStyle="1" w:styleId="83">
    <w:name w:val="第*章 Char"/>
    <w:qFormat/>
    <w:uiPriority w:val="0"/>
    <w:rPr>
      <w:rFonts w:ascii="Arial" w:hAnsi="Arial" w:eastAsia="黑体"/>
      <w:b/>
      <w:bCs/>
      <w:kern w:val="2"/>
      <w:sz w:val="32"/>
      <w:szCs w:val="32"/>
    </w:rPr>
  </w:style>
  <w:style w:type="character" w:customStyle="1" w:styleId="84">
    <w:name w:val="章标题1 Char"/>
    <w:qFormat/>
    <w:uiPriority w:val="0"/>
    <w:rPr>
      <w:rFonts w:eastAsia="宋体"/>
      <w:b/>
      <w:bCs/>
      <w:kern w:val="2"/>
      <w:sz w:val="32"/>
      <w:szCs w:val="32"/>
      <w:lang w:val="en-US" w:eastAsia="zh-CN" w:bidi="ar-SA"/>
    </w:rPr>
  </w:style>
  <w:style w:type="character" w:customStyle="1" w:styleId="85">
    <w:name w:val="标题 6 Char"/>
    <w:link w:val="10"/>
    <w:qFormat/>
    <w:uiPriority w:val="0"/>
    <w:rPr>
      <w:rFonts w:ascii="Arial" w:hAnsi="Arial" w:eastAsia="黑体"/>
      <w:b/>
      <w:kern w:val="2"/>
      <w:sz w:val="24"/>
      <w:lang w:val="en-US" w:eastAsia="zh-CN" w:bidi="ar-SA"/>
    </w:rPr>
  </w:style>
  <w:style w:type="character" w:customStyle="1" w:styleId="86">
    <w:name w:val="标题 7 Char"/>
    <w:link w:val="11"/>
    <w:qFormat/>
    <w:uiPriority w:val="0"/>
    <w:rPr>
      <w:rFonts w:eastAsia="宋体"/>
      <w:b/>
      <w:kern w:val="2"/>
      <w:sz w:val="24"/>
      <w:lang w:val="en-US" w:eastAsia="zh-CN" w:bidi="ar-SA"/>
    </w:rPr>
  </w:style>
  <w:style w:type="character" w:customStyle="1" w:styleId="87">
    <w:name w:val="标题 8 Char"/>
    <w:link w:val="12"/>
    <w:qFormat/>
    <w:uiPriority w:val="0"/>
    <w:rPr>
      <w:rFonts w:ascii="Arial" w:hAnsi="Arial" w:eastAsia="黑体"/>
      <w:kern w:val="2"/>
      <w:sz w:val="24"/>
      <w:lang w:val="en-US" w:eastAsia="zh-CN" w:bidi="ar-SA"/>
    </w:rPr>
  </w:style>
  <w:style w:type="character" w:customStyle="1" w:styleId="88">
    <w:name w:val="标题 9 Char"/>
    <w:link w:val="13"/>
    <w:qFormat/>
    <w:uiPriority w:val="0"/>
    <w:rPr>
      <w:rFonts w:ascii="Arial" w:hAnsi="Arial" w:eastAsia="黑体"/>
      <w:kern w:val="2"/>
      <w:sz w:val="21"/>
      <w:lang w:val="en-US" w:eastAsia="zh-CN" w:bidi="ar-SA"/>
    </w:rPr>
  </w:style>
  <w:style w:type="character" w:customStyle="1" w:styleId="89">
    <w:name w:val="标题 Char"/>
    <w:link w:val="41"/>
    <w:qFormat/>
    <w:uiPriority w:val="0"/>
    <w:rPr>
      <w:rFonts w:ascii="Arial" w:hAnsi="Arial" w:eastAsia="隶书" w:cs="Arial"/>
      <w:b/>
      <w:bCs/>
      <w:kern w:val="2"/>
      <w:sz w:val="32"/>
      <w:szCs w:val="32"/>
      <w:lang w:val="en-US" w:eastAsia="zh-CN" w:bidi="ar-SA"/>
    </w:rPr>
  </w:style>
  <w:style w:type="character" w:customStyle="1" w:styleId="90">
    <w:name w:val="日期 Char"/>
    <w:link w:val="25"/>
    <w:qFormat/>
    <w:uiPriority w:val="0"/>
    <w:rPr>
      <w:rFonts w:ascii="宋体" w:hAnsi="Courier New" w:eastAsia="宋体"/>
      <w:kern w:val="2"/>
      <w:sz w:val="32"/>
      <w:lang w:val="en-US" w:eastAsia="zh-CN" w:bidi="ar-SA"/>
    </w:rPr>
  </w:style>
  <w:style w:type="character" w:customStyle="1" w:styleId="91">
    <w:name w:val="HTML 预设格式 Char"/>
    <w:link w:val="38"/>
    <w:qFormat/>
    <w:uiPriority w:val="0"/>
    <w:rPr>
      <w:rFonts w:ascii="Arial Unicode MS" w:hAnsi="Arial Unicode MS" w:eastAsia="Arial Unicode MS"/>
      <w:color w:val="000000"/>
      <w:lang w:val="en-US" w:eastAsia="zh-CN" w:bidi="ar-SA"/>
    </w:rPr>
  </w:style>
  <w:style w:type="character" w:customStyle="1" w:styleId="92">
    <w:name w:val="纯文本 Char"/>
    <w:link w:val="23"/>
    <w:qFormat/>
    <w:uiPriority w:val="0"/>
    <w:rPr>
      <w:rFonts w:ascii="宋体" w:hAnsi="Courier New" w:eastAsia="宋体"/>
      <w:kern w:val="2"/>
      <w:sz w:val="21"/>
      <w:lang w:val="en-US" w:eastAsia="zh-CN" w:bidi="ar-SA"/>
    </w:rPr>
  </w:style>
  <w:style w:type="character" w:customStyle="1" w:styleId="93">
    <w:name w:val="正文文字首行缩进 Char"/>
    <w:qFormat/>
    <w:uiPriority w:val="0"/>
    <w:rPr>
      <w:kern w:val="2"/>
      <w:sz w:val="21"/>
      <w:szCs w:val="24"/>
    </w:rPr>
  </w:style>
  <w:style w:type="character" w:customStyle="1" w:styleId="94">
    <w:name w:val="正文文本 Char"/>
    <w:link w:val="8"/>
    <w:qFormat/>
    <w:uiPriority w:val="0"/>
    <w:rPr>
      <w:rFonts w:eastAsia="宋体"/>
      <w:b/>
      <w:bCs/>
      <w:kern w:val="2"/>
      <w:sz w:val="24"/>
      <w:szCs w:val="24"/>
      <w:lang w:val="en-US" w:eastAsia="zh-CN" w:bidi="ar-SA"/>
    </w:rPr>
  </w:style>
  <w:style w:type="character" w:customStyle="1" w:styleId="95">
    <w:name w:val="正文文本缩进 2 Char"/>
    <w:link w:val="26"/>
    <w:qFormat/>
    <w:uiPriority w:val="0"/>
    <w:rPr>
      <w:rFonts w:ascii="宋体" w:hAnsi="宋体" w:eastAsia="宋体"/>
      <w:kern w:val="2"/>
      <w:sz w:val="21"/>
      <w:szCs w:val="24"/>
      <w:lang w:val="en-US" w:eastAsia="zh-CN" w:bidi="ar-SA"/>
    </w:rPr>
  </w:style>
  <w:style w:type="character" w:customStyle="1" w:styleId="96">
    <w:name w:val="页眉 Char"/>
    <w:link w:val="29"/>
    <w:qFormat/>
    <w:uiPriority w:val="99"/>
    <w:rPr>
      <w:rFonts w:eastAsia="宋体"/>
      <w:kern w:val="2"/>
      <w:sz w:val="18"/>
      <w:szCs w:val="18"/>
      <w:lang w:val="en-US" w:eastAsia="zh-CN" w:bidi="ar-SA"/>
    </w:rPr>
  </w:style>
  <w:style w:type="character" w:customStyle="1" w:styleId="97">
    <w:name w:val="正文文本缩进 3 Char"/>
    <w:link w:val="34"/>
    <w:qFormat/>
    <w:uiPriority w:val="0"/>
    <w:rPr>
      <w:rFonts w:ascii="宋体" w:eastAsia="宋体"/>
      <w:b/>
      <w:bCs/>
      <w:kern w:val="2"/>
      <w:sz w:val="24"/>
      <w:szCs w:val="24"/>
      <w:lang w:val="en-US" w:eastAsia="zh-CN" w:bidi="ar-SA"/>
    </w:rPr>
  </w:style>
  <w:style w:type="character" w:customStyle="1" w:styleId="98">
    <w:name w:val="正文文本 2 Char"/>
    <w:link w:val="37"/>
    <w:qFormat/>
    <w:uiPriority w:val="0"/>
    <w:rPr>
      <w:rFonts w:eastAsia="宋体"/>
      <w:kern w:val="2"/>
      <w:sz w:val="24"/>
      <w:szCs w:val="24"/>
      <w:lang w:val="en-US" w:eastAsia="zh-CN" w:bidi="ar-SA"/>
    </w:rPr>
  </w:style>
  <w:style w:type="character" w:customStyle="1" w:styleId="99">
    <w:name w:val="页脚 Char"/>
    <w:link w:val="28"/>
    <w:qFormat/>
    <w:uiPriority w:val="0"/>
    <w:rPr>
      <w:rFonts w:eastAsia="宋体"/>
      <w:kern w:val="2"/>
      <w:sz w:val="18"/>
      <w:szCs w:val="18"/>
      <w:lang w:val="en-US" w:eastAsia="zh-CN" w:bidi="ar-SA"/>
    </w:rPr>
  </w:style>
  <w:style w:type="character" w:customStyle="1" w:styleId="100">
    <w:name w:val="正文文本 3 Char"/>
    <w:link w:val="19"/>
    <w:qFormat/>
    <w:uiPriority w:val="0"/>
    <w:rPr>
      <w:rFonts w:eastAsia="宋体"/>
      <w:kern w:val="2"/>
      <w:sz w:val="16"/>
      <w:szCs w:val="16"/>
      <w:lang w:val="en-US" w:eastAsia="zh-CN" w:bidi="ar-SA"/>
    </w:rPr>
  </w:style>
  <w:style w:type="character" w:customStyle="1" w:styleId="101">
    <w:name w:val="批注框文本 Char"/>
    <w:link w:val="27"/>
    <w:semiHidden/>
    <w:qFormat/>
    <w:uiPriority w:val="99"/>
    <w:rPr>
      <w:rFonts w:eastAsia="宋体"/>
      <w:kern w:val="2"/>
      <w:sz w:val="18"/>
      <w:szCs w:val="18"/>
      <w:lang w:val="en-US" w:eastAsia="zh-CN" w:bidi="ar-SA"/>
    </w:rPr>
  </w:style>
  <w:style w:type="paragraph" w:customStyle="1" w:styleId="102">
    <w:name w:val="样式1"/>
    <w:basedOn w:val="41"/>
    <w:qFormat/>
    <w:uiPriority w:val="0"/>
    <w:pPr>
      <w:spacing w:before="120" w:after="120"/>
    </w:pPr>
    <w:rPr>
      <w:rFonts w:eastAsia="黑体"/>
      <w:b w:val="0"/>
      <w:sz w:val="30"/>
      <w:szCs w:val="21"/>
    </w:rPr>
  </w:style>
  <w:style w:type="paragraph" w:customStyle="1" w:styleId="103">
    <w:name w:val="样式2"/>
    <w:basedOn w:val="41"/>
    <w:next w:val="102"/>
    <w:qFormat/>
    <w:uiPriority w:val="0"/>
    <w:pPr>
      <w:spacing w:before="120" w:after="120"/>
    </w:pPr>
    <w:rPr>
      <w:rFonts w:eastAsia="黑体"/>
      <w:b w:val="0"/>
      <w:sz w:val="30"/>
      <w:szCs w:val="30"/>
    </w:rPr>
  </w:style>
  <w:style w:type="character" w:customStyle="1" w:styleId="104">
    <w:name w:val="标题 3 Char Char"/>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qFormat/>
    <w:uiPriority w:val="0"/>
    <w:pPr>
      <w:spacing w:line="360" w:lineRule="auto"/>
      <w:ind w:firstLine="200" w:firstLineChars="200"/>
    </w:pPr>
    <w:rPr>
      <w:szCs w:val="20"/>
    </w:rPr>
  </w:style>
  <w:style w:type="paragraph" w:customStyle="1" w:styleId="108">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qFormat/>
    <w:uiPriority w:val="0"/>
    <w:pPr>
      <w:tabs>
        <w:tab w:val="left" w:pos="842"/>
      </w:tabs>
      <w:spacing w:line="360" w:lineRule="auto"/>
      <w:ind w:left="842" w:hanging="420"/>
    </w:pPr>
    <w:rPr>
      <w:sz w:val="24"/>
    </w:rPr>
  </w:style>
  <w:style w:type="paragraph" w:customStyle="1" w:styleId="111">
    <w:name w:val="文字"/>
    <w:basedOn w:val="1"/>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qFormat/>
    <w:uiPriority w:val="0"/>
    <w:pPr>
      <w:spacing w:line="240" w:lineRule="auto"/>
      <w:ind w:firstLine="0" w:firstLineChars="0"/>
    </w:pPr>
    <w:rPr>
      <w:sz w:val="20"/>
    </w:rPr>
  </w:style>
  <w:style w:type="paragraph" w:customStyle="1" w:styleId="113">
    <w:name w:val="--规划-表格-居中"/>
    <w:basedOn w:val="107"/>
    <w:qFormat/>
    <w:uiPriority w:val="0"/>
    <w:pPr>
      <w:spacing w:line="240" w:lineRule="auto"/>
      <w:ind w:firstLine="0" w:firstLineChars="0"/>
      <w:jc w:val="center"/>
    </w:pPr>
    <w:rPr>
      <w:sz w:val="20"/>
    </w:rPr>
  </w:style>
  <w:style w:type="paragraph" w:customStyle="1" w:styleId="114">
    <w:name w:val="--编号内缩进"/>
    <w:basedOn w:val="1"/>
    <w:qFormat/>
    <w:uiPriority w:val="0"/>
    <w:pPr>
      <w:spacing w:line="360" w:lineRule="auto"/>
      <w:ind w:left="420" w:firstLine="200" w:firstLineChars="200"/>
    </w:pPr>
    <w:rPr>
      <w:szCs w:val="21"/>
    </w:rPr>
  </w:style>
  <w:style w:type="paragraph" w:customStyle="1" w:styleId="115">
    <w:name w:val="--规划-题注"/>
    <w:basedOn w:val="1"/>
    <w:next w:val="107"/>
    <w:qFormat/>
    <w:uiPriority w:val="0"/>
    <w:pPr>
      <w:spacing w:line="360" w:lineRule="auto"/>
      <w:jc w:val="center"/>
    </w:pPr>
    <w:rPr>
      <w:rFonts w:eastAsia="黑体"/>
    </w:rPr>
  </w:style>
  <w:style w:type="paragraph" w:customStyle="1" w:styleId="116">
    <w:name w:val="--规划-图和表"/>
    <w:next w:val="107"/>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qFormat/>
    <w:uiPriority w:val="0"/>
    <w:pPr>
      <w:keepNext/>
      <w:keepLines/>
      <w:spacing w:line="360" w:lineRule="auto"/>
      <w:outlineLvl w:val="4"/>
    </w:pPr>
    <w:rPr>
      <w:rFonts w:eastAsia="黑体"/>
    </w:rPr>
  </w:style>
  <w:style w:type="paragraph" w:customStyle="1" w:styleId="118">
    <w:name w:val="--规划正文 Char"/>
    <w:basedOn w:val="1"/>
    <w:qFormat/>
    <w:uiPriority w:val="0"/>
    <w:pPr>
      <w:spacing w:line="360" w:lineRule="auto"/>
      <w:ind w:firstLine="200" w:firstLineChars="200"/>
    </w:pPr>
    <w:rPr>
      <w:sz w:val="24"/>
    </w:rPr>
  </w:style>
  <w:style w:type="paragraph" w:customStyle="1" w:styleId="119">
    <w:name w:val="缺省文本"/>
    <w:basedOn w:val="1"/>
    <w:qFormat/>
    <w:uiPriority w:val="0"/>
    <w:pPr>
      <w:autoSpaceDE w:val="0"/>
      <w:autoSpaceDN w:val="0"/>
      <w:adjustRightInd w:val="0"/>
      <w:jc w:val="left"/>
    </w:pPr>
    <w:rPr>
      <w:kern w:val="0"/>
    </w:rPr>
  </w:style>
  <w:style w:type="paragraph" w:customStyle="1" w:styleId="120">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qFormat/>
    <w:uiPriority w:val="0"/>
    <w:rPr>
      <w:rFonts w:eastAsia="宋体"/>
      <w:kern w:val="2"/>
      <w:sz w:val="24"/>
      <w:szCs w:val="24"/>
      <w:lang w:val="en-US" w:eastAsia="zh-CN" w:bidi="ar-SA"/>
    </w:rPr>
  </w:style>
  <w:style w:type="paragraph" w:customStyle="1" w:styleId="12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qFormat/>
    <w:uiPriority w:val="0"/>
    <w:rPr>
      <w:rFonts w:eastAsia="宋体"/>
      <w:kern w:val="2"/>
      <w:sz w:val="21"/>
      <w:lang w:val="en-US" w:eastAsia="zh-CN" w:bidi="ar-SA"/>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qFormat/>
    <w:uiPriority w:val="0"/>
    <w:pPr>
      <w:tabs>
        <w:tab w:val="left" w:pos="420"/>
        <w:tab w:val="left" w:pos="1080"/>
      </w:tabs>
      <w:spacing w:line="288" w:lineRule="auto"/>
      <w:ind w:left="1080" w:hanging="360"/>
    </w:pPr>
    <w:rPr>
      <w:sz w:val="24"/>
      <w:szCs w:val="20"/>
    </w:rPr>
  </w:style>
  <w:style w:type="character" w:customStyle="1" w:styleId="126">
    <w:name w:val="content1"/>
    <w:qFormat/>
    <w:uiPriority w:val="0"/>
    <w:rPr>
      <w:rFonts w:hint="default" w:ascii="??" w:hAnsi="??"/>
      <w:sz w:val="16"/>
      <w:szCs w:val="16"/>
      <w:u w:val="none"/>
    </w:rPr>
  </w:style>
  <w:style w:type="character" w:customStyle="1" w:styleId="127">
    <w:name w:val="unnamed4"/>
    <w:basedOn w:val="47"/>
    <w:qFormat/>
    <w:uiPriority w:val="0"/>
  </w:style>
  <w:style w:type="character" w:customStyle="1" w:styleId="128">
    <w:name w:val="font2"/>
    <w:basedOn w:val="47"/>
    <w:qFormat/>
    <w:uiPriority w:val="0"/>
  </w:style>
  <w:style w:type="character" w:customStyle="1" w:styleId="129">
    <w:name w:val="font41"/>
    <w:qFormat/>
    <w:uiPriority w:val="0"/>
    <w:rPr>
      <w:color w:val="000000"/>
      <w:spacing w:val="260"/>
      <w:sz w:val="18"/>
      <w:szCs w:val="18"/>
      <w:u w:val="none"/>
    </w:rPr>
  </w:style>
  <w:style w:type="paragraph" w:customStyle="1" w:styleId="130">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qFormat/>
    <w:uiPriority w:val="0"/>
    <w:rPr>
      <w:rFonts w:eastAsia="宋体"/>
      <w:b/>
      <w:bCs/>
      <w:kern w:val="2"/>
      <w:sz w:val="21"/>
      <w:szCs w:val="24"/>
      <w:lang w:val="en-US" w:eastAsia="zh-CN" w:bidi="ar-SA"/>
    </w:rPr>
  </w:style>
  <w:style w:type="paragraph" w:customStyle="1" w:styleId="133">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qFormat/>
    <w:uiPriority w:val="0"/>
  </w:style>
  <w:style w:type="paragraph" w:customStyle="1" w:styleId="13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qFormat/>
    <w:uiPriority w:val="0"/>
  </w:style>
  <w:style w:type="paragraph" w:customStyle="1" w:styleId="139">
    <w:name w:val="8"/>
    <w:basedOn w:val="1"/>
    <w:next w:val="20"/>
    <w:qFormat/>
    <w:uiPriority w:val="0"/>
    <w:pPr>
      <w:spacing w:after="120"/>
      <w:ind w:left="420" w:leftChars="200"/>
    </w:pPr>
  </w:style>
  <w:style w:type="paragraph" w:customStyle="1" w:styleId="14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qFormat/>
    <w:uiPriority w:val="0"/>
    <w:pPr>
      <w:autoSpaceDE w:val="0"/>
      <w:autoSpaceDN w:val="0"/>
      <w:adjustRightInd w:val="0"/>
      <w:jc w:val="left"/>
    </w:pPr>
    <w:rPr>
      <w:rFonts w:ascii="宋体"/>
      <w:b/>
      <w:bCs/>
      <w:kern w:val="0"/>
      <w:sz w:val="18"/>
      <w:szCs w:val="18"/>
    </w:rPr>
  </w:style>
  <w:style w:type="paragraph" w:customStyle="1" w:styleId="143">
    <w:name w:val="6"/>
    <w:basedOn w:val="142"/>
    <w:qFormat/>
    <w:uiPriority w:val="0"/>
    <w:pPr>
      <w:spacing w:line="270" w:lineRule="atLeast"/>
      <w:jc w:val="both"/>
    </w:pPr>
    <w:rPr>
      <w:b w:val="0"/>
      <w:bCs w:val="0"/>
    </w:rPr>
  </w:style>
  <w:style w:type="paragraph" w:customStyle="1" w:styleId="144">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qFormat/>
    <w:uiPriority w:val="0"/>
    <w:pPr>
      <w:spacing w:line="240" w:lineRule="atLeast"/>
      <w:ind w:firstLine="567"/>
    </w:pPr>
    <w:rPr>
      <w:szCs w:val="20"/>
    </w:rPr>
  </w:style>
  <w:style w:type="paragraph" w:customStyle="1" w:styleId="146">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qFormat/>
    <w:uiPriority w:val="0"/>
    <w:pPr>
      <w:spacing w:line="200" w:lineRule="atLeast"/>
    </w:pPr>
    <w:rPr>
      <w:rFonts w:ascii="Arial" w:hAnsi="Arial" w:eastAsia="宋体" w:cs="Times New Roman"/>
      <w:color w:val="auto"/>
    </w:rPr>
  </w:style>
  <w:style w:type="paragraph" w:customStyle="1" w:styleId="148">
    <w:name w:val="Normal Paragraph"/>
    <w:basedOn w:val="1"/>
    <w:qFormat/>
    <w:uiPriority w:val="0"/>
    <w:pPr>
      <w:widowControl/>
      <w:spacing w:before="120" w:line="360" w:lineRule="auto"/>
      <w:ind w:firstLine="425"/>
    </w:pPr>
    <w:rPr>
      <w:kern w:val="0"/>
      <w:sz w:val="24"/>
    </w:rPr>
  </w:style>
  <w:style w:type="character" w:customStyle="1" w:styleId="149">
    <w:name w:val="blue"/>
    <w:basedOn w:val="47"/>
    <w:qFormat/>
    <w:uiPriority w:val="0"/>
  </w:style>
  <w:style w:type="paragraph" w:customStyle="1" w:styleId="150">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qFormat/>
    <w:uiPriority w:val="0"/>
  </w:style>
  <w:style w:type="character" w:customStyle="1" w:styleId="152">
    <w:name w:val="font11"/>
    <w:qFormat/>
    <w:uiPriority w:val="0"/>
    <w:rPr>
      <w:rFonts w:hint="default" w:ascii="ˎ̥" w:hAnsi="ˎ̥"/>
    </w:rPr>
  </w:style>
  <w:style w:type="paragraph" w:customStyle="1" w:styleId="153">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qFormat/>
    <w:uiPriority w:val="0"/>
  </w:style>
  <w:style w:type="character" w:customStyle="1" w:styleId="155">
    <w:name w:val="prodheadlines"/>
    <w:basedOn w:val="47"/>
    <w:qFormat/>
    <w:uiPriority w:val="0"/>
  </w:style>
  <w:style w:type="character" w:customStyle="1" w:styleId="156">
    <w:name w:val="text"/>
    <w:basedOn w:val="47"/>
    <w:qFormat/>
    <w:uiPriority w:val="0"/>
  </w:style>
  <w:style w:type="paragraph" w:customStyle="1" w:styleId="157">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qFormat/>
    <w:uiPriority w:val="0"/>
    <w:pPr>
      <w:ind w:firstLine="560" w:firstLineChars="200"/>
    </w:pPr>
    <w:rPr>
      <w:sz w:val="28"/>
    </w:rPr>
  </w:style>
  <w:style w:type="character" w:customStyle="1" w:styleId="163">
    <w:name w:val="gray6"/>
    <w:basedOn w:val="47"/>
    <w:qFormat/>
    <w:uiPriority w:val="0"/>
  </w:style>
  <w:style w:type="character" w:customStyle="1" w:styleId="164">
    <w:name w:val="style9"/>
    <w:basedOn w:val="47"/>
    <w:qFormat/>
    <w:uiPriority w:val="0"/>
  </w:style>
  <w:style w:type="paragraph" w:customStyle="1" w:styleId="165">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qFormat/>
    <w:uiPriority w:val="0"/>
  </w:style>
  <w:style w:type="paragraph" w:customStyle="1" w:styleId="167">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qFormat/>
    <w:uiPriority w:val="0"/>
    <w:pPr>
      <w:jc w:val="left"/>
    </w:pPr>
    <w:rPr>
      <w:rFonts w:ascii="Tahoma" w:hAnsi="Tahoma"/>
      <w:sz w:val="24"/>
      <w:szCs w:val="20"/>
    </w:rPr>
  </w:style>
  <w:style w:type="paragraph" w:customStyle="1" w:styleId="169">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qFormat/>
    <w:uiPriority w:val="0"/>
    <w:pPr>
      <w:widowControl/>
      <w:spacing w:before="100" w:beforeAutospacing="1" w:after="100" w:afterAutospacing="1"/>
      <w:jc w:val="left"/>
    </w:pPr>
    <w:rPr>
      <w:kern w:val="0"/>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qFormat/>
    <w:uiPriority w:val="0"/>
    <w:pPr>
      <w:adjustRightInd w:val="0"/>
      <w:jc w:val="center"/>
    </w:pPr>
    <w:rPr>
      <w:rFonts w:ascii="宋体"/>
      <w:sz w:val="24"/>
      <w:szCs w:val="20"/>
    </w:rPr>
  </w:style>
  <w:style w:type="character" w:customStyle="1" w:styleId="177">
    <w:name w:val="样式 小三 加粗"/>
    <w:qFormat/>
    <w:uiPriority w:val="0"/>
    <w:rPr>
      <w:rFonts w:eastAsia="宋体"/>
      <w:b/>
      <w:bCs/>
      <w:sz w:val="32"/>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qFormat/>
    <w:uiPriority w:val="0"/>
    <w:rPr>
      <w:rFonts w:ascii="Tahoma" w:hAnsi="Tahoma"/>
      <w:sz w:val="24"/>
      <w:szCs w:val="20"/>
    </w:rPr>
  </w:style>
  <w:style w:type="paragraph" w:customStyle="1" w:styleId="181">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qFormat/>
    <w:uiPriority w:val="0"/>
  </w:style>
  <w:style w:type="paragraph" w:customStyle="1" w:styleId="183">
    <w:name w:val="缩进正文"/>
    <w:basedOn w:val="1"/>
    <w:link w:val="184"/>
    <w:qFormat/>
    <w:uiPriority w:val="0"/>
    <w:pPr>
      <w:ind w:firstLine="560" w:firstLineChars="200"/>
    </w:pPr>
    <w:rPr>
      <w:rFonts w:eastAsia="仿宋_GB2312" w:cs="宋体"/>
      <w:sz w:val="28"/>
      <w:szCs w:val="20"/>
    </w:rPr>
  </w:style>
  <w:style w:type="character" w:customStyle="1" w:styleId="184">
    <w:name w:val="缩进正文 Char"/>
    <w:link w:val="183"/>
    <w:qFormat/>
    <w:uiPriority w:val="0"/>
    <w:rPr>
      <w:rFonts w:eastAsia="仿宋_GB2312" w:cs="宋体"/>
      <w:kern w:val="2"/>
      <w:sz w:val="28"/>
      <w:lang w:val="en-US" w:eastAsia="zh-CN" w:bidi="ar-SA"/>
    </w:rPr>
  </w:style>
  <w:style w:type="paragraph" w:customStyle="1" w:styleId="185">
    <w:name w:val="列出段落1"/>
    <w:basedOn w:val="1"/>
    <w:qFormat/>
    <w:uiPriority w:val="0"/>
    <w:pPr>
      <w:ind w:firstLine="420" w:firstLineChars="200"/>
    </w:pPr>
    <w:rPr>
      <w:rFonts w:ascii="Calibri" w:hAnsi="Calibri" w:cs="Calibri"/>
      <w:szCs w:val="21"/>
    </w:rPr>
  </w:style>
  <w:style w:type="character" w:customStyle="1" w:styleId="186">
    <w:name w:val="批注文字 Char"/>
    <w:basedOn w:val="47"/>
    <w:link w:val="18"/>
    <w:semiHidden/>
    <w:qFormat/>
    <w:uiPriority w:val="99"/>
    <w:rPr>
      <w:rFonts w:ascii="宋体"/>
      <w:sz w:val="34"/>
    </w:rPr>
  </w:style>
  <w:style w:type="character" w:customStyle="1" w:styleId="187">
    <w:name w:val="批注主题 Char"/>
    <w:basedOn w:val="186"/>
    <w:link w:val="42"/>
    <w:qFormat/>
    <w:uiPriority w:val="99"/>
    <w:rPr>
      <w:rFonts w:ascii="宋体"/>
      <w:sz w:val="34"/>
    </w:rPr>
  </w:style>
  <w:style w:type="paragraph" w:customStyle="1" w:styleId="188">
    <w:name w:val="评价"/>
    <w:basedOn w:val="1"/>
    <w:qFormat/>
    <w:uiPriority w:val="0"/>
    <w:pPr>
      <w:spacing w:afterLines="20"/>
      <w:ind w:firstLine="1446" w:firstLineChars="200"/>
    </w:pPr>
    <w:rPr>
      <w:rFonts w:ascii="Calibri" w:hAnsi="Calibri"/>
      <w:sz w:val="24"/>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semiHidden/>
    <w:qFormat/>
    <w:uiPriority w:val="0"/>
    <w:rPr>
      <w:sz w:val="20"/>
    </w:rPr>
  </w:style>
  <w:style w:type="character" w:customStyle="1" w:styleId="193">
    <w:name w:val="文档结构图 Char"/>
    <w:semiHidden/>
    <w:qFormat/>
    <w:uiPriority w:val="0"/>
    <w:rPr>
      <w:sz w:val="20"/>
    </w:rPr>
  </w:style>
  <w:style w:type="character" w:customStyle="1" w:styleId="194">
    <w:name w:val="short_text"/>
    <w:basedOn w:val="47"/>
    <w:qFormat/>
    <w:uiPriority w:val="0"/>
    <w:rPr>
      <w:sz w:val="20"/>
    </w:rPr>
  </w:style>
  <w:style w:type="character" w:customStyle="1" w:styleId="195">
    <w:name w:val="标题 Char1"/>
    <w:qFormat/>
    <w:uiPriority w:val="0"/>
    <w:rPr>
      <w:b/>
      <w:sz w:val="20"/>
    </w:rPr>
  </w:style>
  <w:style w:type="character" w:customStyle="1" w:styleId="196">
    <w:name w:val="正文文本缩进 3 Char1"/>
    <w:semiHidden/>
    <w:qFormat/>
    <w:uiPriority w:val="0"/>
    <w:rPr>
      <w:sz w:val="20"/>
    </w:rPr>
  </w:style>
  <w:style w:type="character" w:customStyle="1" w:styleId="197">
    <w:name w:val="font21"/>
    <w:qFormat/>
    <w:uiPriority w:val="0"/>
    <w:rPr>
      <w:color w:val="FF0000"/>
      <w:sz w:val="20"/>
      <w:u w:val="none"/>
    </w:rPr>
  </w:style>
  <w:style w:type="character" w:customStyle="1" w:styleId="198">
    <w:name w:val="不明显强调1"/>
    <w:qFormat/>
    <w:uiPriority w:val="0"/>
    <w:rPr>
      <w:i/>
      <w:sz w:val="20"/>
    </w:rPr>
  </w:style>
  <w:style w:type="character" w:customStyle="1" w:styleId="199">
    <w:name w:val="font71"/>
    <w:qFormat/>
    <w:uiPriority w:val="0"/>
    <w:rPr>
      <w:sz w:val="20"/>
      <w:u w:val="none"/>
    </w:rPr>
  </w:style>
  <w:style w:type="character" w:customStyle="1" w:styleId="200">
    <w:name w:val="页眉 Char1"/>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qFormat/>
    <w:uiPriority w:val="0"/>
    <w:rPr>
      <w:b/>
      <w:i/>
      <w:sz w:val="20"/>
    </w:rPr>
  </w:style>
  <w:style w:type="character" w:customStyle="1" w:styleId="209">
    <w:name w:val="long_text"/>
    <w:qFormat/>
    <w:uiPriority w:val="0"/>
    <w:rPr>
      <w:sz w:val="20"/>
    </w:rPr>
  </w:style>
  <w:style w:type="character" w:customStyle="1" w:styleId="210">
    <w:name w:val="日期 Char1"/>
    <w:semiHidden/>
    <w:qFormat/>
    <w:uiPriority w:val="0"/>
    <w:rPr>
      <w:sz w:val="20"/>
    </w:rPr>
  </w:style>
  <w:style w:type="character" w:customStyle="1" w:styleId="211">
    <w:name w:val="批注文字 Char1"/>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semiHidden/>
    <w:qFormat/>
    <w:uiPriority w:val="0"/>
    <w:rPr>
      <w:sz w:val="20"/>
    </w:rPr>
  </w:style>
  <w:style w:type="character" w:customStyle="1" w:styleId="216">
    <w:name w:val="font31"/>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semiHidden/>
    <w:qFormat/>
    <w:uiPriority w:val="0"/>
    <w:rPr>
      <w:sz w:val="20"/>
    </w:rPr>
  </w:style>
  <w:style w:type="character" w:customStyle="1" w:styleId="219">
    <w:name w:val="font01"/>
    <w:basedOn w:val="47"/>
    <w:qFormat/>
    <w:uiPriority w:val="0"/>
    <w:rPr>
      <w:color w:val="FF0000"/>
      <w:sz w:val="20"/>
      <w:u w:val="none"/>
      <w:vertAlign w:val="superscript"/>
    </w:rPr>
  </w:style>
  <w:style w:type="character" w:customStyle="1" w:styleId="220">
    <w:name w:val="页脚 Char1"/>
    <w:semiHidden/>
    <w:qFormat/>
    <w:uiPriority w:val="0"/>
    <w:rPr>
      <w:sz w:val="20"/>
    </w:rPr>
  </w:style>
  <w:style w:type="character" w:customStyle="1" w:styleId="221">
    <w:name w:val="批注框文本 Char1"/>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qFormat/>
    <w:uiPriority w:val="0"/>
    <w:pPr>
      <w:wordWrap w:val="0"/>
    </w:pPr>
    <w:rPr>
      <w:rFonts w:ascii="Calibri" w:hAnsi="Calibri" w:eastAsia="宋体" w:cs="Times New Roman"/>
      <w:sz w:val="32"/>
      <w:lang w:val="en-US" w:eastAsia="zh-CN" w:bidi="ar-SA"/>
    </w:rPr>
  </w:style>
  <w:style w:type="paragraph" w:customStyle="1" w:styleId="230">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qFormat/>
    <w:uiPriority w:val="0"/>
    <w:pPr>
      <w:ind w:firstLine="420"/>
    </w:pPr>
    <w:rPr>
      <w:rFonts w:hAnsi="Calibri"/>
      <w:kern w:val="0"/>
      <w:szCs w:val="20"/>
    </w:rPr>
  </w:style>
  <w:style w:type="paragraph" w:customStyle="1" w:styleId="257">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qFormat/>
    <w:uiPriority w:val="0"/>
    <w:pPr>
      <w:wordWrap w:val="0"/>
    </w:pPr>
    <w:rPr>
      <w:rFonts w:ascii="Calibri" w:hAnsi="Calibri" w:eastAsia="宋体" w:cs="Times New Roman"/>
      <w:sz w:val="32"/>
      <w:lang w:val="en-US" w:eastAsia="zh-CN" w:bidi="ar-SA"/>
    </w:rPr>
  </w:style>
  <w:style w:type="paragraph" w:customStyle="1" w:styleId="261">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qFormat/>
    <w:uiPriority w:val="0"/>
    <w:pPr>
      <w:wordWrap w:val="0"/>
    </w:pPr>
    <w:rPr>
      <w:rFonts w:ascii="Calibri" w:hAnsi="Calibri" w:eastAsia="宋体" w:cs="Times New Roman"/>
      <w:sz w:val="32"/>
      <w:lang w:val="en-US" w:eastAsia="zh-CN" w:bidi="ar-SA"/>
    </w:rPr>
  </w:style>
  <w:style w:type="paragraph" w:customStyle="1" w:styleId="270">
    <w:name w:val="TOC Heading8"/>
    <w:next w:val="1"/>
    <w:qFormat/>
    <w:uiPriority w:val="0"/>
    <w:pPr>
      <w:wordWrap w:val="0"/>
    </w:pPr>
    <w:rPr>
      <w:rFonts w:ascii="Calibri" w:hAnsi="Calibri" w:eastAsia="宋体" w:cs="Times New Roman"/>
      <w:sz w:val="32"/>
      <w:lang w:val="en-US" w:eastAsia="zh-CN" w:bidi="ar-SA"/>
    </w:rPr>
  </w:style>
  <w:style w:type="paragraph" w:customStyle="1" w:styleId="271">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qFormat/>
    <w:uiPriority w:val="0"/>
    <w:pPr>
      <w:widowControl/>
      <w:spacing w:before="280" w:after="280"/>
    </w:pPr>
    <w:rPr>
      <w:rFonts w:ascii="Arial" w:hAnsi="Calibri"/>
      <w:kern w:val="0"/>
      <w:sz w:val="20"/>
      <w:szCs w:val="20"/>
    </w:rPr>
  </w:style>
  <w:style w:type="paragraph" w:customStyle="1" w:styleId="278">
    <w:name w:val="TOC Heading11"/>
    <w:next w:val="1"/>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qFormat/>
    <w:uiPriority w:val="0"/>
    <w:pPr>
      <w:ind w:firstLine="420"/>
    </w:pPr>
    <w:rPr>
      <w:rFonts w:hAnsi="Calibri"/>
      <w:kern w:val="0"/>
      <w:szCs w:val="20"/>
    </w:rPr>
  </w:style>
  <w:style w:type="paragraph" w:customStyle="1" w:styleId="284">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qFormat/>
    <w:uiPriority w:val="0"/>
    <w:pPr>
      <w:wordWrap w:val="0"/>
    </w:pPr>
    <w:rPr>
      <w:rFonts w:ascii="Calibri" w:hAnsi="Calibri" w:eastAsia="宋体" w:cs="Times New Roman"/>
      <w:sz w:val="32"/>
      <w:lang w:val="en-US" w:eastAsia="zh-CN" w:bidi="ar-SA"/>
    </w:rPr>
  </w:style>
  <w:style w:type="paragraph" w:customStyle="1" w:styleId="286">
    <w:name w:val="TOC Heading5"/>
    <w:next w:val="1"/>
    <w:qFormat/>
    <w:uiPriority w:val="0"/>
    <w:pPr>
      <w:wordWrap w:val="0"/>
    </w:pPr>
    <w:rPr>
      <w:rFonts w:ascii="Calibri" w:hAnsi="Calibri" w:eastAsia="宋体" w:cs="Times New Roman"/>
      <w:sz w:val="32"/>
      <w:lang w:val="en-US" w:eastAsia="zh-CN" w:bidi="ar-SA"/>
    </w:rPr>
  </w:style>
  <w:style w:type="paragraph" w:customStyle="1" w:styleId="287">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qFormat/>
    <w:uiPriority w:val="0"/>
    <w:pPr>
      <w:widowControl/>
      <w:spacing w:after="160" w:line="240" w:lineRule="exact"/>
    </w:pPr>
    <w:rPr>
      <w:rFonts w:hAnsi="Calibri"/>
      <w:kern w:val="0"/>
      <w:szCs w:val="20"/>
    </w:rPr>
  </w:style>
  <w:style w:type="paragraph" w:customStyle="1" w:styleId="301">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qFormat/>
    <w:uiPriority w:val="0"/>
    <w:pPr>
      <w:ind w:firstLine="420"/>
    </w:pPr>
    <w:rPr>
      <w:rFonts w:hAnsi="Calibri"/>
      <w:kern w:val="0"/>
      <w:szCs w:val="20"/>
    </w:rPr>
  </w:style>
  <w:style w:type="paragraph" w:customStyle="1" w:styleId="303">
    <w:name w:val="TOC Heading9"/>
    <w:next w:val="1"/>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qFormat/>
    <w:uiPriority w:val="0"/>
    <w:rPr>
      <w:rFonts w:ascii="Calibri" w:hAnsi="Calibri"/>
      <w:sz w:val="24"/>
    </w:rPr>
  </w:style>
  <w:style w:type="paragraph" w:customStyle="1" w:styleId="312">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qFormat/>
    <w:uiPriority w:val="0"/>
    <w:pPr>
      <w:ind w:firstLine="420"/>
    </w:pPr>
    <w:rPr>
      <w:rFonts w:hAnsi="Calibri"/>
      <w:kern w:val="0"/>
      <w:szCs w:val="20"/>
    </w:rPr>
  </w:style>
  <w:style w:type="paragraph" w:customStyle="1" w:styleId="316">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qFormat/>
    <w:uiPriority w:val="0"/>
    <w:pPr>
      <w:wordWrap w:val="0"/>
    </w:pPr>
    <w:rPr>
      <w:rFonts w:ascii="Calibri" w:hAnsi="Calibri" w:eastAsia="宋体" w:cs="Times New Roman"/>
      <w:sz w:val="32"/>
      <w:lang w:val="en-US" w:eastAsia="zh-CN" w:bidi="ar-SA"/>
    </w:rPr>
  </w:style>
  <w:style w:type="paragraph" w:customStyle="1" w:styleId="333">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qFormat/>
    <w:uiPriority w:val="0"/>
    <w:pPr>
      <w:wordWrap w:val="0"/>
    </w:pPr>
    <w:rPr>
      <w:rFonts w:ascii="Calibri" w:hAnsi="Calibri" w:eastAsia="宋体" w:cs="Times New Roman"/>
      <w:sz w:val="32"/>
      <w:lang w:val="en-US" w:eastAsia="zh-CN" w:bidi="ar-SA"/>
    </w:rPr>
  </w:style>
  <w:style w:type="paragraph" w:customStyle="1" w:styleId="401">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qFormat/>
    <w:uiPriority w:val="0"/>
    <w:rPr>
      <w:rFonts w:ascii="Arial" w:hAnsi="Calibri" w:eastAsia="Arial Unicode MS" w:cs="Times New Roman"/>
      <w:color w:val="000000"/>
      <w:sz w:val="21"/>
      <w:lang w:val="en-US" w:eastAsia="zh-CN" w:bidi="ar-SA"/>
    </w:rPr>
  </w:style>
  <w:style w:type="paragraph" w:customStyle="1" w:styleId="412">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qFormat/>
    <w:uiPriority w:val="0"/>
    <w:pPr>
      <w:widowControl/>
      <w:ind w:firstLine="420"/>
    </w:pPr>
    <w:rPr>
      <w:rFonts w:hAnsi="Calibri"/>
      <w:kern w:val="0"/>
      <w:szCs w:val="20"/>
    </w:rPr>
  </w:style>
  <w:style w:type="paragraph" w:customStyle="1" w:styleId="429">
    <w:name w:val="xl87"/>
    <w:basedOn w:val="1"/>
    <w:next w:val="430"/>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qFormat/>
    <w:uiPriority w:val="0"/>
    <w:pPr>
      <w:ind w:firstLine="420"/>
    </w:pPr>
    <w:rPr>
      <w:rFonts w:hAnsi="Calibri"/>
      <w:kern w:val="0"/>
      <w:szCs w:val="20"/>
    </w:rPr>
  </w:style>
  <w:style w:type="paragraph" w:customStyle="1" w:styleId="432">
    <w:name w:val="xl78"/>
    <w:basedOn w:val="1"/>
    <w:next w:val="403"/>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qFormat/>
    <w:uiPriority w:val="0"/>
    <w:rPr>
      <w:rFonts w:ascii="Calibri" w:hAnsi="Calibri"/>
      <w:i/>
      <w:sz w:val="21"/>
    </w:rPr>
  </w:style>
  <w:style w:type="paragraph" w:customStyle="1" w:styleId="441">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qFormat/>
    <w:uiPriority w:val="0"/>
    <w:pPr>
      <w:widowControl/>
      <w:spacing w:before="280" w:after="280"/>
    </w:pPr>
    <w:rPr>
      <w:rFonts w:ascii="宋体" w:hAnsi="Calibri"/>
      <w:kern w:val="0"/>
      <w:sz w:val="20"/>
      <w:szCs w:val="20"/>
    </w:rPr>
  </w:style>
  <w:style w:type="paragraph" w:customStyle="1" w:styleId="457">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qFormat/>
    <w:uiPriority w:val="0"/>
    <w:rPr>
      <w:rFonts w:ascii="Calibri" w:hAnsi="Calibri"/>
      <w:i/>
      <w:sz w:val="21"/>
    </w:rPr>
  </w:style>
  <w:style w:type="paragraph" w:customStyle="1" w:styleId="461">
    <w:name w:val="Char Char Char Char Char Char Char"/>
    <w:basedOn w:val="1"/>
    <w:next w:val="445"/>
    <w:qFormat/>
    <w:uiPriority w:val="0"/>
    <w:pPr>
      <w:widowControl/>
      <w:spacing w:after="160" w:line="240" w:lineRule="exact"/>
    </w:pPr>
    <w:rPr>
      <w:rFonts w:hAnsi="Calibri"/>
      <w:kern w:val="0"/>
      <w:szCs w:val="20"/>
    </w:rPr>
  </w:style>
  <w:style w:type="paragraph" w:customStyle="1" w:styleId="462">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qFormat/>
    <w:uiPriority w:val="0"/>
    <w:rPr>
      <w:rFonts w:eastAsia="宋体"/>
      <w:kern w:val="2"/>
      <w:sz w:val="21"/>
      <w:lang w:val="en-US" w:eastAsia="zh-CN" w:bidi="ar-SA"/>
    </w:rPr>
  </w:style>
  <w:style w:type="character" w:customStyle="1" w:styleId="471">
    <w:name w:val="fielderror"/>
    <w:basedOn w:val="47"/>
    <w:qFormat/>
    <w:uiPriority w:val="0"/>
    <w:rPr>
      <w:color w:val="800000"/>
    </w:rPr>
  </w:style>
  <w:style w:type="character" w:customStyle="1" w:styleId="472">
    <w:name w:val="hilite6"/>
    <w:basedOn w:val="47"/>
    <w:qFormat/>
    <w:uiPriority w:val="0"/>
    <w:rPr>
      <w:color w:val="000000"/>
    </w:rPr>
  </w:style>
  <w:style w:type="character" w:customStyle="1" w:styleId="473">
    <w:name w:val="active6"/>
    <w:basedOn w:val="47"/>
    <w:qFormat/>
    <w:uiPriority w:val="0"/>
    <w:rPr>
      <w:color w:val="FFFFFF"/>
    </w:rPr>
  </w:style>
  <w:style w:type="character" w:customStyle="1" w:styleId="474">
    <w:name w:val="inline-help"/>
    <w:basedOn w:val="47"/>
    <w:qFormat/>
    <w:uiPriority w:val="0"/>
  </w:style>
  <w:style w:type="character" w:customStyle="1" w:styleId="475">
    <w:name w:val="active"/>
    <w:basedOn w:val="47"/>
    <w:qFormat/>
    <w:uiPriority w:val="0"/>
    <w:rPr>
      <w:color w:val="FFFFFF"/>
    </w:rPr>
  </w:style>
  <w:style w:type="table" w:customStyle="1" w:styleId="476">
    <w:name w:val="网格型1"/>
    <w:basedOn w:val="44"/>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 w:type="character" w:customStyle="1" w:styleId="479">
    <w:name w:val="font51"/>
    <w:basedOn w:val="47"/>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68</Pages>
  <Words>51721</Words>
  <Characters>54050</Characters>
  <Lines>368</Lines>
  <Paragraphs>103</Paragraphs>
  <TotalTime>16</TotalTime>
  <ScaleCrop>false</ScaleCrop>
  <LinksUpToDate>false</LinksUpToDate>
  <CharactersWithSpaces>57811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MusicTing</cp:lastModifiedBy>
  <cp:lastPrinted>2025-11-30T23:56:00Z</cp:lastPrinted>
  <dcterms:modified xsi:type="dcterms:W3CDTF">2025-12-03T10:33:10Z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61968D6F5B914AB195F780874A56D970_13</vt:lpwstr>
  </property>
  <property fmtid="{D5CDD505-2E9C-101B-9397-08002B2CF9AE}" pid="4" name="KSOTemplateDocerSaveRecord">
    <vt:lpwstr>eyJoZGlkIjoiNWMyOTMyNTQ1MWRmNGI0N2FlNmM4NDMxM2EyYTMzOGMiLCJ1c2VySWQiOiIxMTc1MzY1NzI0In0=</vt:lpwstr>
  </property>
</Properties>
</file>