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sz w:val="30"/>
                <w:szCs w:val="30"/>
              </w:rPr>
              <w:t>DPZXCG-2025-00060</w:t>
            </w:r>
          </w:p>
        </w:tc>
      </w:tr>
      <w:tr>
        <w:tblPrEx>
          <w:tblCellMar>
            <w:top w:w="45" w:type="dxa"/>
            <w:left w:w="45" w:type="dxa"/>
            <w:bottom w:w="45" w:type="dxa"/>
            <w:right w:w="45" w:type="dxa"/>
          </w:tblCellMar>
        </w:tblPrEx>
        <w:trPr>
          <w:trHeight w:val="895"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eastAsia" w:eastAsia="宋体"/>
                <w:sz w:val="30"/>
                <w:szCs w:val="30"/>
                <w:lang w:val="en-US" w:eastAsia="zh-CN"/>
              </w:rPr>
            </w:pPr>
            <w:r>
              <w:rPr>
                <w:rFonts w:hint="eastAsia" w:ascii="宋体" w:hAnsi="宋体" w:cs="宋体"/>
                <w:kern w:val="0"/>
                <w:sz w:val="30"/>
                <w:szCs w:val="30"/>
                <w:lang w:eastAsia="zh-CN" w:bidi="ar"/>
              </w:rPr>
              <w:t>供应室、麻醉科设备一批（小型清洗消毒器和手术床）</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lang w:val="en-US" w:eastAsia="zh-CN"/>
              </w:rPr>
              <w:t>不得</w:t>
            </w:r>
            <w:r>
              <w:rPr>
                <w:rFonts w:hint="eastAsia" w:ascii="Times New Roman" w:hAnsi="Times New Roman" w:eastAsia="宋体" w:cs="Times New Roman"/>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对同一项目投标时，</w:t>
            </w:r>
            <w:r>
              <w:rPr>
                <w:rFonts w:hint="eastAsia" w:ascii="Times New Roman" w:hAnsi="Times New Roman" w:eastAsia="宋体" w:cs="Times New Roman"/>
                <w:lang w:val="en-US" w:eastAsia="zh-CN"/>
              </w:rPr>
              <w:t>不得</w:t>
            </w:r>
            <w:r>
              <w:rPr>
                <w:rFonts w:hint="eastAsia" w:ascii="Times New Roman" w:hAnsi="Times New Roman" w:eastAsia="宋体" w:cs="Times New Roman"/>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cs="Times New Roman"/>
              </w:rPr>
              <w:t>分项报价或投标总价</w:t>
            </w:r>
            <w:r>
              <w:rPr>
                <w:rFonts w:hint="eastAsia" w:ascii="Times New Roman" w:hAnsi="Times New Roman" w:cs="Times New Roman"/>
                <w:lang w:val="en-US" w:eastAsia="zh-CN"/>
              </w:rPr>
              <w:t>不得</w:t>
            </w:r>
            <w:r>
              <w:rPr>
                <w:rFonts w:hint="eastAsia" w:ascii="Times New Roman" w:hAnsi="Times New Roman" w:cs="Times New Roman"/>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color w:val="auto"/>
                <w:lang w:val="en-US" w:eastAsia="zh-CN"/>
              </w:rPr>
              <w:t>采购标的/服务清单/报价等任意一类有缺漏项或响应不全，</w:t>
            </w:r>
            <w:r>
              <w:rPr>
                <w:rFonts w:hint="eastAsia" w:ascii="Times New Roman" w:hAnsi="Times New Roman" w:eastAsia="宋体" w:cs="Times New Roman"/>
              </w:rPr>
              <w:t>或者对招标文件规定的项目需求内容或者需求数量进行修改</w:t>
            </w:r>
            <w:r>
              <w:rPr>
                <w:rFonts w:hint="eastAsia" w:ascii="Times New Roman" w:hAnsi="Times New Roman" w:eastAsia="宋体" w:cs="Times New Roman"/>
                <w:szCs w:val="21"/>
              </w:rPr>
              <w:t>，评审委员会判定投标响应不满足采购需求</w:t>
            </w:r>
            <w:r>
              <w:rPr>
                <w:rFonts w:hint="eastAsia" w:ascii="Times New Roman" w:hAnsi="Times New Roman" w:eastAsia="宋体"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投标文件电子文档</w:t>
            </w:r>
            <w:r>
              <w:rPr>
                <w:rFonts w:hint="eastAsia" w:ascii="Times New Roman" w:hAnsi="Times New Roman" w:eastAsia="宋体" w:cs="Times New Roman"/>
                <w:lang w:val="en-US" w:eastAsia="zh-CN"/>
              </w:rPr>
              <w:t>不得</w:t>
            </w:r>
            <w:r>
              <w:rPr>
                <w:rFonts w:hint="eastAsia" w:ascii="Times New Roman" w:hAnsi="Times New Roman" w:eastAsia="宋体" w:cs="Times New Roman"/>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7" w:hRule="atLeast"/>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szCs w:val="21"/>
                <w:lang w:val="en-US" w:eastAsia="zh-CN"/>
              </w:rPr>
            </w:pPr>
            <w:r>
              <w:rPr>
                <w:rFonts w:hint="eastAsia" w:ascii="Times New Roman" w:hAnsi="Times New Roman" w:eastAsia="宋体" w:cs="Times New Roman"/>
                <w:szCs w:val="21"/>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1"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ascii="宋体" w:hAnsi="宋体" w:cs="宋体"/>
                <w:kern w:val="0"/>
                <w:sz w:val="21"/>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exact"/>
              <w:ind w:left="0" w:leftChars="0" w:right="0" w:rightChars="0"/>
              <w:jc w:val="center"/>
              <w:rPr>
                <w:rFonts w:hint="eastAsia" w:ascii="仿宋" w:hAnsi="仿宋" w:eastAsia="仿宋" w:cs="Times New Roman"/>
                <w:kern w:val="2"/>
                <w:sz w:val="24"/>
                <w:szCs w:val="24"/>
                <w:lang w:val="en-US" w:eastAsia="zh-CN" w:bidi="ar-SA"/>
              </w:rPr>
            </w:pPr>
            <w:r>
              <w:rPr>
                <w:rFonts w:hint="eastAsia" w:ascii="宋体" w:hAnsi="宋体" w:eastAsia="宋体" w:cs="宋体"/>
                <w:kern w:val="0"/>
                <w:sz w:val="21"/>
                <w:szCs w:val="21"/>
                <w:highlight w:val="none"/>
                <w:lang w:val="en-US" w:eastAsia="zh-CN"/>
              </w:rPr>
              <w:t>一般</w:t>
            </w:r>
            <w:r>
              <w:rPr>
                <w:rFonts w:hint="eastAsia" w:ascii="宋体" w:hAnsi="宋体" w:eastAsia="宋体" w:cs="宋体"/>
                <w:kern w:val="0"/>
                <w:sz w:val="21"/>
                <w:szCs w:val="21"/>
                <w:highlight w:val="none"/>
              </w:rPr>
              <w:t>技术要求偏离情况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仿宋" w:hAnsi="仿宋" w:eastAsia="仿宋" w:cs="Times New Roman"/>
                <w:kern w:val="2"/>
                <w:sz w:val="24"/>
                <w:szCs w:val="24"/>
                <w:lang w:val="en-US" w:eastAsia="zh-CN" w:bidi="ar-SA"/>
              </w:rPr>
            </w:pPr>
            <w:r>
              <w:rPr>
                <w:rFonts w:hint="eastAsia" w:ascii="宋体" w:hAnsi="宋体" w:eastAsia="宋体" w:cs="宋体"/>
                <w:kern w:val="2"/>
                <w:sz w:val="21"/>
                <w:szCs w:val="21"/>
                <w:lang w:val="en-US" w:eastAsia="zh-CN" w:bidi="ar-SA"/>
              </w:rPr>
              <w:t>50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（一）评分内容</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w:t>
            </w:r>
            <w:r>
              <w:rPr>
                <w:rFonts w:hint="eastAsia" w:ascii="宋体" w:hAnsi="宋体" w:eastAsia="宋体" w:cs="宋体"/>
                <w:kern w:val="0"/>
                <w:sz w:val="21"/>
                <w:szCs w:val="21"/>
              </w:rPr>
              <w:t>“★”</w:t>
            </w:r>
            <w:r>
              <w:rPr>
                <w:rFonts w:hint="eastAsia" w:ascii="宋体" w:hAnsi="宋体" w:eastAsia="宋体" w:cs="宋体"/>
                <w:sz w:val="21"/>
                <w:szCs w:val="21"/>
              </w:rPr>
              <w:t>“▲”指标项技术参数）全部满足得100分；有负偏离的，每负偏离一项扣</w:t>
            </w:r>
            <w:r>
              <w:rPr>
                <w:rFonts w:hint="eastAsia" w:ascii="宋体" w:hAnsi="宋体" w:cs="宋体"/>
                <w:sz w:val="21"/>
                <w:szCs w:val="21"/>
                <w:lang w:val="en-US" w:eastAsia="zh-CN"/>
              </w:rPr>
              <w:t>3.58</w:t>
            </w:r>
            <w:r>
              <w:rPr>
                <w:rFonts w:hint="eastAsia" w:ascii="宋体" w:hAnsi="宋体" w:eastAsia="宋体" w:cs="宋体"/>
                <w:sz w:val="21"/>
                <w:szCs w:val="21"/>
              </w:rPr>
              <w:t>分，扣完为止。</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（二）评分依据</w:t>
            </w:r>
          </w:p>
          <w:p>
            <w:pPr>
              <w:widowControl/>
              <w:wordWrap w:val="0"/>
              <w:jc w:val="left"/>
              <w:textAlignment w:val="top"/>
              <w:rPr>
                <w:rFonts w:hint="eastAsia" w:ascii="仿宋" w:hAnsi="仿宋" w:eastAsia="仿宋" w:cs="Times New Roman"/>
                <w:kern w:val="2"/>
                <w:sz w:val="24"/>
                <w:szCs w:val="24"/>
                <w:lang w:val="en-US" w:eastAsia="zh-CN" w:bidi="ar-SA"/>
              </w:rPr>
            </w:pPr>
            <w:r>
              <w:rPr>
                <w:rFonts w:hint="eastAsia" w:ascii="宋体" w:hAnsi="宋体" w:cs="宋体"/>
                <w:szCs w:val="21"/>
              </w:rPr>
              <w:t>提供《技术要求偏离表》。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Times New Roman"/>
                <w:kern w:val="2"/>
                <w:sz w:val="24"/>
                <w:szCs w:val="24"/>
                <w:lang w:val="en-US" w:eastAsia="zh-CN" w:bidi="ar-SA"/>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Times New Roman"/>
                <w:kern w:val="2"/>
                <w:sz w:val="24"/>
                <w:szCs w:val="24"/>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根据招标文件要求提供项目实施方案，内容应包括：</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rFonts w:hint="eastAsia" w:ascii="仿宋" w:hAnsi="仿宋" w:eastAsia="仿宋" w:cs="Times New Roman"/>
                <w:kern w:val="2"/>
                <w:sz w:val="24"/>
                <w:szCs w:val="24"/>
                <w:lang w:val="en-US" w:eastAsia="zh-CN" w:bidi="ar-SA"/>
              </w:rPr>
            </w:pPr>
            <w:r>
              <w:rPr>
                <w:rFonts w:hint="eastAsia" w:ascii="宋体" w:hAnsi="宋体" w:eastAsia="宋体" w:cs="宋体"/>
                <w:sz w:val="21"/>
                <w:szCs w:val="21"/>
              </w:rPr>
              <w:t>（4）方案不合理、无针对性、无可操作性，评审为差的，加0分。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Times New Roman"/>
                <w:kern w:val="2"/>
                <w:sz w:val="24"/>
                <w:szCs w:val="24"/>
                <w:lang w:val="en-US" w:eastAsia="zh-CN" w:bidi="ar-SA"/>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Times New Roman"/>
                <w:kern w:val="2"/>
                <w:sz w:val="24"/>
                <w:szCs w:val="24"/>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w:t>
            </w:r>
            <w:r>
              <w:rPr>
                <w:rFonts w:hint="eastAsia" w:ascii="宋体" w:hAnsi="宋体" w:cs="宋体"/>
                <w:sz w:val="21"/>
                <w:szCs w:val="21"/>
                <w:lang w:val="en-US" w:eastAsia="zh-CN"/>
              </w:rPr>
              <w:t>25</w:t>
            </w:r>
            <w:r>
              <w:rPr>
                <w:rFonts w:hint="eastAsia" w:ascii="宋体" w:hAnsi="宋体" w:eastAsia="宋体" w:cs="宋体"/>
                <w:sz w:val="21"/>
                <w:szCs w:val="21"/>
                <w:lang w:val="en-US" w:eastAsia="zh-CN"/>
              </w:rPr>
              <w:t>分，满分100分。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仿宋" w:hAnsi="仿宋" w:eastAsia="仿宋" w:cs="Times New Roman"/>
                <w:kern w:val="2"/>
                <w:sz w:val="24"/>
                <w:szCs w:val="24"/>
                <w:lang w:val="en-US" w:eastAsia="zh-CN" w:bidi="ar-SA"/>
              </w:rPr>
            </w:pPr>
            <w:r>
              <w:rPr>
                <w:rFonts w:hint="eastAsia" w:ascii="宋体" w:hAnsi="宋体" w:eastAsia="宋体" w:cs="宋体"/>
                <w:sz w:val="21"/>
                <w:szCs w:val="21"/>
                <w:lang w:val="en-US" w:eastAsia="zh-CN"/>
              </w:rPr>
              <w:t>投标人提供承诺函（格式自拟）。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2" w:name="OLE_LINK1" w:colFirst="4" w:colLast="4"/>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Times New Roman"/>
                <w:kern w:val="2"/>
                <w:sz w:val="24"/>
                <w:szCs w:val="24"/>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自2021年1月1日至本项目投标截止日前（以合同签订日期为准），投标人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w:t>
            </w:r>
            <w:r>
              <w:rPr>
                <w:rFonts w:hint="eastAsia" w:ascii="宋体" w:hAnsi="宋体" w:cs="宋体"/>
                <w:sz w:val="21"/>
                <w:szCs w:val="21"/>
                <w:lang w:eastAsia="zh-CN"/>
              </w:rPr>
              <w:t>（</w:t>
            </w:r>
            <w:r>
              <w:rPr>
                <w:rFonts w:hint="eastAsia" w:ascii="宋体" w:hAnsi="宋体" w:cs="宋体"/>
                <w:sz w:val="21"/>
                <w:szCs w:val="21"/>
                <w:lang w:val="en-US" w:eastAsia="zh-CN"/>
              </w:rPr>
              <w:t>同一品牌、型号</w:t>
            </w:r>
            <w:r>
              <w:rPr>
                <w:rFonts w:hint="eastAsia" w:ascii="宋体" w:hAnsi="宋体" w:cs="宋体"/>
                <w:sz w:val="21"/>
                <w:szCs w:val="21"/>
                <w:lang w:eastAsia="zh-CN"/>
              </w:rPr>
              <w:t>）</w:t>
            </w:r>
            <w:r>
              <w:rPr>
                <w:rFonts w:hint="eastAsia" w:ascii="宋体" w:hAnsi="宋体" w:eastAsia="宋体" w:cs="宋体"/>
                <w:sz w:val="21"/>
                <w:szCs w:val="21"/>
              </w:rPr>
              <w:t>的销售业绩，每提供1份得</w:t>
            </w:r>
            <w:r>
              <w:rPr>
                <w:rFonts w:hint="eastAsia" w:ascii="宋体" w:hAnsi="宋体" w:cs="宋体"/>
                <w:sz w:val="21"/>
                <w:szCs w:val="21"/>
                <w:lang w:val="en-US" w:eastAsia="zh-CN"/>
              </w:rPr>
              <w:t>25</w:t>
            </w:r>
            <w:r>
              <w:rPr>
                <w:rFonts w:hint="eastAsia" w:ascii="宋体" w:hAnsi="宋体" w:eastAsia="宋体" w:cs="宋体"/>
                <w:sz w:val="21"/>
                <w:szCs w:val="21"/>
              </w:rPr>
              <w:t>分，本项累计最高得100分。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1.提供销售合同关键页</w:t>
            </w:r>
            <w:r>
              <w:rPr>
                <w:rFonts w:hint="eastAsia" w:ascii="宋体" w:hAnsi="宋体" w:cs="宋体"/>
                <w:sz w:val="21"/>
                <w:szCs w:val="21"/>
                <w:lang w:eastAsia="zh-CN"/>
              </w:rPr>
              <w:t>【</w:t>
            </w:r>
            <w:r>
              <w:rPr>
                <w:rFonts w:hint="eastAsia" w:ascii="宋体" w:hAnsi="宋体" w:eastAsia="宋体" w:cs="宋体"/>
                <w:sz w:val="21"/>
                <w:szCs w:val="21"/>
              </w:rPr>
              <w:t>包括但不限于合同（项目）名称、合同采购内容、签订日期、合同双方签字盖章页</w:t>
            </w:r>
            <w:r>
              <w:rPr>
                <w:rFonts w:hint="eastAsia" w:ascii="宋体" w:hAnsi="宋体" w:cs="宋体"/>
                <w:sz w:val="21"/>
                <w:szCs w:val="21"/>
                <w:lang w:eastAsia="zh-CN"/>
              </w:rPr>
              <w:t>】</w:t>
            </w:r>
            <w:r>
              <w:rPr>
                <w:rFonts w:hint="eastAsia" w:ascii="宋体" w:hAnsi="宋体" w:eastAsia="宋体" w:cs="宋体"/>
                <w:sz w:val="21"/>
                <w:szCs w:val="21"/>
              </w:rPr>
              <w:t>，原件备查。</w:t>
            </w:r>
          </w:p>
          <w:p>
            <w:pPr>
              <w:rPr>
                <w:rFonts w:ascii="仿宋" w:hAnsi="仿宋" w:eastAsia="仿宋" w:cs="Times New Roman"/>
                <w:kern w:val="2"/>
                <w:sz w:val="24"/>
                <w:szCs w:val="24"/>
                <w:lang w:val="en-US" w:eastAsia="zh-CN" w:bidi="ar-SA"/>
              </w:rPr>
            </w:pPr>
            <w:r>
              <w:rPr>
                <w:rFonts w:hint="eastAsia" w:ascii="宋体" w:hAnsi="宋体" w:eastAsia="宋体" w:cs="宋体"/>
                <w:sz w:val="21"/>
                <w:szCs w:val="21"/>
              </w:rPr>
              <w:t>2.未提供或提供不清晰导致无法识别的不得分。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5</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3" w:name="OLE_LINK2" w:colFirst="4" w:colLast="4"/>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1"/>
      <w:bookmarkEnd w:id="3"/>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4"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4"/>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5"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6" w:name="_Hlk71994379"/>
      <w:r>
        <w:rPr>
          <w:rFonts w:hint="eastAsia" w:ascii="宋体" w:hAnsi="宋体"/>
          <w:szCs w:val="21"/>
        </w:rPr>
        <w:t>对通用条款的补充内容及其他关键信息</w:t>
      </w:r>
      <w:bookmarkEnd w:id="6"/>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7"/>
        <w:rPr>
          <w:rFonts w:hint="eastAsia"/>
        </w:rPr>
      </w:pPr>
    </w:p>
    <w:p>
      <w:pPr>
        <w:pStyle w:val="37"/>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5"/>
    <w:p>
      <w:pPr>
        <w:pStyle w:val="2"/>
        <w:rPr>
          <w:color w:val="FF0000"/>
          <w:sz w:val="24"/>
        </w:rPr>
      </w:pPr>
      <w:bookmarkStart w:id="7" w:name="bt合同格式"/>
      <w:bookmarkEnd w:id="7"/>
      <w:bookmarkStart w:id="8" w:name="bt说明"/>
      <w:bookmarkEnd w:id="8"/>
      <w:bookmarkStart w:id="9" w:name="bt投标文件签署授权委托书"/>
      <w:bookmarkEnd w:id="9"/>
      <w:bookmarkStart w:id="10" w:name="bt开标一览表"/>
      <w:bookmarkEnd w:id="10"/>
      <w:bookmarkStart w:id="11" w:name="bt其他资料由投标人自定"/>
      <w:bookmarkEnd w:id="11"/>
      <w:bookmarkStart w:id="12" w:name="bt本工程承诺书"/>
      <w:bookmarkEnd w:id="12"/>
      <w:bookmarkStart w:id="13" w:name="bt投标人情况介绍"/>
      <w:bookmarkEnd w:id="13"/>
      <w:bookmarkStart w:id="14" w:name="bt项目管理班子配备情况"/>
      <w:bookmarkEnd w:id="14"/>
      <w:bookmarkStart w:id="15" w:name="bt技术标投标文件格式"/>
      <w:bookmarkEnd w:id="15"/>
      <w:bookmarkStart w:id="16" w:name="合同格式"/>
      <w:bookmarkEnd w:id="16"/>
      <w:bookmarkStart w:id="17" w:name="bt投标报价汇总表"/>
      <w:bookmarkEnd w:id="17"/>
      <w:bookmarkStart w:id="18" w:name="bt投标函"/>
      <w:bookmarkEnd w:id="18"/>
      <w:bookmarkStart w:id="19" w:name="bt商务标投标文件格式"/>
      <w:bookmarkEnd w:id="19"/>
      <w:bookmarkStart w:id="20" w:name="bt其他资料2"/>
      <w:bookmarkEnd w:id="20"/>
      <w:bookmarkStart w:id="21" w:name="bt投标人须知"/>
      <w:bookmarkEnd w:id="21"/>
      <w:bookmarkStart w:id="22" w:name="bt合同条款及格式"/>
      <w:bookmarkEnd w:id="22"/>
      <w:bookmarkStart w:id="23" w:name="bt合同条款"/>
      <w:bookmarkEnd w:id="23"/>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4" w:name="_Hlk72162904"/>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4"/>
      <w:r>
        <w:rPr>
          <w:rFonts w:hint="eastAsia"/>
          <w:lang w:eastAsia="zh-CN"/>
        </w:rPr>
        <w:t>；</w:t>
      </w:r>
    </w:p>
    <w:p>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pPr>
        <w:pStyle w:val="54"/>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ind w:firstLine="420" w:firstLineChars="200"/>
        <w:rPr>
          <w:rFonts w:hint="eastAsia" w:eastAsia="宋体"/>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5" w:name="_Hlk71926094"/>
      <w:r>
        <w:rPr>
          <w:rFonts w:hint="eastAsia"/>
          <w:sz w:val="28"/>
          <w:szCs w:val="28"/>
        </w:rPr>
        <w:t>对通用条款的补充内容及其他关键信息</w:t>
      </w:r>
      <w:bookmarkEnd w:id="25"/>
    </w:p>
    <w:p>
      <w:pPr>
        <w:pStyle w:val="5"/>
        <w:spacing w:before="120" w:beforeLines="50" w:after="120" w:afterLines="50"/>
        <w:rPr>
          <w:szCs w:val="24"/>
        </w:rPr>
      </w:pPr>
      <w:bookmarkStart w:id="26" w:name="_Toc73518117"/>
      <w:bookmarkStart w:id="27" w:name="_Toc73517639"/>
      <w:bookmarkStart w:id="28" w:name="_Toc60560625"/>
      <w:bookmarkStart w:id="29" w:name="_Toc73521635"/>
      <w:bookmarkStart w:id="30" w:name="_Toc100052364"/>
      <w:bookmarkStart w:id="31" w:name="_Toc60631620"/>
      <w:bookmarkStart w:id="32" w:name="_Toc101074876"/>
      <w:bookmarkStart w:id="33" w:name="_Toc73521547"/>
      <w:r>
        <w:rPr>
          <w:rFonts w:hint="eastAsia"/>
          <w:szCs w:val="24"/>
        </w:rPr>
        <w:t>一、对通用条款的补充内容</w:t>
      </w:r>
    </w:p>
    <w:bookmarkEnd w:id="26"/>
    <w:bookmarkEnd w:id="27"/>
    <w:bookmarkEnd w:id="28"/>
    <w:bookmarkEnd w:id="29"/>
    <w:bookmarkEnd w:id="30"/>
    <w:bookmarkEnd w:id="31"/>
    <w:bookmarkEnd w:id="32"/>
    <w:bookmarkEnd w:id="33"/>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4"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rPr>
              <w:t>深圳市大鹏新区妇幼保健院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5" w:name="_Hlk71664860"/>
            <w:r>
              <w:rPr>
                <w:rFonts w:hint="eastAsia" w:ascii="宋体" w:hAnsi="宋体"/>
              </w:rPr>
              <w:t>样品、现场演示、方案讲解</w:t>
            </w:r>
            <w:bookmarkEnd w:id="35"/>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rPr>
              <w:t>合同总额5%的履约保证金，详见商务要求</w:t>
            </w:r>
          </w:p>
        </w:tc>
      </w:tr>
    </w:tbl>
    <w:p>
      <w:pPr>
        <w:rPr>
          <w:b/>
        </w:rPr>
      </w:pPr>
      <w:r>
        <w:rPr>
          <w:rFonts w:hint="eastAsia"/>
          <w:szCs w:val="21"/>
        </w:rPr>
        <w:t>备注：本表是通用条款相关条款的补充和明确，如与通用条款内容相冲突的，以本表为准。</w:t>
      </w:r>
    </w:p>
    <w:bookmarkEnd w:id="34"/>
    <w:p>
      <w:pPr>
        <w:pStyle w:val="5"/>
        <w:spacing w:before="120" w:beforeLines="50" w:after="120" w:afterLines="50"/>
        <w:rPr>
          <w:szCs w:val="24"/>
        </w:rPr>
      </w:pPr>
      <w:bookmarkStart w:id="36" w:name="_Hlk72218117"/>
      <w:r>
        <w:rPr>
          <w:rFonts w:hint="eastAsia"/>
          <w:szCs w:val="24"/>
        </w:rPr>
        <w:t>二、其他关键信息</w:t>
      </w:r>
    </w:p>
    <w:p>
      <w:pPr>
        <w:ind w:firstLine="422" w:firstLineChars="200"/>
        <w:rPr>
          <w:b/>
          <w:bCs/>
        </w:rPr>
      </w:pPr>
      <w:bookmarkStart w:id="37"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pStyle w:val="37"/>
      </w:pPr>
    </w:p>
    <w:p>
      <w:pPr>
        <w:ind w:firstLine="422" w:firstLineChars="200"/>
        <w:rPr>
          <w:rFonts w:hint="eastAsia"/>
          <w:b/>
        </w:rPr>
      </w:pPr>
    </w:p>
    <w:p>
      <w:pPr>
        <w:ind w:firstLine="422" w:firstLineChars="200"/>
        <w:rPr>
          <w:rFonts w:hint="eastAsia"/>
          <w:b/>
        </w:rPr>
      </w:pPr>
    </w:p>
    <w:p>
      <w:pPr>
        <w:ind w:firstLine="422" w:firstLineChars="200"/>
        <w:rPr>
          <w:b/>
        </w:rPr>
      </w:pPr>
      <w:r>
        <w:rPr>
          <w:rFonts w:hint="eastAsia"/>
          <w:b/>
        </w:rPr>
        <w:t>（二）其他事项</w:t>
      </w:r>
      <w:bookmarkEnd w:id="37"/>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10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8"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8"/>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6"/>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szCs w:val="21"/>
              </w:rPr>
            </w:pPr>
            <w:r>
              <w:rPr>
                <w:rFonts w:hint="eastAsia"/>
                <w:bCs/>
                <w:szCs w:val="21"/>
              </w:rPr>
              <w:t>序号</w:t>
            </w:r>
          </w:p>
        </w:tc>
        <w:tc>
          <w:tcPr>
            <w:tcW w:w="2664" w:type="pct"/>
            <w:vAlign w:val="center"/>
          </w:tcPr>
          <w:p>
            <w:pPr>
              <w:jc w:val="center"/>
              <w:rPr>
                <w:bCs/>
                <w:szCs w:val="21"/>
              </w:rPr>
            </w:pPr>
            <w:r>
              <w:rPr>
                <w:rFonts w:hint="eastAsia"/>
                <w:bCs/>
                <w:szCs w:val="21"/>
              </w:rPr>
              <w:t>采购项目名称</w:t>
            </w:r>
          </w:p>
        </w:tc>
        <w:tc>
          <w:tcPr>
            <w:tcW w:w="1986" w:type="pct"/>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color w:val="FF0000"/>
                <w:szCs w:val="21"/>
              </w:rPr>
            </w:pPr>
            <w:r>
              <w:rPr>
                <w:rFonts w:hint="eastAsia"/>
                <w:bCs/>
                <w:color w:val="FF0000"/>
                <w:szCs w:val="21"/>
              </w:rPr>
              <w:t>1</w:t>
            </w:r>
          </w:p>
        </w:tc>
        <w:tc>
          <w:tcPr>
            <w:tcW w:w="2664" w:type="pct"/>
            <w:vAlign w:val="center"/>
          </w:tcPr>
          <w:p>
            <w:pPr>
              <w:jc w:val="center"/>
              <w:rPr>
                <w:rFonts w:hint="eastAsia" w:eastAsia="宋体"/>
                <w:b/>
                <w:bCs/>
                <w:color w:val="FF0000"/>
                <w:szCs w:val="21"/>
                <w:lang w:eastAsia="zh-CN"/>
              </w:rPr>
            </w:pPr>
            <w:r>
              <w:rPr>
                <w:rFonts w:hint="eastAsia"/>
                <w:b/>
                <w:bCs/>
                <w:color w:val="FF0000"/>
                <w:szCs w:val="21"/>
                <w:lang w:eastAsia="zh-CN"/>
              </w:rPr>
              <w:t>供应室、麻醉科设备一批（小型清洗消毒器和手术床）</w:t>
            </w:r>
          </w:p>
        </w:tc>
        <w:tc>
          <w:tcPr>
            <w:tcW w:w="1986" w:type="pct"/>
            <w:vAlign w:val="center"/>
          </w:tcPr>
          <w:p>
            <w:pPr>
              <w:jc w:val="center"/>
              <w:rPr>
                <w:rFonts w:hint="default" w:eastAsia="宋体"/>
                <w:bCs/>
                <w:color w:val="FF0000"/>
                <w:szCs w:val="21"/>
                <w:lang w:val="en-US" w:eastAsia="zh-CN"/>
              </w:rPr>
            </w:pPr>
            <w:r>
              <w:rPr>
                <w:rFonts w:hint="eastAsia"/>
                <w:bCs/>
                <w:color w:val="FF0000"/>
                <w:szCs w:val="21"/>
                <w:lang w:val="en-US" w:eastAsia="zh-CN"/>
              </w:rPr>
              <w:t>283600.00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39" w:name="_Hlk72258617"/>
      <w:r>
        <w:rPr>
          <w:rFonts w:hint="eastAsia"/>
          <w:szCs w:val="24"/>
        </w:rPr>
        <w:t>二、</w:t>
      </w:r>
      <w:bookmarkStart w:id="40" w:name="_Hlk72073432"/>
      <w:r>
        <w:rPr>
          <w:rFonts w:hint="eastAsia"/>
          <w:szCs w:val="24"/>
        </w:rPr>
        <w:t>货物</w:t>
      </w:r>
      <w:r>
        <w:rPr>
          <w:rFonts w:hint="eastAsia"/>
          <w:szCs w:val="24"/>
          <w:lang w:val="en-US" w:eastAsia="zh-CN"/>
        </w:rPr>
        <w:t>清单</w:t>
      </w:r>
      <w:r>
        <w:rPr>
          <w:rFonts w:hint="eastAsia"/>
          <w:szCs w:val="24"/>
        </w:rPr>
        <w:t>明细</w:t>
      </w:r>
      <w:bookmarkEnd w:id="40"/>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1754"/>
        <w:gridCol w:w="703"/>
        <w:gridCol w:w="638"/>
        <w:gridCol w:w="1189"/>
        <w:gridCol w:w="1177"/>
        <w:gridCol w:w="1288"/>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jc w:val="center"/>
              <w:rPr>
                <w:rFonts w:hint="eastAsia" w:ascii="宋体" w:hAnsi="宋体" w:eastAsia="宋体" w:cs="宋体"/>
                <w:bCs/>
                <w:szCs w:val="21"/>
              </w:rPr>
            </w:pPr>
            <w:r>
              <w:rPr>
                <w:rFonts w:hint="eastAsia" w:ascii="宋体" w:hAnsi="宋体" w:eastAsia="宋体" w:cs="宋体"/>
                <w:bCs/>
                <w:szCs w:val="21"/>
              </w:rPr>
              <w:t>序号</w:t>
            </w:r>
          </w:p>
        </w:tc>
        <w:tc>
          <w:tcPr>
            <w:tcW w:w="1028" w:type="pct"/>
            <w:vAlign w:val="center"/>
          </w:tcPr>
          <w:p>
            <w:pPr>
              <w:jc w:val="center"/>
              <w:rPr>
                <w:rFonts w:hint="eastAsia" w:ascii="宋体" w:hAnsi="宋体" w:eastAsia="宋体" w:cs="宋体"/>
                <w:bCs/>
                <w:szCs w:val="21"/>
              </w:rPr>
            </w:pPr>
            <w:r>
              <w:rPr>
                <w:rFonts w:hint="eastAsia" w:ascii="宋体" w:hAnsi="宋体" w:eastAsia="宋体" w:cs="宋体"/>
                <w:bCs/>
                <w:szCs w:val="21"/>
              </w:rPr>
              <w:t>货物名称（标的名称）</w:t>
            </w:r>
          </w:p>
        </w:tc>
        <w:tc>
          <w:tcPr>
            <w:tcW w:w="412" w:type="pct"/>
            <w:vAlign w:val="center"/>
          </w:tcPr>
          <w:p>
            <w:pPr>
              <w:jc w:val="center"/>
              <w:rPr>
                <w:rFonts w:hint="eastAsia" w:ascii="宋体" w:hAnsi="宋体" w:eastAsia="宋体" w:cs="宋体"/>
                <w:bCs/>
                <w:szCs w:val="21"/>
              </w:rPr>
            </w:pPr>
            <w:r>
              <w:rPr>
                <w:rFonts w:hint="eastAsia" w:ascii="宋体" w:hAnsi="宋体" w:eastAsia="宋体" w:cs="宋体"/>
                <w:bCs/>
                <w:szCs w:val="21"/>
              </w:rPr>
              <w:t>数量</w:t>
            </w:r>
          </w:p>
        </w:tc>
        <w:tc>
          <w:tcPr>
            <w:tcW w:w="374" w:type="pct"/>
            <w:vAlign w:val="center"/>
          </w:tcPr>
          <w:p>
            <w:pPr>
              <w:jc w:val="center"/>
              <w:rPr>
                <w:rFonts w:hint="eastAsia" w:ascii="宋体" w:hAnsi="宋体" w:eastAsia="宋体" w:cs="宋体"/>
                <w:bCs/>
                <w:szCs w:val="21"/>
              </w:rPr>
            </w:pPr>
            <w:r>
              <w:rPr>
                <w:rFonts w:hint="eastAsia" w:ascii="宋体" w:hAnsi="宋体" w:eastAsia="宋体" w:cs="宋体"/>
                <w:bCs/>
                <w:szCs w:val="21"/>
              </w:rPr>
              <w:t>单位</w:t>
            </w:r>
          </w:p>
        </w:tc>
        <w:tc>
          <w:tcPr>
            <w:tcW w:w="697"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是否接受进口</w:t>
            </w:r>
          </w:p>
        </w:tc>
        <w:tc>
          <w:tcPr>
            <w:tcW w:w="690"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是否专门面向中小企业</w:t>
            </w:r>
          </w:p>
        </w:tc>
        <w:tc>
          <w:tcPr>
            <w:tcW w:w="755"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标的所属行业</w:t>
            </w:r>
          </w:p>
        </w:tc>
        <w:tc>
          <w:tcPr>
            <w:tcW w:w="755"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jc w:val="center"/>
              <w:rPr>
                <w:rFonts w:hint="eastAsia" w:ascii="宋体" w:hAnsi="宋体" w:eastAsia="宋体" w:cs="宋体"/>
                <w:bCs/>
                <w:szCs w:val="21"/>
              </w:rPr>
            </w:pPr>
            <w:r>
              <w:rPr>
                <w:rFonts w:hint="eastAsia" w:ascii="宋体" w:hAnsi="宋体" w:eastAsia="宋体" w:cs="宋体"/>
                <w:bCs/>
                <w:szCs w:val="21"/>
              </w:rPr>
              <w:t>1</w:t>
            </w:r>
          </w:p>
        </w:tc>
        <w:tc>
          <w:tcPr>
            <w:tcW w:w="1028"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lang w:val="en-US" w:eastAsia="zh-CN"/>
              </w:rPr>
              <w:t>小型清洗消毒器</w:t>
            </w:r>
          </w:p>
        </w:tc>
        <w:tc>
          <w:tcPr>
            <w:tcW w:w="412"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1</w:t>
            </w:r>
          </w:p>
        </w:tc>
        <w:tc>
          <w:tcPr>
            <w:tcW w:w="374"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台</w:t>
            </w:r>
          </w:p>
        </w:tc>
        <w:tc>
          <w:tcPr>
            <w:tcW w:w="697"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拒绝进口</w:t>
            </w:r>
          </w:p>
        </w:tc>
        <w:tc>
          <w:tcPr>
            <w:tcW w:w="690"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否</w:t>
            </w:r>
          </w:p>
        </w:tc>
        <w:tc>
          <w:tcPr>
            <w:tcW w:w="755" w:type="pct"/>
            <w:vAlign w:val="center"/>
          </w:tcPr>
          <w:p>
            <w:pPr>
              <w:jc w:val="center"/>
              <w:rPr>
                <w:rFonts w:hint="eastAsia" w:ascii="宋体" w:hAnsi="宋体" w:eastAsia="宋体" w:cs="宋体"/>
                <w:b/>
                <w:bCs/>
                <w:color w:val="FF0000"/>
                <w:szCs w:val="21"/>
                <w:lang w:val="en-US" w:eastAsia="zh-CN"/>
              </w:rPr>
            </w:pPr>
            <w:r>
              <w:rPr>
                <w:rFonts w:hint="eastAsia" w:ascii="宋体" w:hAnsi="宋体" w:eastAsia="宋体" w:cs="宋体"/>
                <w:b/>
                <w:bCs/>
                <w:color w:val="FF0000"/>
                <w:szCs w:val="21"/>
                <w:lang w:val="en-US" w:eastAsia="zh-CN"/>
              </w:rPr>
              <w:t>工业</w:t>
            </w:r>
          </w:p>
        </w:tc>
        <w:tc>
          <w:tcPr>
            <w:tcW w:w="755" w:type="pct"/>
            <w:vAlign w:val="center"/>
          </w:tcPr>
          <w:p>
            <w:pPr>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83600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tcPr>
          <w:p>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2</w:t>
            </w:r>
          </w:p>
        </w:tc>
        <w:tc>
          <w:tcPr>
            <w:tcW w:w="1028" w:type="pct"/>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手术床</w:t>
            </w:r>
          </w:p>
        </w:tc>
        <w:tc>
          <w:tcPr>
            <w:tcW w:w="412"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1</w:t>
            </w:r>
          </w:p>
        </w:tc>
        <w:tc>
          <w:tcPr>
            <w:tcW w:w="374" w:type="pct"/>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eastAsia="zh-CN"/>
              </w:rPr>
              <w:t>台</w:t>
            </w:r>
          </w:p>
        </w:tc>
        <w:tc>
          <w:tcPr>
            <w:tcW w:w="697" w:type="pct"/>
            <w:vAlign w:val="center"/>
          </w:tcPr>
          <w:p>
            <w:pPr>
              <w:jc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szCs w:val="21"/>
                <w:lang w:val="en-US" w:eastAsia="zh-CN"/>
              </w:rPr>
              <w:t>拒绝进口</w:t>
            </w:r>
          </w:p>
        </w:tc>
        <w:tc>
          <w:tcPr>
            <w:tcW w:w="690" w:type="pct"/>
            <w:vAlign w:val="center"/>
          </w:tcPr>
          <w:p>
            <w:pPr>
              <w:jc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szCs w:val="21"/>
                <w:lang w:val="en-US" w:eastAsia="zh-CN"/>
              </w:rPr>
              <w:t>否</w:t>
            </w:r>
          </w:p>
        </w:tc>
        <w:tc>
          <w:tcPr>
            <w:tcW w:w="755" w:type="pct"/>
            <w:vAlign w:val="center"/>
          </w:tcPr>
          <w:p>
            <w:pPr>
              <w:jc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szCs w:val="21"/>
                <w:lang w:val="en-US" w:eastAsia="zh-CN"/>
              </w:rPr>
              <w:t>工业</w:t>
            </w:r>
          </w:p>
        </w:tc>
        <w:tc>
          <w:tcPr>
            <w:tcW w:w="755" w:type="pct"/>
            <w:vAlign w:val="center"/>
          </w:tcPr>
          <w:p>
            <w:pPr>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200000</w:t>
            </w:r>
          </w:p>
        </w:tc>
      </w:tr>
    </w:tbl>
    <w:p>
      <w:pPr>
        <w:ind w:firstLine="422" w:firstLineChars="200"/>
        <w:rPr>
          <w:rFonts w:hint="eastAsia" w:ascii="宋体" w:hAnsi="宋体"/>
          <w:b/>
          <w:color w:val="FF0000"/>
          <w:szCs w:val="21"/>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lang w:eastAsia="zh-CN"/>
              </w:rPr>
              <w:t>小型清洗消毒器</w:t>
            </w:r>
            <w:r>
              <w:rPr>
                <w:rFonts w:hint="eastAsia" w:ascii="宋体" w:hAnsi="宋体" w:eastAsia="宋体" w:cs="宋体"/>
                <w:b w:val="0"/>
                <w:bCs/>
                <w:color w:val="auto"/>
                <w:sz w:val="21"/>
                <w:szCs w:val="21"/>
                <w:vertAlign w:val="baseline"/>
              </w:rPr>
              <w:t>配置清单（单台配置）：</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1 主机  1台</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2 牙科手机清洗架1个</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3 牙科手机接头24个</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4 清洗篮筐5个</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5标配内置打印机，打印记录可永久保存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lang w:eastAsia="zh-CN"/>
              </w:rPr>
              <w:t>手术床</w:t>
            </w:r>
            <w:r>
              <w:rPr>
                <w:rFonts w:hint="eastAsia" w:ascii="宋体" w:hAnsi="宋体" w:eastAsia="宋体" w:cs="宋体"/>
                <w:b w:val="0"/>
                <w:bCs/>
                <w:color w:val="auto"/>
                <w:sz w:val="21"/>
                <w:szCs w:val="21"/>
                <w:vertAlign w:val="baseline"/>
              </w:rPr>
              <w:t>配置清单（单台配置）：</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1 电动手术床主机  1套</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2 记忆海绵床垫 1套</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3 头板  1个</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4 背板  1个</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5坐板 1个</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6分体式腿板1套</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7备用控制面板1个</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8无线遥控器1个</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9托手架1对</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10麻醉屏架（含固定器）1个</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11支身架（含固定器）1对</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12支肩架（含固定器）1对</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lang w:val="en-US" w:eastAsia="zh-CN"/>
              </w:rPr>
              <w:t>1</w:t>
            </w:r>
            <w:r>
              <w:rPr>
                <w:rFonts w:hint="eastAsia" w:ascii="宋体" w:hAnsi="宋体" w:eastAsia="宋体" w:cs="宋体"/>
                <w:b w:val="0"/>
                <w:bCs/>
                <w:color w:val="auto"/>
                <w:sz w:val="21"/>
                <w:szCs w:val="21"/>
                <w:vertAlign w:val="baseline"/>
              </w:rPr>
              <w:t>3马镫形腿架（含小车）1套</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14附件小车1个</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15污物盆2个</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16器械托盘（含固定器）2套</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17通用臀垫（凝胶材质）2套</w:t>
            </w:r>
          </w:p>
          <w:p>
            <w:pPr>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vertAlign w:val="baseline"/>
              </w:rPr>
              <w:t>18通用方垫（凝胶材质）2套</w:t>
            </w:r>
          </w:p>
        </w:tc>
      </w:tr>
    </w:tbl>
    <w:p>
      <w:pPr>
        <w:ind w:firstLine="422" w:firstLineChars="200"/>
        <w:rPr>
          <w:rFonts w:hint="eastAsia" w:ascii="宋体" w:hAnsi="宋体"/>
          <w:b/>
          <w:color w:val="FF0000"/>
          <w:szCs w:val="21"/>
        </w:rPr>
      </w:pPr>
    </w:p>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w:t>
      </w:r>
      <w:r>
        <w:rPr>
          <w:rFonts w:hint="eastAsia" w:ascii="宋体" w:hAnsi="宋体"/>
          <w:b/>
          <w:color w:val="FF0000"/>
          <w:szCs w:val="21"/>
          <w:u w:val="single"/>
          <w:lang w:eastAsia="zh-CN"/>
        </w:rPr>
        <w:t>手术床</w:t>
      </w:r>
      <w:r>
        <w:rPr>
          <w:rFonts w:hint="eastAsia" w:ascii="宋体" w:hAnsi="宋体"/>
          <w:b/>
          <w:color w:val="FF0000"/>
          <w:szCs w:val="21"/>
          <w:u w:val="single"/>
        </w:rPr>
        <w:t xml:space="preserve"> </w:t>
      </w:r>
      <w:r>
        <w:rPr>
          <w:rFonts w:hint="eastAsia" w:ascii="宋体" w:hAnsi="宋体"/>
          <w:b/>
          <w:color w:val="FF0000"/>
          <w:szCs w:val="21"/>
          <w:u w:val="single"/>
          <w:lang w:val="en-US" w:eastAsia="zh-CN"/>
        </w:rPr>
        <w:t xml:space="preserve">   </w:t>
      </w:r>
      <w:r>
        <w:rPr>
          <w:rFonts w:hint="eastAsia" w:ascii="宋体" w:hAnsi="宋体"/>
          <w:b/>
          <w:color w:val="FF0000"/>
          <w:szCs w:val="21"/>
          <w:u w:val="single"/>
        </w:rPr>
        <w:t xml:space="preserve"> </w:t>
      </w:r>
      <w:r>
        <w:rPr>
          <w:rFonts w:hint="eastAsia" w:ascii="宋体" w:hAnsi="宋体"/>
          <w:b/>
          <w:color w:val="FF0000"/>
          <w:szCs w:val="21"/>
        </w:rPr>
        <w:t>。</w:t>
      </w:r>
    </w:p>
    <w:bookmarkEnd w:id="39"/>
    <w:p>
      <w:pPr>
        <w:rPr>
          <w:rFonts w:ascii="宋体" w:hAnsi="宋体"/>
          <w:b/>
          <w:color w:val="FF0000"/>
          <w:szCs w:val="21"/>
        </w:rPr>
      </w:pPr>
    </w:p>
    <w:p>
      <w:pPr>
        <w:pStyle w:val="8"/>
      </w:pPr>
    </w:p>
    <w:p>
      <w:pPr>
        <w:pStyle w:val="5"/>
        <w:spacing w:before="120" w:beforeLines="50" w:after="120" w:afterLines="50"/>
        <w:rPr>
          <w:sz w:val="28"/>
          <w:szCs w:val="28"/>
        </w:rPr>
      </w:pPr>
      <w:bookmarkStart w:id="41" w:name="_Toc128884461"/>
      <w:r>
        <w:rPr>
          <w:rFonts w:hint="eastAsia"/>
          <w:sz w:val="28"/>
          <w:szCs w:val="28"/>
        </w:rPr>
        <w:t>三、实质性条款</w:t>
      </w:r>
    </w:p>
    <w:tbl>
      <w:tblPr>
        <w:tblStyle w:val="44"/>
        <w:tblW w:w="828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7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adjustRightInd w:val="0"/>
              <w:snapToGrid w:val="0"/>
              <w:spacing w:line="24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序号</w:t>
            </w:r>
          </w:p>
        </w:tc>
        <w:tc>
          <w:tcPr>
            <w:tcW w:w="7290" w:type="dxa"/>
            <w:vAlign w:val="center"/>
          </w:tcPr>
          <w:p>
            <w:pPr>
              <w:adjustRightInd w:val="0"/>
              <w:snapToGrid w:val="0"/>
              <w:spacing w:line="24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adjustRightInd w:val="0"/>
              <w:snapToGrid w:val="0"/>
              <w:spacing w:line="24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7290"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i w:val="0"/>
                <w:iCs w:val="0"/>
                <w:color w:val="auto"/>
                <w:kern w:val="0"/>
                <w:sz w:val="21"/>
                <w:szCs w:val="21"/>
                <w:u w:val="none"/>
                <w:lang w:val="en-US" w:eastAsia="zh-CN" w:bidi="ar"/>
              </w:rPr>
              <w:t>小型清洗消毒器：★提供全国消毒产品网上备案信息服务平台的备案截图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adjustRightInd w:val="0"/>
              <w:snapToGrid w:val="0"/>
              <w:spacing w:line="24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7290"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i w:val="0"/>
                <w:iCs w:val="0"/>
                <w:color w:val="auto"/>
                <w:kern w:val="0"/>
                <w:sz w:val="21"/>
                <w:szCs w:val="21"/>
                <w:u w:val="none"/>
                <w:lang w:val="en-US" w:eastAsia="zh-CN" w:bidi="ar"/>
              </w:rPr>
              <w:t>★</w:t>
            </w:r>
            <w:r>
              <w:rPr>
                <w:rFonts w:hint="eastAsia" w:ascii="宋体" w:hAnsi="宋体" w:eastAsia="宋体" w:cs="宋体"/>
                <w:b w:val="0"/>
                <w:bCs w:val="0"/>
                <w:color w:val="auto"/>
                <w:spacing w:val="9"/>
                <w:kern w:val="0"/>
                <w:sz w:val="21"/>
                <w:szCs w:val="21"/>
                <w:lang w:eastAsia="zh-CN"/>
              </w:rPr>
              <w:t>1.1提供主机及配件免费保修期5年，保修期以验收合格，双方代表签署“验收报告”之日起计算。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adjustRightInd w:val="0"/>
              <w:snapToGrid w:val="0"/>
              <w:spacing w:line="24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p>
        </w:tc>
        <w:tc>
          <w:tcPr>
            <w:tcW w:w="7290" w:type="dxa"/>
            <w:vAlign w:val="center"/>
          </w:tcPr>
          <w:p>
            <w:pPr>
              <w:adjustRightInd w:val="0"/>
              <w:snapToGrid w:val="0"/>
              <w:spacing w:line="240" w:lineRule="auto"/>
              <w:jc w:val="left"/>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adjustRightInd w:val="0"/>
              <w:snapToGrid w:val="0"/>
              <w:spacing w:line="24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7290"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lang w:val="en-US" w:eastAsia="zh-CN"/>
              </w:rPr>
              <w:t>5.2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adjustRightInd w:val="0"/>
              <w:snapToGrid w:val="0"/>
              <w:spacing w:line="240" w:lineRule="auto"/>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w:t>
            </w:r>
          </w:p>
        </w:tc>
        <w:tc>
          <w:tcPr>
            <w:tcW w:w="7290" w:type="dxa"/>
            <w:vAlign w:val="center"/>
          </w:tcPr>
          <w:p>
            <w:pPr>
              <w:pStyle w:val="54"/>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p>
            <w:pPr>
              <w:adjustRightInd w:val="0"/>
              <w:snapToGrid w:val="0"/>
              <w:spacing w:line="240" w:lineRule="auto"/>
              <w:jc w:val="left"/>
              <w:rPr>
                <w:rFonts w:hint="eastAsia" w:ascii="宋体" w:hAnsi="宋体" w:eastAsia="宋体" w:cs="宋体"/>
                <w:b w:val="0"/>
                <w:bCs w:val="0"/>
                <w:color w:val="auto"/>
                <w:spacing w:val="9"/>
                <w:kern w:val="0"/>
                <w:sz w:val="21"/>
                <w:szCs w:val="21"/>
              </w:rPr>
            </w:pPr>
          </w:p>
        </w:tc>
      </w:tr>
    </w:tbl>
    <w:p>
      <w:pPr>
        <w:rPr>
          <w:b/>
        </w:rPr>
      </w:pPr>
      <w:r>
        <w:rPr>
          <w:rFonts w:hint="eastAsia"/>
          <w:b/>
        </w:rPr>
        <w:t>注：上表所列内容为不可负偏离条款</w:t>
      </w:r>
      <w:bookmarkEnd w:id="41"/>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2"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2"/>
    <w:tbl>
      <w:tblPr>
        <w:tblStyle w:val="44"/>
        <w:tblW w:w="8265" w:type="dxa"/>
        <w:tblInd w:w="1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0"/>
        <w:gridCol w:w="1389"/>
        <w:gridCol w:w="58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trHeight w:val="303" w:hRule="atLeast"/>
        </w:trPr>
        <w:tc>
          <w:tcPr>
            <w:tcW w:w="1000" w:type="dxa"/>
            <w:tcBorders>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89" w:type="dxa"/>
            <w:tcBorders>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5876" w:type="dxa"/>
            <w:tcBorders>
              <w:left w:val="single" w:color="000000" w:sz="8" w:space="0"/>
              <w:bottom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restart"/>
            <w:tcBorders>
              <w:top w:val="nil"/>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9" w:type="dxa"/>
            <w:vMerge w:val="restart"/>
            <w:tcBorders>
              <w:top w:val="nil"/>
              <w:left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手术床</w:t>
            </w:r>
          </w:p>
        </w:tc>
        <w:tc>
          <w:tcPr>
            <w:tcW w:w="5876"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1.手术床采用电动液压驱动机制。至少实现台面升降、头脚倾、左右倾、背板上下折、解锁锁定，平移。</w:t>
            </w:r>
            <w:r>
              <w:rPr>
                <w:rFonts w:hint="eastAsia" w:ascii="宋体" w:hAnsi="宋体" w:eastAsia="宋体" w:cs="宋体"/>
                <w:b/>
                <w:bCs/>
                <w:i w:val="0"/>
                <w:iCs w:val="0"/>
                <w:color w:val="FF0000"/>
                <w:kern w:val="0"/>
                <w:sz w:val="21"/>
                <w:szCs w:val="21"/>
                <w:u w:val="none"/>
                <w:lang w:val="en-US" w:eastAsia="zh-CN" w:bidi="ar"/>
              </w:rPr>
              <w:t>（提供使用说明书）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389" w:type="dxa"/>
            <w:vMerge w:val="continue"/>
            <w:tcBorders>
              <w:left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5876"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2.手术床具备多种电动控制方式，包括线控器、无线遥控器、备用面板、脚踏开关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389" w:type="dxa"/>
            <w:vMerge w:val="continue"/>
            <w:tcBorders>
              <w:left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5876"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3.内置蓝牙模块，无线遥控器可蓝牙连接和无线充电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389" w:type="dxa"/>
            <w:vMerge w:val="continue"/>
            <w:tcBorders>
              <w:left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5876"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4.手术床立柱护罩顶端采用硬顶式设计</w:t>
            </w:r>
            <w:r>
              <w:rPr>
                <w:rFonts w:hint="eastAsia" w:ascii="宋体" w:hAnsi="宋体" w:eastAsia="宋体" w:cs="宋体"/>
                <w:b/>
                <w:bCs/>
                <w:i w:val="0"/>
                <w:iCs w:val="0"/>
                <w:color w:val="FF0000"/>
                <w:kern w:val="0"/>
                <w:sz w:val="21"/>
                <w:szCs w:val="21"/>
                <w:u w:val="none"/>
                <w:lang w:val="en-US" w:eastAsia="zh-CN" w:bidi="ar"/>
              </w:rPr>
              <w:t>（提供彩页证明）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389" w:type="dxa"/>
            <w:vMerge w:val="continue"/>
            <w:tcBorders>
              <w:left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5876"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5.床垫：整体采用记忆海绵材料，厚度≥80mm，表面无针逢，防水透气。</w:t>
            </w:r>
            <w:r>
              <w:rPr>
                <w:rFonts w:hint="eastAsia" w:ascii="宋体" w:hAnsi="宋体" w:eastAsia="宋体" w:cs="宋体"/>
                <w:b/>
                <w:bCs/>
                <w:i w:val="0"/>
                <w:iCs w:val="0"/>
                <w:color w:val="FF0000"/>
                <w:kern w:val="0"/>
                <w:sz w:val="21"/>
                <w:szCs w:val="21"/>
                <w:u w:val="none"/>
                <w:lang w:val="en-US" w:eastAsia="zh-CN" w:bidi="ar"/>
              </w:rPr>
              <w:t>(提供使用说明书</w:t>
            </w:r>
            <w:r>
              <w:rPr>
                <w:rFonts w:hint="eastAsia" w:ascii="宋体" w:hAnsi="宋体" w:cs="宋体"/>
                <w:b/>
                <w:bCs/>
                <w:i w:val="0"/>
                <w:iCs w:val="0"/>
                <w:color w:val="FF0000"/>
                <w:kern w:val="0"/>
                <w:sz w:val="21"/>
                <w:szCs w:val="21"/>
                <w:u w:val="none"/>
                <w:lang w:val="en-US" w:eastAsia="zh-CN" w:bidi="ar"/>
              </w:rPr>
              <w:t>或</w:t>
            </w:r>
            <w:r>
              <w:rPr>
                <w:rFonts w:hint="eastAsia" w:ascii="宋体" w:hAnsi="宋体" w:eastAsia="宋体" w:cs="宋体"/>
                <w:b/>
                <w:bCs/>
                <w:i w:val="0"/>
                <w:iCs w:val="0"/>
                <w:color w:val="FF0000"/>
                <w:kern w:val="0"/>
                <w:sz w:val="21"/>
                <w:szCs w:val="21"/>
                <w:u w:val="none"/>
                <w:lang w:val="en-US" w:eastAsia="zh-CN" w:bidi="ar"/>
              </w:rPr>
              <w:t>彩页证明)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389" w:type="dxa"/>
            <w:vMerge w:val="continue"/>
            <w:tcBorders>
              <w:left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5876"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6.手术床腿板采用采用气弹簧腿板、一键快插式设计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389" w:type="dxa"/>
            <w:vMerge w:val="continue"/>
            <w:tcBorders>
              <w:left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5876"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7.手术床底罩表面平整无凹陷，底座厚度≤150mm，同时底座在手术床腿端有U型凹槽设计，便于术中放置污物桶。</w:t>
            </w:r>
            <w:r>
              <w:rPr>
                <w:rFonts w:hint="eastAsia" w:ascii="宋体" w:hAnsi="宋体" w:eastAsia="宋体" w:cs="宋体"/>
                <w:b/>
                <w:bCs/>
                <w:i w:val="0"/>
                <w:iCs w:val="0"/>
                <w:color w:val="FF0000"/>
                <w:kern w:val="0"/>
                <w:sz w:val="21"/>
                <w:szCs w:val="21"/>
                <w:u w:val="none"/>
                <w:lang w:val="en-US" w:eastAsia="zh-CN" w:bidi="ar"/>
              </w:rPr>
              <w:t>（提供彩页证明）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389" w:type="dxa"/>
            <w:vMerge w:val="continue"/>
            <w:tcBorders>
              <w:left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5876"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8.手术床开关、等电位柱及电源接口均有防水盖设计，手术床满足IPX5防水等级测试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389" w:type="dxa"/>
            <w:vMerge w:val="continue"/>
            <w:tcBorders>
              <w:left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5876"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9.手术床配备四个万向脚轮，四个独立的电动支脚刹车，非轮式刹车设计。</w:t>
            </w:r>
            <w:r>
              <w:rPr>
                <w:rFonts w:hint="eastAsia" w:ascii="宋体" w:hAnsi="宋体" w:eastAsia="宋体" w:cs="宋体"/>
                <w:b/>
                <w:bCs/>
                <w:i w:val="0"/>
                <w:iCs w:val="0"/>
                <w:color w:val="FF0000"/>
                <w:kern w:val="0"/>
                <w:sz w:val="21"/>
                <w:szCs w:val="21"/>
                <w:u w:val="none"/>
                <w:lang w:val="en-US" w:eastAsia="zh-CN" w:bidi="ar"/>
              </w:rPr>
              <w:t>(提供彩页证明)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389" w:type="dxa"/>
            <w:vMerge w:val="continue"/>
            <w:tcBorders>
              <w:left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5876"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10.具备一键形成屈曲，反屈曲功能，具备一键复位功能。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389" w:type="dxa"/>
            <w:vMerge w:val="continue"/>
            <w:tcBorders>
              <w:left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5876"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11.手术床配有充电电池，可满足不少于50 次手术需要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389" w:type="dxa"/>
            <w:vMerge w:val="continue"/>
            <w:tcBorders>
              <w:left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5876"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、手术床宽度：≥520mm，长度：≥2000mm</w:t>
            </w:r>
            <w:r>
              <w:rPr>
                <w:rFonts w:hint="eastAsia" w:ascii="宋体" w:hAnsi="宋体" w:eastAsia="宋体" w:cs="宋体"/>
                <w:b/>
                <w:bCs/>
                <w:i w:val="0"/>
                <w:iCs w:val="0"/>
                <w:color w:val="FF0000"/>
                <w:kern w:val="0"/>
                <w:sz w:val="21"/>
                <w:szCs w:val="21"/>
                <w:u w:val="none"/>
                <w:lang w:val="en-US" w:eastAsia="zh-CN" w:bidi="ar"/>
              </w:rPr>
              <w:t>（提供使用说明书证明)；</w:t>
            </w:r>
            <w:r>
              <w:rPr>
                <w:rFonts w:hint="eastAsia" w:ascii="宋体" w:hAnsi="宋体" w:eastAsia="宋体" w:cs="宋体"/>
                <w:i w:val="0"/>
                <w:iCs w:val="0"/>
                <w:color w:val="auto"/>
                <w:kern w:val="0"/>
                <w:sz w:val="21"/>
                <w:szCs w:val="21"/>
                <w:u w:val="none"/>
                <w:lang w:val="en-US" w:eastAsia="zh-CN" w:bidi="ar"/>
              </w:rPr>
              <w:t>手术床承载重量：≥400kg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389" w:type="dxa"/>
            <w:vMerge w:val="continue"/>
            <w:tcBorders>
              <w:left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5876"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.纵向最大倾斜角度（头倾）：≥36°，纵向最大倾斜角度（脚倾）：≥25°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389" w:type="dxa"/>
            <w:vMerge w:val="continue"/>
            <w:tcBorders>
              <w:left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5876"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.头板最大倾斜角度：上折≥60°，下折≥90°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389" w:type="dxa"/>
            <w:vMerge w:val="continue"/>
            <w:tcBorders>
              <w:left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5876" w:type="dxa"/>
            <w:tcBorders>
              <w:top w:val="nil"/>
              <w:left w:val="single" w:color="000000" w:sz="8" w:space="0"/>
              <w:bottom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.手术床最低台面：≤600mm，手术床最高台面：≥950mm，台面平移距离：≥310mm</w:t>
            </w:r>
            <w:r>
              <w:rPr>
                <w:rFonts w:hint="eastAsia" w:ascii="宋体" w:hAnsi="宋体" w:eastAsia="宋体" w:cs="宋体"/>
                <w:b/>
                <w:bCs/>
                <w:i w:val="0"/>
                <w:iCs w:val="0"/>
                <w:color w:val="FF0000"/>
                <w:kern w:val="0"/>
                <w:sz w:val="21"/>
                <w:szCs w:val="21"/>
                <w:u w:val="none"/>
                <w:lang w:val="en-US" w:eastAsia="zh-CN" w:bidi="ar"/>
              </w:rPr>
              <w:t>（提供检测报告或使用说明书证明)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restart"/>
            <w:tcBorders>
              <w:top w:val="nil"/>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8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小型清洗消毒器</w:t>
            </w:r>
          </w:p>
        </w:tc>
        <w:tc>
          <w:tcPr>
            <w:tcW w:w="5876" w:type="dxa"/>
            <w:tcBorders>
              <w:top w:val="nil"/>
              <w:left w:val="single" w:color="000000" w:sz="8" w:space="0"/>
              <w:bottom w:val="single" w:color="000000" w:sz="8"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1.设备用途以及功能：用于手术器械、牙科手机、器皿器具、塑料制品的清洗、消毒、干燥。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389"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5876" w:type="dxa"/>
            <w:tcBorders>
              <w:top w:val="nil"/>
              <w:left w:val="single" w:color="000000" w:sz="8" w:space="0"/>
              <w:bottom w:val="single" w:color="000000" w:sz="8"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2.材质：清洗机外壳采用304不锈钢材质，清洗舱体采用316L镜面覆膜面不锈钢板容积：≥60L；主体保温：≥12mm橡塑海绵。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389"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5876" w:type="dxa"/>
            <w:tcBorders>
              <w:top w:val="nil"/>
              <w:left w:val="single" w:color="000000" w:sz="8" w:space="0"/>
              <w:bottom w:val="single" w:color="000000" w:sz="8"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3.对接口：清洗架注水口位于清洗舱的后部中间，以保证清洗架方便对接且占用较少的舱体空间。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389"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5876" w:type="dxa"/>
            <w:tcBorders>
              <w:top w:val="nil"/>
              <w:left w:val="single" w:color="000000" w:sz="8" w:space="0"/>
              <w:bottom w:val="single" w:color="000000" w:sz="8"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4.使用寿命：设备寿命≥10年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389"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5876" w:type="dxa"/>
            <w:tcBorders>
              <w:top w:val="nil"/>
              <w:left w:val="single" w:color="000000" w:sz="8" w:space="0"/>
              <w:bottom w:val="single" w:color="000000" w:sz="8"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5.开门方式：采用电吸门结构，关门自动上锁。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389"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5876" w:type="dxa"/>
            <w:tcBorders>
              <w:top w:val="nil"/>
              <w:left w:val="single" w:color="000000" w:sz="8" w:space="0"/>
              <w:bottom w:val="single" w:color="000000" w:sz="8"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6.干燥系统：配有干燥风机，最大流量≥20（立方米/小时）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389"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5876" w:type="dxa"/>
            <w:tcBorders>
              <w:top w:val="nil"/>
              <w:left w:val="single" w:color="000000" w:sz="8" w:space="0"/>
              <w:bottom w:val="single" w:color="000000" w:sz="8"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7.控制方式：采用PLC控制器，界面显示：≥5英寸，电阻屏触摸屏，显示各部件输入输出状态，报警信息显示，可扩展支持工业以太网，支持TCP/IP等众多网络协议，极低的功耗，极低的对外电磁干扰，</w:t>
            </w:r>
            <w:r>
              <w:rPr>
                <w:rFonts w:hint="eastAsia" w:ascii="宋体" w:hAnsi="宋体" w:eastAsia="宋体" w:cs="宋体"/>
                <w:b/>
                <w:bCs/>
                <w:i w:val="0"/>
                <w:iCs w:val="0"/>
                <w:color w:val="FF0000"/>
                <w:kern w:val="0"/>
                <w:sz w:val="21"/>
                <w:szCs w:val="21"/>
                <w:u w:val="none"/>
                <w:lang w:val="en-US" w:eastAsia="zh-CN" w:bidi="ar"/>
              </w:rPr>
              <w:t>提供电磁兼容报告。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389"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5876" w:type="dxa"/>
            <w:tcBorders>
              <w:top w:val="nil"/>
              <w:left w:val="single" w:color="000000" w:sz="8" w:space="0"/>
              <w:bottom w:val="single" w:color="000000" w:sz="8"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8.消毒温度：80℃～93℃可调，AO值≥3000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389"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5876" w:type="dxa"/>
            <w:tcBorders>
              <w:top w:val="nil"/>
              <w:left w:val="single" w:color="000000" w:sz="8" w:space="0"/>
              <w:bottom w:val="single" w:color="000000" w:sz="8"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9.管理权限：不少于五级管理权限，至少包括操作员、工艺员、管理员，维修人员，制造商。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389"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5876" w:type="dxa"/>
            <w:tcBorders>
              <w:top w:val="nil"/>
              <w:left w:val="single" w:color="000000" w:sz="8" w:space="0"/>
              <w:bottom w:val="single" w:color="000000" w:sz="8"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程序系统：具有≥8套预置程序，手术器械、器皿器具、塑料制品、重度污染、传染物品、清洗程序、消毒程序、干燥程序，≥32套可编辑程序。清洗过程的温度、压力、时间、过程阶段、预置参数等均可打印，触摸屏支持实时动态温度曲线显示，能够实时显示内室温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389"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5876" w:type="dxa"/>
            <w:tcBorders>
              <w:top w:val="nil"/>
              <w:left w:val="single" w:color="000000" w:sz="8" w:space="0"/>
              <w:bottom w:val="single" w:color="000000" w:sz="8"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11.装载量：≥24个牙科手机和≥1个器械篮筐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389"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5876" w:type="dxa"/>
            <w:tcBorders>
              <w:top w:val="nil"/>
              <w:left w:val="single" w:color="000000" w:sz="8" w:space="0"/>
              <w:bottom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12.舱体尺寸：宽380±10mm×深370±10mm×高420±10mm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000" w:type="dxa"/>
            <w:vMerge w:val="continue"/>
            <w:tcBorders>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389"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5876" w:type="dxa"/>
            <w:tcBorders>
              <w:top w:val="nil"/>
              <w:left w:val="single" w:color="000000" w:sz="8" w:space="0"/>
              <w:bottom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13.设备净重：≥60Kg。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000" w:type="dxa"/>
            <w:vMerge w:val="continue"/>
            <w:tcBorders>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1389" w:type="dxa"/>
            <w:vMerge w:val="continue"/>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5876" w:type="dxa"/>
            <w:tcBorders>
              <w:top w:val="nil"/>
              <w:left w:val="single" w:color="000000" w:sz="8"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小型清洗消毒器</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★提供全国消毒产品网上备案信息服务平台的备案截图</w:t>
            </w:r>
          </w:p>
        </w:tc>
      </w:tr>
    </w:tbl>
    <w:p>
      <w:pPr>
        <w:rPr>
          <w:rFonts w:ascii="Times New Roman" w:hAnsi="Times New Roman" w:eastAsia="宋体" w:cs="Times New Roman"/>
          <w:b/>
          <w:szCs w:val="21"/>
        </w:rPr>
      </w:pPr>
    </w:p>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p>
      <w:pPr>
        <w:rPr>
          <w:b/>
        </w:rPr>
      </w:pPr>
    </w:p>
    <w:tbl>
      <w:tblPr>
        <w:tblStyle w:val="478"/>
        <w:tblW w:w="90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1846"/>
        <w:gridCol w:w="6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6"/>
                <w:kern w:val="0"/>
                <w:sz w:val="21"/>
                <w:szCs w:val="21"/>
              </w:rPr>
              <w:t>序号</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14"/>
                <w:kern w:val="0"/>
                <w:sz w:val="21"/>
                <w:szCs w:val="21"/>
              </w:rPr>
              <w:t>目录</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position w:val="-1"/>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9"/>
                <w:kern w:val="0"/>
                <w:sz w:val="21"/>
                <w:szCs w:val="21"/>
              </w:rPr>
              <w:t>维修及维护服务</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lang w:eastAsia="zh-CN"/>
              </w:rPr>
            </w:pPr>
            <w:r>
              <w:rPr>
                <w:rFonts w:hint="eastAsia" w:ascii="宋体" w:hAnsi="宋体" w:eastAsia="宋体" w:cs="宋体"/>
                <w:b w:val="0"/>
                <w:bCs w:val="0"/>
                <w:i w:val="0"/>
                <w:iCs w:val="0"/>
                <w:color w:val="auto"/>
                <w:kern w:val="0"/>
                <w:sz w:val="21"/>
                <w:szCs w:val="21"/>
                <w:u w:val="none"/>
                <w:lang w:val="en-US" w:eastAsia="zh-CN" w:bidi="ar"/>
              </w:rPr>
              <w:t>★</w:t>
            </w:r>
            <w:r>
              <w:rPr>
                <w:rFonts w:hint="eastAsia" w:asciiTheme="minorEastAsia" w:hAnsiTheme="minorEastAsia" w:eastAsiaTheme="minorEastAsia" w:cstheme="minorEastAsia"/>
                <w:b/>
                <w:bCs/>
                <w:color w:val="FF0000"/>
                <w:spacing w:val="9"/>
                <w:kern w:val="0"/>
                <w:sz w:val="21"/>
                <w:szCs w:val="21"/>
                <w:lang w:eastAsia="zh-CN"/>
              </w:rPr>
              <w:t>1.1提供主机及配件免费保修期5年，保修期以验收合格，双方代表签署“验收报告”之日起计算。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1.2由生产厂家提供售后服务，4 小时内响应，24小时</w:t>
            </w:r>
            <w:r>
              <w:rPr>
                <w:rFonts w:hint="eastAsia" w:asciiTheme="minorEastAsia" w:hAnsiTheme="minorEastAsia" w:eastAsiaTheme="minorEastAsia" w:cstheme="minorEastAsia"/>
                <w:spacing w:val="9"/>
                <w:kern w:val="0"/>
                <w:sz w:val="21"/>
                <w:szCs w:val="21"/>
                <w:lang w:val="en-US" w:eastAsia="zh-CN"/>
              </w:rPr>
              <w:t>内</w:t>
            </w:r>
            <w:r>
              <w:rPr>
                <w:rFonts w:hint="eastAsia" w:asciiTheme="minorEastAsia" w:hAnsiTheme="minorEastAsia" w:eastAsiaTheme="minorEastAsia" w:cstheme="minorEastAsia"/>
                <w:spacing w:val="9"/>
                <w:kern w:val="0"/>
                <w:sz w:val="21"/>
                <w:szCs w:val="21"/>
              </w:rPr>
              <w:t>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9"/>
                <w:kern w:val="0"/>
                <w:sz w:val="21"/>
                <w:szCs w:val="21"/>
              </w:rPr>
              <w:t>维修服务和优惠</w:t>
            </w:r>
            <w:r>
              <w:rPr>
                <w:rFonts w:hint="eastAsia" w:asciiTheme="minorEastAsia" w:hAnsiTheme="minorEastAsia" w:eastAsiaTheme="minorEastAsia" w:cstheme="minorEastAsia"/>
                <w:spacing w:val="6"/>
                <w:kern w:val="0"/>
                <w:sz w:val="21"/>
                <w:szCs w:val="21"/>
              </w:rPr>
              <w:t>价格</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1.1由生产厂家提供售后服务，4小时内响应，24小时</w:t>
            </w:r>
            <w:r>
              <w:rPr>
                <w:rFonts w:hint="eastAsia" w:asciiTheme="minorEastAsia" w:hAnsiTheme="minorEastAsia" w:eastAsiaTheme="minorEastAsia" w:cstheme="minorEastAsia"/>
                <w:spacing w:val="9"/>
                <w:kern w:val="0"/>
                <w:sz w:val="21"/>
                <w:szCs w:val="21"/>
                <w:lang w:val="en-US" w:eastAsia="zh-CN"/>
              </w:rPr>
              <w:t>内</w:t>
            </w:r>
            <w:r>
              <w:rPr>
                <w:rFonts w:hint="eastAsia" w:asciiTheme="minorEastAsia" w:hAnsiTheme="minorEastAsia" w:eastAsiaTheme="minorEastAsia" w:cstheme="minorEastAsia"/>
                <w:spacing w:val="9"/>
                <w:kern w:val="0"/>
                <w:sz w:val="21"/>
                <w:szCs w:val="21"/>
              </w:rPr>
              <w:t>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1.2终身维修，保修期满后，生产厂家对用户进行的售后服务只收更换部件的成本费，提供维修零配件、消耗品优惠价格。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1.3采购人可与投标人就优惠价进行谈判，但优惠价不得高于投标人在投标文件中承诺的消耗品、零配件报价。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8"/>
                <w:kern w:val="0"/>
                <w:sz w:val="21"/>
                <w:szCs w:val="21"/>
              </w:rPr>
              <w:t>交货要求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eastAsiaTheme="minorEastAsia" w:cstheme="minorEastAsia"/>
                <w:b/>
                <w:bCs/>
                <w:spacing w:val="8"/>
                <w:kern w:val="0"/>
                <w:sz w:val="21"/>
                <w:szCs w:val="21"/>
              </w:rPr>
              <w:t>1.1投标人在签订合同之日起</w:t>
            </w:r>
            <w:r>
              <w:rPr>
                <w:rFonts w:hint="eastAsia" w:asciiTheme="minorEastAsia" w:hAnsiTheme="minorEastAsia" w:cstheme="minorEastAsia"/>
                <w:b/>
                <w:bCs/>
                <w:spacing w:val="8"/>
                <w:kern w:val="0"/>
                <w:sz w:val="21"/>
                <w:szCs w:val="21"/>
                <w:lang w:val="en-US" w:eastAsia="zh-CN"/>
              </w:rPr>
              <w:t>30</w:t>
            </w:r>
            <w:r>
              <w:rPr>
                <w:rFonts w:hint="eastAsia" w:asciiTheme="minorEastAsia" w:hAnsiTheme="minorEastAsia" w:eastAsiaTheme="minorEastAsia" w:cstheme="minorEastAsia"/>
                <w:b/>
                <w:bCs/>
                <w:spacing w:val="8"/>
                <w:kern w:val="0"/>
                <w:sz w:val="21"/>
                <w:szCs w:val="21"/>
              </w:rPr>
              <w:t xml:space="preserve"> 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1.2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1.3提供的货物须为全新、经检验合格的产品。产品如需要计量检定的应提供相关计量检定部门出具的合法检定报告。其中，进口设备必须提供相关进口资料。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3"/>
                <w:kern w:val="0"/>
                <w:sz w:val="21"/>
                <w:szCs w:val="21"/>
              </w:rPr>
              <w:t>运输、安装和验收</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2.1投标人负责将货物安全无损运抵采购人指定地点，并承担设备的包装、运输、保险、装卸、安装调试、培训、商检及计量检测、关税、增值税和进口代理等费用。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2.2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2.3采购人有权检验或测试货物，以确认货物是否符合合同规格的要求，并且不承担额外的费用。如果发现所交货物与投标文件中所承诺的不符或存在质量、技术缺陷等，采购人可以拒绝接收该货物，投标人应在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2.4供货时须确保产品外观清洁，标记编号以及盘面显示等字体清晰、明确，能够准确无误地表示产品的型号、规格、制造商等，并保证所提供的产品的可追溯性。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2.5投标人负责货物的现场安装和调试，提供货物安装、调试和维修所需的专用工具和辅助材料。投标人应在货物运至指定地点后一周内开始安装调试，并在  15  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2.6由投标人代表、厂家代表和采购人组成验收小组对产品进行验收。验收标准按照产品技术参数要求和合同约定执行。经检验设备正常运作后签署验收报告，产品保修期自验收合格之日起算。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kern w:val="0"/>
                <w:sz w:val="21"/>
                <w:szCs w:val="21"/>
                <w:highlight w:val="none"/>
                <w:lang w:val="en-US" w:eastAsia="zh-CN"/>
              </w:rPr>
              <w:t>3</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default" w:asciiTheme="minorEastAsia" w:hAnsiTheme="minorEastAsia" w:eastAsiaTheme="minorEastAsia" w:cstheme="minorEastAsia"/>
                <w:spacing w:val="8"/>
                <w:kern w:val="0"/>
                <w:sz w:val="21"/>
                <w:szCs w:val="21"/>
                <w:highlight w:val="none"/>
                <w:lang w:val="en-US" w:eastAsia="zh-CN"/>
              </w:rPr>
            </w:pPr>
            <w:r>
              <w:rPr>
                <w:rFonts w:hint="eastAsia" w:asciiTheme="minorEastAsia" w:hAnsiTheme="minorEastAsia" w:eastAsiaTheme="minorEastAsia" w:cstheme="minorEastAsia"/>
                <w:spacing w:val="8"/>
                <w:kern w:val="0"/>
                <w:sz w:val="21"/>
                <w:szCs w:val="21"/>
                <w:highlight w:val="none"/>
                <w:lang w:val="en-US" w:eastAsia="zh-CN"/>
              </w:rPr>
              <w:t>付款方式</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合同签订后，</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提供全额发票，</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在收到发票且财政资金到位后，向</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将货物运至指定地点、完成安装调试、设备运行合格并通过验收后，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2.1若财政资金足额到位且设备验收合格，</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2.2若财政资金不足以支付尾款，</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Theme="minorEastAsia" w:hAnsiTheme="minorEastAsia" w:eastAsiaTheme="minorEastAsia" w:cstheme="minorEastAsia"/>
                <w:spacing w:val="8"/>
                <w:kern w:val="0"/>
                <w:sz w:val="21"/>
                <w:szCs w:val="21"/>
                <w:highlight w:val="none"/>
                <w:lang w:val="en-US" w:eastAsia="zh-CN"/>
              </w:rPr>
            </w:pPr>
            <w:r>
              <w:rPr>
                <w:rFonts w:hint="eastAsia" w:ascii="宋体" w:hAnsi="宋体" w:cs="宋体"/>
                <w:spacing w:val="8"/>
                <w:kern w:val="0"/>
                <w:szCs w:val="21"/>
                <w:highlight w:val="none"/>
              </w:rPr>
              <w:t>2.3若</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cstheme="minorEastAsia"/>
                <w:kern w:val="0"/>
                <w:sz w:val="21"/>
                <w:szCs w:val="21"/>
                <w:highlight w:val="none"/>
                <w:lang w:val="en-US" w:eastAsia="zh-CN"/>
              </w:rPr>
            </w:pPr>
            <w:r>
              <w:rPr>
                <w:rFonts w:hint="eastAsia" w:asciiTheme="minorEastAsia" w:hAnsiTheme="minorEastAsia" w:cstheme="minorEastAsia"/>
                <w:kern w:val="0"/>
                <w:sz w:val="21"/>
                <w:szCs w:val="21"/>
                <w:highlight w:val="none"/>
                <w:lang w:val="en-US" w:eastAsia="zh-CN"/>
              </w:rPr>
              <w:t>4</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cstheme="minorEastAsia"/>
                <w:spacing w:val="3"/>
                <w:kern w:val="0"/>
                <w:sz w:val="21"/>
                <w:szCs w:val="21"/>
                <w:highlight w:val="none"/>
                <w:lang w:val="en-US" w:eastAsia="zh-CN"/>
              </w:rPr>
            </w:pPr>
            <w:r>
              <w:rPr>
                <w:rFonts w:hint="eastAsia" w:asciiTheme="minorEastAsia" w:hAnsiTheme="minorEastAsia" w:cstheme="minorEastAsia"/>
                <w:spacing w:val="3"/>
                <w:kern w:val="0"/>
                <w:sz w:val="21"/>
                <w:szCs w:val="21"/>
                <w:highlight w:val="none"/>
                <w:lang w:val="en-US" w:eastAsia="zh-CN"/>
              </w:rPr>
              <w:t>履约保证金</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1.履约保证金提交要求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1.1</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提供合同总额5%的履约保证金，由供应商自主选择以支票、汇票、本票、保函等非现金方式提交。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1.2提交时间：合同签订后10日内提交。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1.3如涉及相关费用的，均由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2.保证金退还：</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完成供货且经过</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验收合格后，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在30日内不计息退还。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pacing w:val="8"/>
                <w:kern w:val="0"/>
                <w:sz w:val="21"/>
                <w:szCs w:val="21"/>
                <w:highlight w:val="none"/>
                <w:lang w:val="en-US" w:eastAsia="zh-CN" w:bidi="ar-SA"/>
              </w:rPr>
            </w:pPr>
            <w:r>
              <w:rPr>
                <w:rFonts w:hint="eastAsia" w:ascii="宋体" w:hAnsi="宋体" w:cs="宋体"/>
                <w:spacing w:val="8"/>
                <w:kern w:val="0"/>
                <w:szCs w:val="21"/>
                <w:highlight w:val="none"/>
              </w:rPr>
              <w:t>3.违约处理：如</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发生违约行为，如设备出现质量问题，或</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未按</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要求维修或替换，则</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有权扣除已收取的履约保证金，无需经过</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同意，由此造成的一切损失由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5</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5"/>
                <w:kern w:val="0"/>
                <w:sz w:val="21"/>
                <w:szCs w:val="21"/>
              </w:rPr>
              <w:t>培训</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3.1中标人应派专业技术人员免费对采购单位制定人员进行定期培训及指导，直至其完全掌握设备的基本故障处理技术。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6</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7"/>
                <w:kern w:val="0"/>
                <w:sz w:val="21"/>
                <w:szCs w:val="21"/>
              </w:rPr>
              <w:t>知识产权</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4.1投标人应保证采购人在使用该货物或其任何一部分时，免受第三方提出的侵犯其专利权、商标权、著作权或其他知识产权的起诉。投标人保证所提供软件的合法性，所发生的任何知识产权纠纷与采购人无关。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7"/>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4.2采购人购买产品后，有权对该产品与其他设备进行配套、整合或适当改进，而免受侵犯专利权的起诉。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6</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7"/>
                <w:kern w:val="0"/>
                <w:sz w:val="21"/>
                <w:szCs w:val="21"/>
              </w:rPr>
              <w:t>其他</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5.1投标人应按其投标文件中的承诺，进行其他售后服务工作。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7"/>
                <w:kern w:val="0"/>
                <w:sz w:val="21"/>
                <w:szCs w:val="21"/>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default" w:asciiTheme="minorEastAsia" w:hAnsiTheme="minorEastAsia" w:eastAsiaTheme="minorEastAsia" w:cstheme="minorEastAsia"/>
                <w:spacing w:val="8"/>
                <w:kern w:val="0"/>
                <w:sz w:val="21"/>
                <w:szCs w:val="21"/>
                <w:lang w:val="en-US" w:eastAsia="zh-CN"/>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eastAsiaTheme="minorEastAsia" w:cstheme="minorEastAsia"/>
                <w:b/>
                <w:bCs/>
                <w:color w:val="FF0000"/>
                <w:spacing w:val="8"/>
                <w:kern w:val="0"/>
                <w:sz w:val="21"/>
                <w:szCs w:val="21"/>
                <w:lang w:val="en-US" w:eastAsia="zh-CN"/>
              </w:rPr>
              <w:t>5.2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7"/>
                <w:kern w:val="0"/>
                <w:sz w:val="21"/>
                <w:szCs w:val="21"/>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Theme="minorEastAsia" w:hAnsiTheme="minorEastAsia" w:eastAsiaTheme="minorEastAsia" w:cstheme="minorEastAsia"/>
                <w:b/>
                <w:bCs/>
                <w:color w:val="FF0000"/>
                <w:spacing w:val="9"/>
                <w:kern w:val="0"/>
                <w:sz w:val="21"/>
                <w:szCs w:val="21"/>
              </w:rPr>
            </w:pPr>
            <w:r>
              <w:rPr>
                <w:rFonts w:hint="eastAsia" w:asciiTheme="minorEastAsia" w:hAnsiTheme="minorEastAsia" w:eastAsiaTheme="minorEastAsia" w:cstheme="minorEastAsia"/>
                <w:b/>
                <w:bCs/>
                <w:color w:val="FF0000"/>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8"/>
        <w:rPr>
          <w:rFonts w:ascii="宋体" w:hAnsi="宋体"/>
        </w:rPr>
      </w:pPr>
    </w:p>
    <w:p>
      <w:pPr>
        <w:pStyle w:val="37"/>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3" w:name="_Hlk72257253"/>
      <w:r>
        <w:rPr>
          <w:rFonts w:hint="eastAsia"/>
        </w:rPr>
        <w:t>主要包括以下内容：</w:t>
      </w:r>
    </w:p>
    <w:p>
      <w:pPr>
        <w:ind w:left="718" w:leftChars="342" w:firstLine="1417" w:firstLineChars="675"/>
        <w:rPr>
          <w:szCs w:val="21"/>
        </w:rPr>
      </w:pPr>
      <w:r>
        <w:rPr>
          <w:rFonts w:hint="eastAsia"/>
          <w:szCs w:val="21"/>
        </w:rPr>
        <w:t>（1）</w:t>
      </w:r>
      <w:bookmarkStart w:id="44" w:name="_Hlk72070784"/>
      <w:r>
        <w:rPr>
          <w:rFonts w:hint="eastAsia"/>
          <w:szCs w:val="21"/>
        </w:rPr>
        <w:t>投标函</w:t>
      </w:r>
      <w:bookmarkEnd w:id="44"/>
    </w:p>
    <w:p>
      <w:pPr>
        <w:ind w:left="718" w:leftChars="342" w:firstLine="1417" w:firstLineChars="675"/>
        <w:rPr>
          <w:szCs w:val="21"/>
        </w:rPr>
      </w:pPr>
      <w:r>
        <w:rPr>
          <w:rFonts w:hint="eastAsia"/>
          <w:szCs w:val="21"/>
        </w:rPr>
        <w:t>（2）</w:t>
      </w:r>
      <w:bookmarkStart w:id="45" w:name="_Hlk72062521"/>
      <w:r>
        <w:rPr>
          <w:rFonts w:hint="eastAsia"/>
          <w:szCs w:val="21"/>
        </w:rPr>
        <w:t>采购投标及履约承诺函</w:t>
      </w:r>
      <w:bookmarkEnd w:id="45"/>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6" w:name="_Hlk72257201"/>
      <w:r>
        <w:rPr>
          <w:rFonts w:hint="eastAsia"/>
          <w:szCs w:val="21"/>
        </w:rPr>
        <w:t>（</w:t>
      </w:r>
      <w:r>
        <w:rPr>
          <w:szCs w:val="21"/>
        </w:rPr>
        <w:t>4</w:t>
      </w:r>
      <w:r>
        <w:rPr>
          <w:rFonts w:hint="eastAsia"/>
          <w:szCs w:val="21"/>
        </w:rPr>
        <w:t>）项目详细报价</w:t>
      </w:r>
    </w:p>
    <w:bookmarkEnd w:id="46"/>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rFonts w:hint="eastAsia"/>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）项目实施方案</w:t>
      </w:r>
    </w:p>
    <w:p>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w:t>
      </w:r>
      <w:bookmarkStart w:id="47" w:name="OLE_LINK3"/>
      <w:r>
        <w:rPr>
          <w:rFonts w:hint="eastAsia"/>
          <w:szCs w:val="21"/>
        </w:rPr>
        <w:t>免费保修期时长</w:t>
      </w:r>
      <w:bookmarkEnd w:id="47"/>
    </w:p>
    <w:p>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w:t>
      </w:r>
      <w:bookmarkStart w:id="48" w:name="OLE_LINK4"/>
      <w:r>
        <w:rPr>
          <w:rFonts w:hint="eastAsia"/>
          <w:szCs w:val="21"/>
        </w:rPr>
        <w:t>同类业绩</w:t>
      </w:r>
      <w:bookmarkEnd w:id="48"/>
    </w:p>
    <w:p>
      <w:pPr>
        <w:ind w:left="718" w:leftChars="342" w:firstLine="1417" w:firstLineChars="675"/>
        <w:rPr>
          <w:rFonts w:hint="eastAsia"/>
          <w:szCs w:val="21"/>
        </w:rPr>
      </w:pPr>
      <w:r>
        <w:rPr>
          <w:rFonts w:hint="eastAsia"/>
          <w:szCs w:val="21"/>
        </w:rPr>
        <w:t>（</w:t>
      </w:r>
      <w:r>
        <w:rPr>
          <w:rFonts w:hint="eastAsia"/>
          <w:szCs w:val="21"/>
          <w:lang w:val="en-US" w:eastAsia="zh-CN"/>
        </w:rPr>
        <w:t>13</w:t>
      </w:r>
      <w:bookmarkStart w:id="49" w:name="OLE_LINK5"/>
      <w:r>
        <w:rPr>
          <w:rFonts w:hint="eastAsia"/>
          <w:szCs w:val="21"/>
        </w:rPr>
        <w:t>）投标人认为需要加以说明的其他内容</w:t>
      </w:r>
      <w:bookmarkEnd w:id="49"/>
    </w:p>
    <w:p>
      <w:pPr>
        <w:pStyle w:val="8"/>
      </w:pPr>
    </w:p>
    <w:bookmarkEnd w:id="43"/>
    <w:p>
      <w:pPr>
        <w:ind w:left="718" w:leftChars="342" w:firstLine="1417" w:firstLineChars="675"/>
        <w:rPr>
          <w:szCs w:val="21"/>
        </w:rPr>
      </w:pPr>
    </w:p>
    <w:p>
      <w:pPr>
        <w:ind w:firstLine="426" w:firstLineChars="202"/>
        <w:rPr>
          <w:rFonts w:ascii="宋体" w:hAnsi="宋体"/>
          <w:b/>
          <w:szCs w:val="21"/>
        </w:rPr>
      </w:pPr>
      <w:bookmarkStart w:id="50"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51" w:name="_Hlk72263559"/>
      <w:r>
        <w:rPr>
          <w:rFonts w:hint="eastAsia" w:ascii="宋体" w:hAnsi="宋体"/>
          <w:b/>
          <w:szCs w:val="21"/>
        </w:rPr>
        <w:t>2.关于填写“开标一览表”的说明：“开标一览表”中除“投标总价”外，其他信息不作评审依据。</w:t>
      </w:r>
      <w:bookmarkEnd w:id="50"/>
      <w:bookmarkEnd w:id="51"/>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52"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3"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4" w:name="_Hlk72263588"/>
      <w:r>
        <w:rPr>
          <w:rFonts w:hint="eastAsia"/>
          <w:szCs w:val="21"/>
        </w:rPr>
        <w:t>愿意按照招标文件要求承包上述项目并修补其任何缺陷。</w:t>
      </w:r>
      <w:bookmarkEnd w:id="54"/>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5"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5"/>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3"/>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52"/>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6"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7" w:name="_Hlk72587269"/>
      <w:bookmarkStart w:id="58"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7"/>
      <w:r>
        <w:rPr>
          <w:rFonts w:hint="eastAsia" w:ascii="宋体" w:hAnsi="宋体"/>
          <w:szCs w:val="21"/>
        </w:rPr>
        <w:t>。</w:t>
      </w:r>
    </w:p>
    <w:bookmarkEnd w:id="58"/>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6"/>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9"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60" w:name="_Hlk72257908"/>
      <w:r>
        <w:rPr>
          <w:rFonts w:hint="eastAsia" w:ascii="黑体" w:hAnsi="宋体" w:eastAsia="黑体"/>
          <w:bCs/>
          <w:kern w:val="0"/>
          <w:sz w:val="24"/>
          <w:szCs w:val="32"/>
        </w:rPr>
        <w:t>（二）中小企业声明函、残疾人福利性单位声明函及监狱企业声明函</w:t>
      </w:r>
    </w:p>
    <w:bookmarkEnd w:id="59"/>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54"/>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4"/>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8"/>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1"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1"/>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2" w:name="_Hlk73562331"/>
      <w:bookmarkStart w:id="63"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2"/>
    </w:p>
    <w:bookmarkEnd w:id="63"/>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60"/>
    </w:p>
    <w:p>
      <w:pPr>
        <w:pStyle w:val="3"/>
        <w:jc w:val="center"/>
        <w:rPr>
          <w:rFonts w:ascii="黑体" w:eastAsia="黑体"/>
          <w:b w:val="0"/>
          <w:sz w:val="24"/>
          <w:szCs w:val="24"/>
        </w:rPr>
      </w:pPr>
      <w:bookmarkStart w:id="64"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767"/>
        <w:gridCol w:w="767"/>
        <w:gridCol w:w="767"/>
        <w:gridCol w:w="767"/>
        <w:gridCol w:w="767"/>
        <w:gridCol w:w="767"/>
        <w:gridCol w:w="767"/>
        <w:gridCol w:w="768"/>
        <w:gridCol w:w="768"/>
        <w:gridCol w:w="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小型清洗消毒器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手术床</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5"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5"/>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6" w:name="_Hlk72073235"/>
      <w:r>
        <w:rPr>
          <w:rFonts w:hint="eastAsia"/>
          <w:b/>
          <w:sz w:val="24"/>
        </w:rPr>
        <w:t>投标人认为需要涉及的其他内容报价清单</w:t>
      </w:r>
      <w:bookmarkEnd w:id="66"/>
    </w:p>
    <w:p>
      <w:pPr>
        <w:rPr>
          <w:b/>
          <w:bCs/>
        </w:rPr>
      </w:pPr>
    </w:p>
    <w:bookmarkEnd w:id="64"/>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7"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4"/>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8" w:name="_Hlk72092499"/>
      <w:r>
        <w:rPr>
          <w:rFonts w:hint="eastAsia" w:ascii="黑体" w:eastAsia="黑体"/>
          <w:b w:val="0"/>
          <w:sz w:val="24"/>
        </w:rPr>
        <w:t>法定代表人（负责人）证明书</w:t>
      </w:r>
      <w:bookmarkEnd w:id="68"/>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9"/>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9"/>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4"/>
        <w:rPr>
          <w:sz w:val="24"/>
        </w:rPr>
      </w:pPr>
    </w:p>
    <w:p>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4"/>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9" w:name="_Hlk72092634"/>
      <w:r>
        <w:rPr>
          <w:rFonts w:hint="eastAsia" w:ascii="黑体" w:eastAsia="黑体"/>
          <w:b w:val="0"/>
          <w:kern w:val="0"/>
          <w:sz w:val="24"/>
          <w:szCs w:val="24"/>
        </w:rPr>
        <w:t>实质性条款响应情况表</w:t>
      </w:r>
      <w:bookmarkEnd w:id="69"/>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240" w:lineRule="auto"/>
              <w:jc w:val="center"/>
              <w:rPr>
                <w:rFonts w:ascii="宋体" w:hAnsi="宋体"/>
                <w:b w:val="0"/>
                <w:bCs w:val="0"/>
                <w:color w:val="auto"/>
                <w:kern w:val="0"/>
                <w:szCs w:val="21"/>
              </w:rPr>
            </w:pPr>
            <w:bookmarkStart w:id="70" w:name="_Hlk72092651"/>
            <w:r>
              <w:rPr>
                <w:rFonts w:hint="eastAsia" w:ascii="宋体" w:hAnsi="宋体"/>
                <w:b w:val="0"/>
                <w:bCs w:val="0"/>
                <w:color w:val="auto"/>
                <w:kern w:val="0"/>
                <w:szCs w:val="21"/>
              </w:rPr>
              <w:t>序号</w:t>
            </w:r>
          </w:p>
        </w:tc>
        <w:tc>
          <w:tcPr>
            <w:tcW w:w="2664" w:type="dxa"/>
            <w:vAlign w:val="center"/>
          </w:tcPr>
          <w:p>
            <w:pPr>
              <w:adjustRightInd w:val="0"/>
              <w:snapToGrid w:val="0"/>
              <w:spacing w:line="240" w:lineRule="auto"/>
              <w:jc w:val="center"/>
              <w:rPr>
                <w:rFonts w:ascii="宋体" w:hAnsi="宋体"/>
                <w:b w:val="0"/>
                <w:bCs w:val="0"/>
                <w:color w:val="auto"/>
                <w:kern w:val="0"/>
                <w:szCs w:val="21"/>
              </w:rPr>
            </w:pPr>
            <w:r>
              <w:rPr>
                <w:rFonts w:hint="eastAsia" w:ascii="宋体" w:hAnsi="宋体"/>
                <w:b w:val="0"/>
                <w:bCs w:val="0"/>
                <w:color w:val="auto"/>
                <w:kern w:val="0"/>
                <w:szCs w:val="21"/>
              </w:rPr>
              <w:t>实质性条款具体内容</w:t>
            </w:r>
          </w:p>
        </w:tc>
        <w:tc>
          <w:tcPr>
            <w:tcW w:w="1588"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投标响应</w:t>
            </w:r>
          </w:p>
        </w:tc>
        <w:tc>
          <w:tcPr>
            <w:tcW w:w="1842"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偏离情况</w:t>
            </w:r>
          </w:p>
        </w:tc>
        <w:tc>
          <w:tcPr>
            <w:tcW w:w="1418"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说明</w:t>
            </w:r>
          </w:p>
        </w:tc>
      </w:tr>
      <w:bookmark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1</w:t>
            </w:r>
          </w:p>
        </w:tc>
        <w:tc>
          <w:tcPr>
            <w:tcW w:w="2664" w:type="dxa"/>
            <w:vAlign w:val="center"/>
          </w:tcPr>
          <w:p>
            <w:pPr>
              <w:adjustRightInd w:val="0"/>
              <w:snapToGrid w:val="0"/>
              <w:spacing w:line="240" w:lineRule="auto"/>
              <w:jc w:val="left"/>
              <w:rPr>
                <w:rFonts w:ascii="仿宋" w:hAnsi="仿宋" w:eastAsia="仿宋" w:cs="Times New Roman"/>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小型清洗消毒器</w:t>
            </w:r>
            <w:r>
              <w:rPr>
                <w:rFonts w:hint="eastAsia" w:ascii="宋体" w:hAnsi="宋体" w:cs="宋体"/>
                <w:b w:val="0"/>
                <w:bCs w:val="0"/>
                <w:i w:val="0"/>
                <w:iCs w:val="0"/>
                <w:color w:val="auto"/>
                <w:kern w:val="0"/>
                <w:sz w:val="21"/>
                <w:szCs w:val="21"/>
                <w:u w:val="none"/>
                <w:lang w:val="en-US" w:eastAsia="zh-CN" w:bidi="ar"/>
              </w:rPr>
              <w:t>：</w:t>
            </w:r>
            <w:r>
              <w:rPr>
                <w:rFonts w:hint="eastAsia" w:ascii="宋体" w:hAnsi="宋体" w:eastAsia="宋体" w:cs="宋体"/>
                <w:b w:val="0"/>
                <w:bCs w:val="0"/>
                <w:i w:val="0"/>
                <w:iCs w:val="0"/>
                <w:color w:val="auto"/>
                <w:kern w:val="0"/>
                <w:sz w:val="21"/>
                <w:szCs w:val="21"/>
                <w:u w:val="none"/>
                <w:lang w:val="en-US" w:eastAsia="zh-CN" w:bidi="ar"/>
              </w:rPr>
              <w:t>★提供全国消毒产品网上备案信息服务平台的备案截图</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2</w:t>
            </w:r>
          </w:p>
        </w:tc>
        <w:tc>
          <w:tcPr>
            <w:tcW w:w="2664" w:type="dxa"/>
            <w:vAlign w:val="center"/>
          </w:tcPr>
          <w:p>
            <w:pPr>
              <w:adjustRightInd w:val="0"/>
              <w:snapToGrid w:val="0"/>
              <w:spacing w:line="240" w:lineRule="auto"/>
              <w:jc w:val="left"/>
              <w:rPr>
                <w:rFonts w:hint="eastAsia" w:ascii="仿宋" w:hAnsi="仿宋" w:cs="Times New Roman" w:eastAsiaTheme="minorEastAsia"/>
                <w:b w:val="0"/>
                <w:bCs w:val="0"/>
                <w:color w:val="auto"/>
                <w:kern w:val="0"/>
                <w:sz w:val="24"/>
                <w:szCs w:val="24"/>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w:t>
            </w:r>
            <w:r>
              <w:rPr>
                <w:rFonts w:hint="eastAsia" w:asciiTheme="minorEastAsia" w:hAnsiTheme="minorEastAsia" w:eastAsiaTheme="minorEastAsia" w:cstheme="minorEastAsia"/>
                <w:b w:val="0"/>
                <w:bCs w:val="0"/>
                <w:color w:val="auto"/>
                <w:spacing w:val="9"/>
                <w:kern w:val="0"/>
                <w:sz w:val="21"/>
                <w:szCs w:val="21"/>
                <w:lang w:eastAsia="zh-CN"/>
              </w:rPr>
              <w:t>1.1提供主机及配件免费保修期5年，保修期以验收合格，双方代表签署“验收报告”之日起计算。</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3</w:t>
            </w:r>
          </w:p>
        </w:tc>
        <w:tc>
          <w:tcPr>
            <w:tcW w:w="2664" w:type="dxa"/>
            <w:vAlign w:val="center"/>
          </w:tcPr>
          <w:p>
            <w:pPr>
              <w:adjustRightInd w:val="0"/>
              <w:snapToGrid w:val="0"/>
              <w:spacing w:line="240" w:lineRule="auto"/>
              <w:jc w:val="left"/>
              <w:rPr>
                <w:rFonts w:hint="default" w:ascii="Times New Roman" w:hAnsi="Times New Roman" w:cs="Times New Roman" w:eastAsiaTheme="minorEastAsia"/>
                <w:b w:val="0"/>
                <w:bCs w:val="0"/>
                <w:color w:val="auto"/>
                <w:kern w:val="2"/>
                <w:sz w:val="21"/>
                <w:szCs w:val="24"/>
                <w:lang w:val="en-US" w:eastAsia="zh-CN" w:bidi="ar-SA"/>
              </w:rPr>
            </w:pPr>
            <w:r>
              <w:rPr>
                <w:rFonts w:hint="eastAsia" w:asciiTheme="minorEastAsia" w:hAnsiTheme="minorEastAsia" w:eastAsiaTheme="minorEastAsia" w:cstheme="minorEastAsia"/>
                <w:b w:val="0"/>
                <w:bCs w:val="0"/>
                <w:color w:val="auto"/>
                <w:spacing w:val="9"/>
                <w:kern w:val="0"/>
                <w:sz w:val="21"/>
                <w:szCs w:val="21"/>
              </w:rPr>
              <w:t>★</w:t>
            </w:r>
            <w:r>
              <w:rPr>
                <w:rFonts w:hint="eastAsia" w:asciiTheme="minorEastAsia" w:hAnsiTheme="minorEastAsia" w:eastAsiaTheme="minorEastAsia" w:cstheme="minorEastAsia"/>
                <w:b w:val="0"/>
                <w:bCs w:val="0"/>
                <w:color w:val="auto"/>
                <w:spacing w:val="8"/>
                <w:kern w:val="0"/>
                <w:sz w:val="21"/>
                <w:szCs w:val="21"/>
              </w:rPr>
              <w:t>1.1投标人在签订合同之日起</w:t>
            </w:r>
            <w:r>
              <w:rPr>
                <w:rFonts w:hint="eastAsia" w:asciiTheme="minorEastAsia" w:hAnsiTheme="minorEastAsia" w:cstheme="minorEastAsia"/>
                <w:b w:val="0"/>
                <w:bCs w:val="0"/>
                <w:color w:val="auto"/>
                <w:spacing w:val="8"/>
                <w:kern w:val="0"/>
                <w:sz w:val="21"/>
                <w:szCs w:val="21"/>
                <w:lang w:val="en-US" w:eastAsia="zh-CN"/>
              </w:rPr>
              <w:t>30</w:t>
            </w:r>
            <w:r>
              <w:rPr>
                <w:rFonts w:hint="eastAsia" w:asciiTheme="minorEastAsia" w:hAnsiTheme="minorEastAsia" w:eastAsiaTheme="minorEastAsia" w:cstheme="minorEastAsia"/>
                <w:b w:val="0"/>
                <w:bCs w:val="0"/>
                <w:color w:val="auto"/>
                <w:spacing w:val="8"/>
                <w:kern w:val="0"/>
                <w:sz w:val="21"/>
                <w:szCs w:val="21"/>
              </w:rPr>
              <w:t xml:space="preserve"> 天（日历日）内交货。</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4</w:t>
            </w:r>
          </w:p>
        </w:tc>
        <w:tc>
          <w:tcPr>
            <w:tcW w:w="2664" w:type="dxa"/>
            <w:vAlign w:val="center"/>
          </w:tcPr>
          <w:p>
            <w:pPr>
              <w:adjustRightInd w:val="0"/>
              <w:snapToGrid w:val="0"/>
              <w:spacing w:line="240" w:lineRule="auto"/>
              <w:jc w:val="left"/>
              <w:rPr>
                <w:rFonts w:hint="eastAsia" w:asciiTheme="minorEastAsia" w:hAnsiTheme="minorEastAsia" w:eastAsiaTheme="minorEastAsia" w:cstheme="minorEastAsia"/>
                <w:b w:val="0"/>
                <w:bCs w:val="0"/>
                <w:color w:val="auto"/>
                <w:spacing w:val="9"/>
                <w:kern w:val="0"/>
                <w:sz w:val="21"/>
                <w:szCs w:val="21"/>
                <w:lang w:val="en-US" w:eastAsia="zh-CN" w:bidi="ar-SA"/>
              </w:rPr>
            </w:pPr>
            <w:r>
              <w:rPr>
                <w:rFonts w:hint="eastAsia" w:asciiTheme="minorEastAsia" w:hAnsiTheme="minorEastAsia" w:eastAsiaTheme="minorEastAsia" w:cstheme="minorEastAsia"/>
                <w:b w:val="0"/>
                <w:bCs w:val="0"/>
                <w:color w:val="auto"/>
                <w:spacing w:val="9"/>
                <w:kern w:val="0"/>
                <w:sz w:val="21"/>
                <w:szCs w:val="21"/>
              </w:rPr>
              <w:t>★</w:t>
            </w:r>
            <w:r>
              <w:rPr>
                <w:rFonts w:hint="eastAsia" w:asciiTheme="minorEastAsia" w:hAnsiTheme="minorEastAsia" w:eastAsiaTheme="minorEastAsia" w:cstheme="minorEastAsia"/>
                <w:b w:val="0"/>
                <w:bCs w:val="0"/>
                <w:color w:val="auto"/>
                <w:spacing w:val="8"/>
                <w:kern w:val="0"/>
                <w:sz w:val="21"/>
                <w:szCs w:val="21"/>
                <w:lang w:val="en-US" w:eastAsia="zh-CN"/>
              </w:rPr>
              <w:t>5.2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5</w:t>
            </w:r>
          </w:p>
        </w:tc>
        <w:tc>
          <w:tcPr>
            <w:tcW w:w="2664" w:type="dxa"/>
            <w:vAlign w:val="center"/>
          </w:tcPr>
          <w:p>
            <w:pPr>
              <w:pStyle w:val="54"/>
              <w:rPr>
                <w:rFonts w:ascii="宋体" w:hAnsi="宋体" w:eastAsia="宋体" w:cs="宋体"/>
                <w:b w:val="0"/>
                <w:bCs w:val="0"/>
                <w:color w:val="auto"/>
                <w:sz w:val="24"/>
                <w:szCs w:val="24"/>
              </w:rPr>
            </w:pPr>
            <w:r>
              <w:rPr>
                <w:rFonts w:ascii="宋体" w:hAnsi="宋体" w:eastAsia="宋体" w:cs="宋体"/>
                <w:b w:val="0"/>
                <w:bCs w:val="0"/>
                <w:color w:val="auto"/>
                <w:sz w:val="24"/>
                <w:szCs w:val="24"/>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p>
            <w:pPr>
              <w:adjustRightInd w:val="0"/>
              <w:snapToGrid w:val="0"/>
              <w:spacing w:line="240" w:lineRule="auto"/>
              <w:jc w:val="left"/>
              <w:rPr>
                <w:rFonts w:hint="eastAsia" w:asciiTheme="minorEastAsia" w:hAnsiTheme="minorEastAsia" w:eastAsiaTheme="minorEastAsia" w:cstheme="minorEastAsia"/>
                <w:b w:val="0"/>
                <w:bCs w:val="0"/>
                <w:color w:val="auto"/>
                <w:spacing w:val="9"/>
                <w:kern w:val="0"/>
                <w:sz w:val="21"/>
                <w:szCs w:val="21"/>
              </w:rPr>
            </w:pP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7"/>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tbl>
      <w:tblPr>
        <w:tblStyle w:val="44"/>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943"/>
        <w:gridCol w:w="2102"/>
        <w:gridCol w:w="1951"/>
        <w:gridCol w:w="1883"/>
        <w:gridCol w:w="12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tcBorders>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53" w:type="pct"/>
            <w:tcBorders>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1232" w:type="pct"/>
            <w:tcBorders>
              <w:left w:val="single" w:color="000000" w:sz="8" w:space="0"/>
              <w:bottom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招标技术要求</w:t>
            </w:r>
          </w:p>
        </w:tc>
        <w:tc>
          <w:tcPr>
            <w:tcW w:w="1144" w:type="pct"/>
            <w:tcBorders>
              <w:left w:val="single" w:color="000000" w:sz="8" w:space="0"/>
              <w:bottom w:val="single" w:color="auto" w:sz="4" w:space="0"/>
            </w:tcBorders>
            <w:shd w:val="clear" w:color="auto" w:fill="auto"/>
            <w:vAlign w:val="center"/>
          </w:tcPr>
          <w:p>
            <w:pPr>
              <w:adjustRightInd w:val="0"/>
              <w:snapToGrid w:val="0"/>
              <w:spacing w:line="360" w:lineRule="auto"/>
              <w:jc w:val="center"/>
              <w:rPr>
                <w:rFonts w:hint="eastAsia" w:ascii="宋体" w:hAnsi="宋体" w:eastAsia="宋体" w:cs="Times New Roman"/>
                <w:kern w:val="0"/>
                <w:sz w:val="21"/>
                <w:szCs w:val="21"/>
                <w:lang w:val="en-US" w:eastAsia="zh-CN" w:bidi="ar-SA"/>
              </w:rPr>
            </w:pPr>
            <w:r>
              <w:rPr>
                <w:rFonts w:hint="eastAsia"/>
              </w:rPr>
              <w:t>投标响应</w:t>
            </w:r>
          </w:p>
        </w:tc>
        <w:tc>
          <w:tcPr>
            <w:tcW w:w="1104" w:type="pct"/>
            <w:tcBorders>
              <w:left w:val="single" w:color="000000" w:sz="8" w:space="0"/>
              <w:bottom w:val="single" w:color="auto" w:sz="4" w:space="0"/>
            </w:tcBorders>
            <w:shd w:val="clear" w:color="auto" w:fill="auto"/>
            <w:vAlign w:val="center"/>
          </w:tcPr>
          <w:p>
            <w:pPr>
              <w:adjustRightInd w:val="0"/>
              <w:snapToGrid w:val="0"/>
              <w:spacing w:line="360" w:lineRule="auto"/>
              <w:jc w:val="center"/>
              <w:rPr>
                <w:rFonts w:hint="eastAsia" w:ascii="宋体" w:hAnsi="宋体" w:eastAsia="宋体" w:cs="Times New Roman"/>
                <w:kern w:val="0"/>
                <w:sz w:val="21"/>
                <w:szCs w:val="21"/>
                <w:lang w:val="en-US" w:eastAsia="zh-CN" w:bidi="ar-SA"/>
              </w:rPr>
            </w:pPr>
            <w:r>
              <w:rPr>
                <w:rFonts w:hint="eastAsia"/>
              </w:rPr>
              <w:t>偏离情况</w:t>
            </w:r>
          </w:p>
        </w:tc>
        <w:tc>
          <w:tcPr>
            <w:tcW w:w="716" w:type="pct"/>
            <w:tcBorders>
              <w:left w:val="single" w:color="000000" w:sz="8" w:space="0"/>
              <w:bottom w:val="single" w:color="auto" w:sz="4" w:space="0"/>
            </w:tcBorders>
            <w:shd w:val="clear" w:color="auto" w:fill="auto"/>
            <w:vAlign w:val="center"/>
          </w:tcPr>
          <w:p>
            <w:pPr>
              <w:adjustRightInd w:val="0"/>
              <w:snapToGrid w:val="0"/>
              <w:spacing w:line="360" w:lineRule="auto"/>
              <w:jc w:val="center"/>
              <w:rPr>
                <w:rFonts w:hint="eastAsia" w:ascii="宋体" w:hAnsi="宋体" w:eastAsia="宋体" w:cs="Times New Roman"/>
                <w:kern w:val="0"/>
                <w:sz w:val="21"/>
                <w:szCs w:val="21"/>
                <w:lang w:val="en-US" w:eastAsia="zh-CN" w:bidi="ar-SA"/>
              </w:rPr>
            </w:pPr>
            <w:r>
              <w:rPr>
                <w:rFonts w:hint="eastAsia"/>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restart"/>
            <w:tcBorders>
              <w:top w:val="nil"/>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3" w:type="pct"/>
            <w:vMerge w:val="restart"/>
            <w:tcBorders>
              <w:top w:val="nil"/>
              <w:left w:val="single" w:color="000000" w:sz="8"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手术床</w:t>
            </w:r>
          </w:p>
        </w:tc>
        <w:tc>
          <w:tcPr>
            <w:tcW w:w="12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1.手术床采用电动液压驱动机制。至少实现台面升降、头脚倾、左右倾、背板上下折、解锁锁定，平移。</w:t>
            </w:r>
            <w:r>
              <w:rPr>
                <w:rFonts w:hint="eastAsia" w:ascii="宋体" w:hAnsi="宋体" w:eastAsia="宋体" w:cs="宋体"/>
                <w:b/>
                <w:bCs/>
                <w:i w:val="0"/>
                <w:iCs w:val="0"/>
                <w:color w:val="FF0000"/>
                <w:kern w:val="0"/>
                <w:sz w:val="21"/>
                <w:szCs w:val="21"/>
                <w:u w:val="none"/>
                <w:lang w:val="en-US" w:eastAsia="zh-CN" w:bidi="ar"/>
              </w:rPr>
              <w:t>（提供使用说明书）</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553" w:type="pct"/>
            <w:vMerge w:val="continue"/>
            <w:tcBorders>
              <w:left w:val="single" w:color="000000" w:sz="8"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2.手术床具备多种电动控制方式，包括线控器、无线遥控器、备用面板、脚踏开关</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553" w:type="pct"/>
            <w:vMerge w:val="continue"/>
            <w:tcBorders>
              <w:left w:val="single" w:color="000000" w:sz="8"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3.内置蓝牙模块，无线遥控器可蓝牙连接和无线充电</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553" w:type="pct"/>
            <w:vMerge w:val="continue"/>
            <w:tcBorders>
              <w:left w:val="single" w:color="000000" w:sz="8"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4.手术床立柱护罩顶端采用硬顶式设计</w:t>
            </w:r>
            <w:r>
              <w:rPr>
                <w:rFonts w:hint="eastAsia" w:ascii="宋体" w:hAnsi="宋体" w:eastAsia="宋体" w:cs="宋体"/>
                <w:b/>
                <w:bCs/>
                <w:i w:val="0"/>
                <w:iCs w:val="0"/>
                <w:color w:val="FF0000"/>
                <w:kern w:val="0"/>
                <w:sz w:val="21"/>
                <w:szCs w:val="21"/>
                <w:u w:val="none"/>
                <w:lang w:val="en-US" w:eastAsia="zh-CN" w:bidi="ar"/>
              </w:rPr>
              <w:t>（提供彩页证明）</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553" w:type="pct"/>
            <w:vMerge w:val="continue"/>
            <w:tcBorders>
              <w:left w:val="single" w:color="000000" w:sz="8"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5.床垫：整体采用记忆海绵材料，厚度≥80mm，表面无针逢，防水透气。</w:t>
            </w:r>
            <w:r>
              <w:rPr>
                <w:rFonts w:hint="eastAsia" w:ascii="宋体" w:hAnsi="宋体" w:eastAsia="宋体" w:cs="宋体"/>
                <w:b/>
                <w:bCs/>
                <w:i w:val="0"/>
                <w:iCs w:val="0"/>
                <w:color w:val="FF0000"/>
                <w:kern w:val="0"/>
                <w:sz w:val="21"/>
                <w:szCs w:val="21"/>
                <w:u w:val="none"/>
                <w:lang w:val="en-US" w:eastAsia="zh-CN" w:bidi="ar"/>
              </w:rPr>
              <w:t>(提供使用说明书</w:t>
            </w:r>
            <w:r>
              <w:rPr>
                <w:rFonts w:hint="eastAsia" w:ascii="宋体" w:hAnsi="宋体" w:cs="宋体"/>
                <w:b/>
                <w:bCs/>
                <w:i w:val="0"/>
                <w:iCs w:val="0"/>
                <w:color w:val="FF0000"/>
                <w:kern w:val="0"/>
                <w:sz w:val="21"/>
                <w:szCs w:val="21"/>
                <w:u w:val="none"/>
                <w:lang w:val="en-US" w:eastAsia="zh-CN" w:bidi="ar"/>
              </w:rPr>
              <w:t>或</w:t>
            </w:r>
            <w:r>
              <w:rPr>
                <w:rFonts w:hint="eastAsia" w:ascii="宋体" w:hAnsi="宋体" w:eastAsia="宋体" w:cs="宋体"/>
                <w:b/>
                <w:bCs/>
                <w:i w:val="0"/>
                <w:iCs w:val="0"/>
                <w:color w:val="FF0000"/>
                <w:kern w:val="0"/>
                <w:sz w:val="21"/>
                <w:szCs w:val="21"/>
                <w:u w:val="none"/>
                <w:lang w:val="en-US" w:eastAsia="zh-CN" w:bidi="ar"/>
              </w:rPr>
              <w:t>彩页证明)</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553" w:type="pct"/>
            <w:vMerge w:val="continue"/>
            <w:tcBorders>
              <w:left w:val="single" w:color="000000" w:sz="8"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6.手术床腿板采用采用气弹簧腿板、一键快插式设计</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553" w:type="pct"/>
            <w:vMerge w:val="continue"/>
            <w:tcBorders>
              <w:left w:val="single" w:color="000000" w:sz="8"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7.手术床底罩表面平整无凹陷，底座厚度≤150mm，同时底座在手术床腿端有U型凹槽设计，便于术中放置污物桶。</w:t>
            </w:r>
            <w:r>
              <w:rPr>
                <w:rFonts w:hint="eastAsia" w:ascii="宋体" w:hAnsi="宋体" w:eastAsia="宋体" w:cs="宋体"/>
                <w:b/>
                <w:bCs/>
                <w:i w:val="0"/>
                <w:iCs w:val="0"/>
                <w:color w:val="FF0000"/>
                <w:kern w:val="0"/>
                <w:sz w:val="21"/>
                <w:szCs w:val="21"/>
                <w:u w:val="none"/>
                <w:lang w:val="en-US" w:eastAsia="zh-CN" w:bidi="ar"/>
              </w:rPr>
              <w:t>（提供彩页证明）</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553" w:type="pct"/>
            <w:vMerge w:val="continue"/>
            <w:tcBorders>
              <w:left w:val="single" w:color="000000" w:sz="8"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8.手术床开关、等电位柱及电源接口均有防水盖设计，手术床满足IPX5防水等级测试</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553" w:type="pct"/>
            <w:vMerge w:val="continue"/>
            <w:tcBorders>
              <w:left w:val="single" w:color="000000" w:sz="8"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9.手术床配备四个万向脚轮，四个独立的电动支脚刹车，非轮式刹车设计。</w:t>
            </w:r>
            <w:r>
              <w:rPr>
                <w:rFonts w:hint="eastAsia" w:ascii="宋体" w:hAnsi="宋体" w:eastAsia="宋体" w:cs="宋体"/>
                <w:b/>
                <w:bCs/>
                <w:i w:val="0"/>
                <w:iCs w:val="0"/>
                <w:color w:val="FF0000"/>
                <w:kern w:val="0"/>
                <w:sz w:val="21"/>
                <w:szCs w:val="21"/>
                <w:u w:val="none"/>
                <w:lang w:val="en-US" w:eastAsia="zh-CN" w:bidi="ar"/>
              </w:rPr>
              <w:t>(提供彩页证明)</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553" w:type="pct"/>
            <w:vMerge w:val="continue"/>
            <w:tcBorders>
              <w:left w:val="single" w:color="000000" w:sz="8"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10.具备一键形成屈曲，反屈曲功能，具备一键复位功能。</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553" w:type="pct"/>
            <w:vMerge w:val="continue"/>
            <w:tcBorders>
              <w:left w:val="single" w:color="000000" w:sz="8"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11.手术床配有充电电池，可满足不少于50 次手术需要</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553" w:type="pct"/>
            <w:vMerge w:val="continue"/>
            <w:tcBorders>
              <w:left w:val="single" w:color="000000" w:sz="8"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、手术床宽度：≥520mm，长度：≥2000mm</w:t>
            </w:r>
            <w:r>
              <w:rPr>
                <w:rFonts w:hint="eastAsia" w:ascii="宋体" w:hAnsi="宋体" w:eastAsia="宋体" w:cs="宋体"/>
                <w:b/>
                <w:bCs/>
                <w:i w:val="0"/>
                <w:iCs w:val="0"/>
                <w:color w:val="FF0000"/>
                <w:kern w:val="0"/>
                <w:sz w:val="21"/>
                <w:szCs w:val="21"/>
                <w:u w:val="none"/>
                <w:lang w:val="en-US" w:eastAsia="zh-CN" w:bidi="ar"/>
              </w:rPr>
              <w:t>（提供使用说明书证明)；</w:t>
            </w:r>
            <w:r>
              <w:rPr>
                <w:rFonts w:hint="eastAsia" w:ascii="宋体" w:hAnsi="宋体" w:eastAsia="宋体" w:cs="宋体"/>
                <w:i w:val="0"/>
                <w:iCs w:val="0"/>
                <w:color w:val="auto"/>
                <w:kern w:val="0"/>
                <w:sz w:val="21"/>
                <w:szCs w:val="21"/>
                <w:u w:val="none"/>
                <w:lang w:val="en-US" w:eastAsia="zh-CN" w:bidi="ar"/>
              </w:rPr>
              <w:t>手术床承载重量：≥400kg</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553" w:type="pct"/>
            <w:vMerge w:val="continue"/>
            <w:tcBorders>
              <w:left w:val="single" w:color="000000" w:sz="8"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.纵向最大倾斜角度（头倾）：≥36°，纵向最大倾斜角度（脚倾）：≥25°</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553" w:type="pct"/>
            <w:vMerge w:val="continue"/>
            <w:tcBorders>
              <w:left w:val="single" w:color="000000" w:sz="8"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14</w:t>
            </w:r>
            <w:r>
              <w:rPr>
                <w:rFonts w:hint="eastAsia" w:ascii="宋体" w:hAnsi="宋体" w:eastAsia="宋体" w:cs="宋体"/>
                <w:i w:val="0"/>
                <w:iCs w:val="0"/>
                <w:color w:val="auto"/>
                <w:kern w:val="0"/>
                <w:sz w:val="21"/>
                <w:szCs w:val="21"/>
                <w:u w:val="none"/>
                <w:lang w:val="en-US" w:eastAsia="zh-CN" w:bidi="ar"/>
              </w:rPr>
              <w:t>.头板最大倾斜角度：上折≥60°，下折≥90°</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553" w:type="pct"/>
            <w:vMerge w:val="continue"/>
            <w:tcBorders>
              <w:left w:val="single" w:color="000000" w:sz="8"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15</w:t>
            </w:r>
            <w:bookmarkStart w:id="142" w:name="_GoBack"/>
            <w:bookmarkEnd w:id="142"/>
            <w:r>
              <w:rPr>
                <w:rFonts w:hint="eastAsia" w:ascii="宋体" w:hAnsi="宋体" w:eastAsia="宋体" w:cs="宋体"/>
                <w:i w:val="0"/>
                <w:iCs w:val="0"/>
                <w:color w:val="auto"/>
                <w:kern w:val="0"/>
                <w:sz w:val="21"/>
                <w:szCs w:val="21"/>
                <w:u w:val="none"/>
                <w:lang w:val="en-US" w:eastAsia="zh-CN" w:bidi="ar"/>
              </w:rPr>
              <w:t>.、手术床最低台面：≤600mm，手术床最高台面：≥950mm，台面平移距离：≥310mm</w:t>
            </w:r>
            <w:r>
              <w:rPr>
                <w:rFonts w:hint="eastAsia" w:ascii="宋体" w:hAnsi="宋体" w:eastAsia="宋体" w:cs="宋体"/>
                <w:b/>
                <w:bCs/>
                <w:i w:val="0"/>
                <w:iCs w:val="0"/>
                <w:color w:val="FF0000"/>
                <w:kern w:val="0"/>
                <w:sz w:val="21"/>
                <w:szCs w:val="21"/>
                <w:u w:val="none"/>
                <w:lang w:val="en-US" w:eastAsia="zh-CN" w:bidi="ar"/>
              </w:rPr>
              <w:t>（提供检测报告或使用说明书证明)</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restart"/>
            <w:tcBorders>
              <w:top w:val="nil"/>
              <w:right w:val="single" w:color="000000" w:sz="8"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53" w:type="pct"/>
            <w:vMerge w:val="restart"/>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小型清洗消毒器</w:t>
            </w:r>
          </w:p>
        </w:tc>
        <w:tc>
          <w:tcPr>
            <w:tcW w:w="123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1.设备用途以及功能：用于手术器械、牙科手机、器皿器具、塑料制品的清洗、消毒、干燥。</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3" w:type="pct"/>
            <w:vMerge w:val="continue"/>
            <w:tcBorders>
              <w:top w:val="nil"/>
              <w:left w:val="single" w:color="000000" w:sz="8" w:space="0"/>
              <w:bottom w:val="single" w:color="000000" w:sz="8"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2.材质：清洗机外壳采用304不锈钢材质，清洗舱体采用316L镜面覆膜面不锈钢板容积：≥60L；主体保温：≥12mm橡塑海绵。</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3" w:type="pct"/>
            <w:vMerge w:val="continue"/>
            <w:tcBorders>
              <w:top w:val="nil"/>
              <w:left w:val="single" w:color="000000" w:sz="8" w:space="0"/>
              <w:bottom w:val="single" w:color="000000" w:sz="8"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3.对接口：清洗架注水口位于清洗舱的后部中间，以保证清洗架方便对接且占用较少的舱体空间。</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3" w:type="pct"/>
            <w:vMerge w:val="continue"/>
            <w:tcBorders>
              <w:top w:val="nil"/>
              <w:left w:val="single" w:color="000000" w:sz="8" w:space="0"/>
              <w:bottom w:val="single" w:color="000000" w:sz="8"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4.使用寿命：设备寿命≥10年</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3" w:type="pct"/>
            <w:vMerge w:val="continue"/>
            <w:tcBorders>
              <w:top w:val="nil"/>
              <w:left w:val="single" w:color="000000" w:sz="8" w:space="0"/>
              <w:bottom w:val="single" w:color="000000" w:sz="8"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5.开门方式：采用电吸门结构，关门自动上锁。</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3" w:type="pct"/>
            <w:vMerge w:val="continue"/>
            <w:tcBorders>
              <w:top w:val="nil"/>
              <w:left w:val="single" w:color="000000" w:sz="8" w:space="0"/>
              <w:bottom w:val="single" w:color="000000" w:sz="8"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6.干燥系统：配有干燥风机，最大流量≥20（立方米/小时）</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3" w:type="pct"/>
            <w:vMerge w:val="continue"/>
            <w:tcBorders>
              <w:top w:val="nil"/>
              <w:left w:val="single" w:color="000000" w:sz="8" w:space="0"/>
              <w:bottom w:val="single" w:color="000000" w:sz="8"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7.控制方式：采用PLC控制器，界面显示：≥5英寸，电阻屏触摸屏，显示各部件输入输出状态，报警信息显示，可扩展支持工业以太网，支持TCP/IP等众多网络协议，极低的功耗，极低的对外电磁干扰，</w:t>
            </w:r>
            <w:r>
              <w:rPr>
                <w:rFonts w:hint="eastAsia" w:ascii="宋体" w:hAnsi="宋体" w:eastAsia="宋体" w:cs="宋体"/>
                <w:b/>
                <w:bCs/>
                <w:i w:val="0"/>
                <w:iCs w:val="0"/>
                <w:color w:val="FF0000"/>
                <w:kern w:val="0"/>
                <w:sz w:val="21"/>
                <w:szCs w:val="21"/>
                <w:u w:val="none"/>
                <w:lang w:val="en-US" w:eastAsia="zh-CN" w:bidi="ar"/>
              </w:rPr>
              <w:t>提供电磁兼容报告。</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3" w:type="pct"/>
            <w:vMerge w:val="continue"/>
            <w:tcBorders>
              <w:top w:val="nil"/>
              <w:left w:val="single" w:color="000000" w:sz="8" w:space="0"/>
              <w:bottom w:val="single" w:color="000000" w:sz="8"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8.消毒温度：80℃～93℃可调，AO值≥3000</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3" w:type="pct"/>
            <w:vMerge w:val="continue"/>
            <w:tcBorders>
              <w:top w:val="nil"/>
              <w:left w:val="single" w:color="000000" w:sz="8" w:space="0"/>
              <w:bottom w:val="single" w:color="000000" w:sz="8"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9.管理权限：不少于五级管理权限，至少包括操作员、工艺员、管理员，维修人员，制造商。</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3" w:type="pct"/>
            <w:vMerge w:val="continue"/>
            <w:tcBorders>
              <w:top w:val="nil"/>
              <w:left w:val="single" w:color="000000" w:sz="8" w:space="0"/>
              <w:bottom w:val="single" w:color="000000" w:sz="8"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程序系统：具有≥8套预置程序，手术器械、器皿器具、塑料制品、重度污染、传染物品、清洗程序、消毒程序、干燥程序，≥32套可编辑程序。清洗过程的温度、压力、时间、过程阶段、预置参数等均可打印，触摸屏支持实时动态温度曲线显示，能够实时显示内室温度。</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3" w:type="pct"/>
            <w:vMerge w:val="continue"/>
            <w:tcBorders>
              <w:top w:val="nil"/>
              <w:left w:val="single" w:color="000000" w:sz="8" w:space="0"/>
              <w:bottom w:val="single" w:color="000000" w:sz="8"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11.装载量：≥24个牙科手机和≥1个器械篮筐</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3" w:type="pct"/>
            <w:vMerge w:val="continue"/>
            <w:tcBorders>
              <w:top w:val="nil"/>
              <w:left w:val="single" w:color="000000" w:sz="8" w:space="0"/>
              <w:bottom w:val="single" w:color="000000" w:sz="8"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12.舱体尺寸：宽380±10mm×深370±10mm×高420±10mm</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553" w:type="pct"/>
            <w:vMerge w:val="continue"/>
            <w:tcBorders>
              <w:top w:val="nil"/>
              <w:left w:val="single" w:color="000000" w:sz="8" w:space="0"/>
              <w:bottom w:val="single" w:color="000000" w:sz="8"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232"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13.设备净重：≥60Kg。</w:t>
            </w:r>
          </w:p>
        </w:tc>
        <w:tc>
          <w:tcPr>
            <w:tcW w:w="114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10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716" w:type="pct"/>
            <w:tcBorders>
              <w:top w:val="single" w:color="auto" w:sz="4" w:space="0"/>
              <w:left w:val="single" w:color="auto" w:sz="4" w:space="0"/>
              <w:bottom w:val="single" w:color="auto"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71" w:name="_Hlk72095977"/>
      <w:r>
        <w:rPr>
          <w:rFonts w:hint="eastAsia"/>
          <w:sz w:val="21"/>
          <w:szCs w:val="21"/>
        </w:rPr>
        <w:t>证明资料【如有的话，提供的证明资料应统一编号（排序），格式自定】</w:t>
      </w:r>
      <w:bookmarkEnd w:id="71"/>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2" w:name="_Hlk72094407"/>
      <w:r>
        <w:rPr>
          <w:rFonts w:hint="eastAsia"/>
          <w:b w:val="0"/>
          <w:bCs/>
          <w:sz w:val="21"/>
          <w:szCs w:val="21"/>
        </w:rPr>
        <w:t>对应“用户需求书”中的“技术要求”章节</w:t>
      </w:r>
      <w:bookmarkEnd w:id="72"/>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3" w:name="_Hlk72158270"/>
      <w:r>
        <w:rPr>
          <w:rFonts w:hint="eastAsia"/>
          <w:b w:val="0"/>
          <w:bCs/>
          <w:sz w:val="21"/>
          <w:szCs w:val="21"/>
        </w:rPr>
        <w:t>“偏离情况”</w:t>
      </w:r>
      <w:bookmarkEnd w:id="73"/>
      <w:r>
        <w:rPr>
          <w:rFonts w:hint="eastAsia"/>
          <w:b w:val="0"/>
          <w:bCs/>
          <w:sz w:val="21"/>
          <w:szCs w:val="21"/>
        </w:rPr>
        <w:t>一栏填写如实填写“正偏离”、“负偏离”或“无偏离”，其中：</w:t>
      </w:r>
      <w:bookmarkStart w:id="74" w:name="_Hlk72093866"/>
      <w:r>
        <w:rPr>
          <w:rFonts w:hint="eastAsia"/>
          <w:b w:val="0"/>
          <w:bCs/>
          <w:sz w:val="21"/>
          <w:szCs w:val="21"/>
        </w:rPr>
        <w:t>“正偏离”表示“投标响应优于招标技术要求”，“负偏离”表示“投标响应不满足招标技术要求”，“无偏离”表示“投标响应与招标技术要求一致”</w:t>
      </w:r>
      <w:bookmarkEnd w:id="74"/>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5" w:name="_Hlk72096106"/>
      <w:r>
        <w:rPr>
          <w:rFonts w:hint="eastAsia"/>
          <w:b w:val="0"/>
          <w:bCs/>
          <w:sz w:val="21"/>
          <w:szCs w:val="21"/>
        </w:rPr>
        <w:t>证明资料条款响应要求</w:t>
      </w:r>
      <w:bookmarkEnd w:id="75"/>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6"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7" w:name="_Hlk73558164"/>
      <w:r>
        <w:rPr>
          <w:rFonts w:hint="eastAsia"/>
          <w:b w:val="0"/>
          <w:bCs/>
          <w:sz w:val="21"/>
          <w:szCs w:val="21"/>
        </w:rPr>
        <w:t>且投标人在“偏离情况”一栏响应为“正偏离”或“无偏离”的，经评审委员会认定，将判定为负偏离。</w:t>
      </w:r>
      <w:bookmarkEnd w:id="76"/>
      <w:bookmarkEnd w:id="77"/>
    </w:p>
    <w:p>
      <w:pPr>
        <w:ind w:firstLine="420" w:firstLineChars="200"/>
        <w:rPr>
          <w:b w:val="0"/>
          <w:bCs/>
          <w:sz w:val="21"/>
          <w:szCs w:val="21"/>
        </w:rPr>
      </w:pPr>
      <w:r>
        <w:rPr>
          <w:rFonts w:hint="eastAsia"/>
          <w:b w:val="0"/>
          <w:bCs/>
          <w:sz w:val="21"/>
          <w:szCs w:val="21"/>
        </w:rPr>
        <w:t>6、</w:t>
      </w:r>
      <w:bookmarkStart w:id="78" w:name="_Hlk72096137"/>
      <w:r>
        <w:rPr>
          <w:rFonts w:hint="eastAsia"/>
          <w:b w:val="0"/>
          <w:bCs/>
          <w:sz w:val="21"/>
          <w:szCs w:val="21"/>
        </w:rPr>
        <w:t>表后“证明资料”部分内容的编制</w:t>
      </w:r>
      <w:bookmarkEnd w:id="78"/>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9" w:name="_Hlk73558180"/>
      <w:r>
        <w:rPr>
          <w:rFonts w:hint="eastAsia"/>
          <w:b w:val="0"/>
          <w:bCs/>
          <w:sz w:val="21"/>
          <w:szCs w:val="21"/>
        </w:rPr>
        <w:t>未按照招标文件要求在表后放置证明材料的供应商将承担不利后果，经评审委员会认定，相关技术要求将判定为负偏离。</w:t>
      </w:r>
      <w:bookmarkEnd w:id="79"/>
    </w:p>
    <w:p>
      <w:pPr>
        <w:ind w:firstLine="420" w:firstLineChars="200"/>
        <w:rPr>
          <w:b w:val="0"/>
          <w:bCs/>
          <w:sz w:val="21"/>
          <w:szCs w:val="21"/>
        </w:rPr>
      </w:pPr>
      <w:r>
        <w:rPr>
          <w:rFonts w:hint="eastAsia"/>
          <w:b w:val="0"/>
          <w:bCs/>
          <w:sz w:val="21"/>
          <w:szCs w:val="21"/>
        </w:rPr>
        <w:t>7、</w:t>
      </w:r>
      <w:bookmarkStart w:id="80" w:name="_Hlk72096176"/>
      <w:r>
        <w:rPr>
          <w:rFonts w:hint="eastAsia"/>
          <w:b w:val="0"/>
          <w:bCs/>
          <w:sz w:val="21"/>
          <w:szCs w:val="21"/>
        </w:rPr>
        <w:t>证明资料的形式及其它具体要求</w:t>
      </w:r>
      <w:bookmarkEnd w:id="80"/>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1"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1"/>
    </w:p>
    <w:p>
      <w:pPr>
        <w:rPr>
          <w:sz w:val="24"/>
        </w:rPr>
      </w:pPr>
    </w:p>
    <w:p>
      <w:pPr>
        <w:pStyle w:val="3"/>
        <w:jc w:val="center"/>
        <w:rPr>
          <w:rFonts w:hint="eastAsia" w:ascii="黑体" w:eastAsia="黑体"/>
          <w:b w:val="0"/>
          <w:sz w:val="24"/>
          <w:szCs w:val="24"/>
        </w:rPr>
      </w:pPr>
      <w:r>
        <w:rPr>
          <w:rFonts w:hint="eastAsia" w:ascii="黑体" w:eastAsia="黑体"/>
          <w:b w:val="0"/>
          <w:sz w:val="24"/>
          <w:szCs w:val="24"/>
          <w:lang w:val="en-US" w:eastAsia="zh-CN"/>
        </w:rPr>
        <w:t>十、</w:t>
      </w:r>
      <w:r>
        <w:rPr>
          <w:rFonts w:hint="eastAsia" w:ascii="黑体" w:eastAsia="黑体"/>
          <w:b w:val="0"/>
          <w:sz w:val="24"/>
          <w:szCs w:val="24"/>
        </w:rPr>
        <w:t>项目实施方案</w:t>
      </w:r>
    </w:p>
    <w:p>
      <w:pPr>
        <w:pStyle w:val="3"/>
        <w:jc w:val="center"/>
        <w:rPr>
          <w:rFonts w:hint="eastAsia" w:ascii="黑体" w:eastAsia="黑体"/>
          <w:b w:val="0"/>
          <w:sz w:val="24"/>
          <w:szCs w:val="24"/>
        </w:rPr>
      </w:pPr>
      <w:r>
        <w:rPr>
          <w:rFonts w:hint="eastAsia" w:ascii="黑体" w:eastAsia="黑体"/>
          <w:b w:val="0"/>
          <w:sz w:val="24"/>
          <w:szCs w:val="24"/>
          <w:lang w:val="en-US" w:eastAsia="zh-CN"/>
        </w:rPr>
        <w:t>十一、</w:t>
      </w:r>
      <w:r>
        <w:rPr>
          <w:rFonts w:hint="eastAsia" w:ascii="黑体" w:eastAsia="黑体"/>
          <w:b w:val="0"/>
          <w:sz w:val="24"/>
          <w:szCs w:val="24"/>
        </w:rPr>
        <w:t>免费保修期时长</w:t>
      </w:r>
    </w:p>
    <w:p>
      <w:pPr>
        <w:pStyle w:val="3"/>
        <w:jc w:val="center"/>
        <w:rPr>
          <w:rFonts w:hint="eastAsia" w:ascii="黑体" w:eastAsia="黑体"/>
          <w:b w:val="0"/>
          <w:sz w:val="24"/>
          <w:szCs w:val="24"/>
        </w:rPr>
      </w:pPr>
      <w:r>
        <w:rPr>
          <w:rFonts w:hint="eastAsia" w:ascii="黑体" w:eastAsia="黑体"/>
          <w:b w:val="0"/>
          <w:sz w:val="24"/>
          <w:szCs w:val="24"/>
          <w:lang w:val="en-US" w:eastAsia="zh-CN"/>
        </w:rPr>
        <w:t>十二、</w:t>
      </w:r>
      <w:r>
        <w:rPr>
          <w:rFonts w:hint="eastAsia" w:ascii="黑体" w:eastAsia="黑体"/>
          <w:b w:val="0"/>
          <w:sz w:val="24"/>
          <w:szCs w:val="24"/>
        </w:rPr>
        <w:t>同类业绩</w:t>
      </w:r>
    </w:p>
    <w:p>
      <w:pPr>
        <w:pStyle w:val="3"/>
        <w:jc w:val="center"/>
        <w:rPr>
          <w:rFonts w:hint="eastAsia" w:ascii="黑体" w:eastAsia="黑体"/>
          <w:b w:val="0"/>
          <w:sz w:val="24"/>
          <w:szCs w:val="24"/>
        </w:rPr>
      </w:pPr>
      <w:r>
        <w:rPr>
          <w:rFonts w:hint="eastAsia" w:ascii="黑体" w:eastAsia="黑体"/>
          <w:b w:val="0"/>
          <w:sz w:val="24"/>
          <w:szCs w:val="24"/>
          <w:lang w:val="en-US" w:eastAsia="zh-CN"/>
        </w:rPr>
        <w:t>十三、</w:t>
      </w:r>
      <w:r>
        <w:rPr>
          <w:rFonts w:hint="eastAsia" w:ascii="黑体" w:eastAsia="黑体"/>
          <w:b w:val="0"/>
          <w:sz w:val="24"/>
          <w:szCs w:val="24"/>
        </w:rPr>
        <w:t>投标人认为需要加以说明的其他内容</w:t>
      </w:r>
    </w:p>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82"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2"/>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3"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3"/>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1"/>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0"/>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0"/>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2"/>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4" w:name="_Toc27624"/>
      <w:r>
        <w:rPr>
          <w:rFonts w:hint="eastAsia" w:ascii="黑体" w:hAnsi="黑体" w:eastAsia="黑体" w:cs="Times New Roman"/>
          <w:b w:val="0"/>
          <w:bCs w:val="0"/>
          <w:kern w:val="2"/>
          <w:sz w:val="28"/>
          <w:szCs w:val="28"/>
          <w:lang w:val="en-US" w:eastAsia="zh-CN" w:bidi="ar-SA"/>
        </w:rPr>
        <w:t>第二节 政府采购合同通用条款</w:t>
      </w:r>
      <w:bookmarkEnd w:id="84"/>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3"/>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4"/>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5"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5"/>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5"/>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6"/>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6"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6"/>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7" w:name="_Hlk72399513"/>
      <w:r>
        <w:rPr>
          <w:rFonts w:hint="eastAsia" w:ascii="宋体" w:hAnsi="宋体" w:eastAsia="宋体" w:cs="Times New Roman"/>
          <w:b/>
          <w:bCs/>
          <w:kern w:val="0"/>
          <w:sz w:val="28"/>
          <w:szCs w:val="28"/>
          <w:lang w:val="en-US" w:eastAsia="zh-CN" w:bidi="ar-SA"/>
        </w:rPr>
        <w:t>总则</w:t>
      </w:r>
    </w:p>
    <w:bookmarkEnd w:id="87"/>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8" w:name="_Hlk72399729"/>
      <w:r>
        <w:rPr>
          <w:rFonts w:hint="eastAsia" w:ascii="宋体" w:hAnsi="宋体" w:eastAsia="宋体" w:cs="Times New Roman"/>
          <w:szCs w:val="21"/>
        </w:rPr>
        <w:t>如有需要，政府集中采购机构可以对通用条款的内容进行补充。</w:t>
      </w:r>
      <w:bookmarkEnd w:id="88"/>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89"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90"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0"/>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9"/>
    <w:p>
      <w:pPr>
        <w:ind w:firstLine="411" w:firstLineChars="196"/>
        <w:rPr>
          <w:rFonts w:ascii="宋体" w:hAnsi="宋体" w:eastAsia="宋体" w:cs="Times New Roman"/>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1"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1"/>
    </w:p>
    <w:p>
      <w:pPr>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2"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2"/>
    <w:p>
      <w:pPr>
        <w:rPr>
          <w:rFonts w:ascii="黑体" w:hAnsi="宋体" w:eastAsia="黑体" w:cs="Times New Roman"/>
          <w:sz w:val="24"/>
        </w:rPr>
      </w:pPr>
      <w:r>
        <w:rPr>
          <w:rFonts w:hint="eastAsia" w:ascii="黑体" w:hAnsi="宋体" w:eastAsia="黑体" w:cs="Times New Roman"/>
          <w:sz w:val="24"/>
        </w:rPr>
        <w:t>15．</w:t>
      </w:r>
      <w:bookmarkStart w:id="93"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3"/>
    <w:p>
      <w:pPr>
        <w:rPr>
          <w:rFonts w:ascii="黑体" w:hAnsi="宋体" w:eastAsia="黑体" w:cs="Times New Roman"/>
          <w:sz w:val="24"/>
        </w:rPr>
      </w:pPr>
      <w:r>
        <w:rPr>
          <w:rFonts w:hint="eastAsia" w:ascii="黑体" w:hAnsi="宋体" w:eastAsia="黑体" w:cs="Times New Roman"/>
          <w:sz w:val="24"/>
        </w:rPr>
        <w:t>18．</w:t>
      </w:r>
      <w:bookmarkStart w:id="94"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4"/>
    <w:p>
      <w:pPr>
        <w:rPr>
          <w:rFonts w:ascii="黑体" w:hAnsi="宋体" w:eastAsia="黑体" w:cs="Times New Roman"/>
          <w:sz w:val="24"/>
        </w:rPr>
      </w:pPr>
      <w:r>
        <w:rPr>
          <w:rFonts w:hint="eastAsia" w:ascii="黑体" w:hAnsi="宋体" w:eastAsia="黑体" w:cs="Times New Roman"/>
          <w:sz w:val="24"/>
        </w:rPr>
        <w:t>19．</w:t>
      </w:r>
      <w:bookmarkStart w:id="95"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6"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6"/>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5"/>
    <w:p>
      <w:pPr>
        <w:ind w:firstLine="411" w:firstLineChars="196"/>
        <w:rPr>
          <w:rFonts w:ascii="宋体" w:hAnsi="宋体" w:eastAsia="宋体" w:cs="Times New Roman"/>
          <w:szCs w:val="21"/>
        </w:rPr>
      </w:pPr>
      <w:bookmarkStart w:id="97"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7"/>
    <w:p>
      <w:pPr>
        <w:rPr>
          <w:rFonts w:ascii="黑体" w:hAnsi="宋体" w:eastAsia="黑体" w:cs="Times New Roman"/>
          <w:sz w:val="24"/>
        </w:rPr>
      </w:pPr>
      <w:r>
        <w:rPr>
          <w:rFonts w:hint="eastAsia" w:ascii="黑体" w:hAnsi="宋体" w:eastAsia="黑体" w:cs="Times New Roman"/>
          <w:sz w:val="24"/>
        </w:rPr>
        <w:t>21．</w:t>
      </w:r>
      <w:bookmarkStart w:id="98"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8"/>
    <w:p>
      <w:pPr>
        <w:rPr>
          <w:rFonts w:ascii="黑体" w:hAnsi="宋体" w:eastAsia="黑体" w:cs="Times New Roman"/>
          <w:sz w:val="24"/>
        </w:rPr>
      </w:pPr>
      <w:r>
        <w:rPr>
          <w:rFonts w:hint="eastAsia" w:ascii="黑体" w:hAnsi="宋体" w:eastAsia="黑体" w:cs="Times New Roman"/>
          <w:sz w:val="24"/>
        </w:rPr>
        <w:t>23．</w:t>
      </w:r>
      <w:bookmarkStart w:id="99"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9"/>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100"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100"/>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1"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1"/>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2" w:name="_Hlk72436580"/>
      <w:r>
        <w:rPr>
          <w:rFonts w:hint="eastAsia" w:ascii="宋体" w:hAnsi="宋体" w:eastAsia="宋体" w:cs="Times New Roman"/>
        </w:rPr>
        <w:t>评审委员会由采购人代表和评审专家组成。</w:t>
      </w:r>
      <w:bookmarkEnd w:id="102"/>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3"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3"/>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4" w:name="_Toc73521581"/>
      <w:bookmarkStart w:id="105" w:name="_Toc100052400"/>
      <w:bookmarkStart w:id="106" w:name="_Toc73518151"/>
      <w:bookmarkStart w:id="107" w:name="_Toc73517673"/>
      <w:bookmarkStart w:id="108" w:name="_Toc73521669"/>
      <w:r>
        <w:rPr>
          <w:rFonts w:hint="eastAsia" w:ascii="黑体" w:hAnsi="宋体" w:eastAsia="黑体" w:cs="Times New Roman"/>
          <w:sz w:val="24"/>
        </w:rPr>
        <w:t>34．错误的修正</w:t>
      </w:r>
      <w:bookmarkEnd w:id="104"/>
      <w:bookmarkEnd w:id="105"/>
      <w:bookmarkEnd w:id="106"/>
      <w:bookmarkEnd w:id="107"/>
      <w:bookmarkEnd w:id="108"/>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09"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9"/>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10"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1"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1"/>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2"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3"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2"/>
      <w:bookmarkEnd w:id="113"/>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10"/>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4"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4"/>
      <w:bookmarkStart w:id="115"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5"/>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6"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6"/>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7"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7"/>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8" w:name="_Hlk72439043"/>
      <w:r>
        <w:rPr>
          <w:rFonts w:hint="eastAsia" w:ascii="宋体" w:hAnsi="宋体" w:eastAsia="宋体" w:cs="Times New Roman"/>
          <w:b/>
          <w:bCs/>
          <w:kern w:val="0"/>
          <w:sz w:val="28"/>
          <w:szCs w:val="28"/>
          <w:lang w:val="en-US" w:eastAsia="zh-CN" w:bidi="ar-SA"/>
        </w:rPr>
        <w:t>合同的授予与备案</w:t>
      </w:r>
      <w:bookmarkEnd w:id="118"/>
    </w:p>
    <w:p>
      <w:pPr>
        <w:rPr>
          <w:rFonts w:ascii="黑体" w:hAnsi="宋体" w:eastAsia="黑体" w:cs="Times New Roman"/>
          <w:sz w:val="24"/>
        </w:rPr>
      </w:pPr>
      <w:bookmarkStart w:id="119" w:name="_Toc73518157"/>
      <w:bookmarkStart w:id="120" w:name="_Toc100052408"/>
      <w:bookmarkStart w:id="121" w:name="_Toc73521674"/>
      <w:bookmarkStart w:id="122" w:name="_Toc73521586"/>
      <w:bookmarkStart w:id="123" w:name="_Toc73517679"/>
      <w:bookmarkStart w:id="124" w:name="_Hlk72439088"/>
      <w:r>
        <w:rPr>
          <w:rFonts w:hint="eastAsia" w:ascii="黑体" w:hAnsi="宋体" w:eastAsia="黑体" w:cs="Times New Roman"/>
          <w:sz w:val="24"/>
        </w:rPr>
        <w:t>43．合同授予标准</w:t>
      </w:r>
      <w:bookmarkEnd w:id="119"/>
      <w:bookmarkEnd w:id="120"/>
      <w:bookmarkEnd w:id="121"/>
      <w:bookmarkEnd w:id="122"/>
      <w:bookmarkEnd w:id="123"/>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5" w:name="_Toc73517680"/>
      <w:bookmarkStart w:id="126" w:name="_Toc73518158"/>
      <w:bookmarkStart w:id="127" w:name="_Toc100052409"/>
      <w:bookmarkStart w:id="128" w:name="_Toc73521587"/>
      <w:bookmarkStart w:id="129" w:name="_Toc73521675"/>
      <w:r>
        <w:rPr>
          <w:rFonts w:hint="eastAsia" w:ascii="黑体" w:hAnsi="宋体" w:eastAsia="黑体" w:cs="Times New Roman"/>
          <w:sz w:val="24"/>
        </w:rPr>
        <w:t>44．</w:t>
      </w:r>
      <w:bookmarkEnd w:id="125"/>
      <w:bookmarkEnd w:id="126"/>
      <w:bookmarkEnd w:id="127"/>
      <w:bookmarkEnd w:id="128"/>
      <w:bookmarkEnd w:id="129"/>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30" w:name="_Toc100052410"/>
      <w:bookmarkStart w:id="131" w:name="_Toc73521677"/>
      <w:bookmarkStart w:id="132" w:name="_Toc73521589"/>
      <w:bookmarkStart w:id="133" w:name="_Toc73518160"/>
      <w:bookmarkStart w:id="134" w:name="_Toc73517682"/>
      <w:r>
        <w:rPr>
          <w:rFonts w:hint="eastAsia" w:ascii="黑体" w:hAnsi="宋体" w:eastAsia="黑体" w:cs="Times New Roman"/>
          <w:sz w:val="24"/>
        </w:rPr>
        <w:t>45．合同的签订</w:t>
      </w:r>
      <w:bookmarkEnd w:id="130"/>
      <w:bookmarkEnd w:id="131"/>
      <w:bookmarkEnd w:id="132"/>
      <w:bookmarkEnd w:id="133"/>
      <w:bookmarkEnd w:id="134"/>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5" w:name="_Toc73518161"/>
      <w:bookmarkStart w:id="136" w:name="_Toc73517683"/>
      <w:bookmarkStart w:id="137" w:name="_Toc73521590"/>
      <w:bookmarkStart w:id="138" w:name="_Toc100052411"/>
      <w:bookmarkStart w:id="139" w:name="_Toc73521678"/>
      <w:r>
        <w:rPr>
          <w:rFonts w:hint="eastAsia" w:ascii="黑体" w:hAnsi="宋体" w:eastAsia="黑体" w:cs="Times New Roman"/>
          <w:sz w:val="24"/>
        </w:rPr>
        <w:t>46．履约担保</w:t>
      </w:r>
      <w:bookmarkEnd w:id="135"/>
      <w:bookmarkEnd w:id="136"/>
      <w:bookmarkEnd w:id="137"/>
      <w:bookmarkEnd w:id="138"/>
      <w:bookmarkEnd w:id="139"/>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40" w:name="_Hlk72440769"/>
      <w:r>
        <w:rPr>
          <w:rFonts w:hint="eastAsia" w:ascii="宋体" w:hAnsi="宋体" w:eastAsia="宋体" w:cs="Times New Roman"/>
          <w:szCs w:val="21"/>
        </w:rPr>
        <w:t>政府集中采购机构或采购人不予退还其交纳的谈判保证金，情节严重的，并由主管部门</w:t>
      </w:r>
      <w:bookmarkEnd w:id="140"/>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4"/>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1" w:name="_Hlk75374941"/>
      <w:r>
        <w:rPr>
          <w:rFonts w:hint="eastAsia" w:ascii="宋体" w:hAnsi="宋体" w:eastAsia="宋体" w:cs="Times New Roman"/>
          <w:szCs w:val="21"/>
        </w:rPr>
        <w:t>以联合体形式参与的，质疑应当由组成联合体的所有成员共同提出</w:t>
      </w:r>
      <w:bookmarkEnd w:id="141"/>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232161"/>
    <w:multiLevelType w:val="singleLevel"/>
    <w:tmpl w:val="34232161"/>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6"/>
  </w:num>
  <w:num w:numId="6">
    <w:abstractNumId w:val="13"/>
  </w:num>
  <w:num w:numId="7">
    <w:abstractNumId w:val="14"/>
  </w:num>
  <w:num w:numId="8">
    <w:abstractNumId w:val="0"/>
  </w:num>
  <w:num w:numId="9">
    <w:abstractNumId w:val="1"/>
  </w:num>
  <w:num w:numId="10">
    <w:abstractNumId w:val="15"/>
  </w:num>
  <w:num w:numId="11">
    <w:abstractNumId w:val="3"/>
  </w:num>
  <w:num w:numId="12">
    <w:abstractNumId w:val="7"/>
  </w:num>
  <w:num w:numId="13">
    <w:abstractNumId w:val="5"/>
  </w:num>
  <w:num w:numId="14">
    <w:abstractNumId w:val="4"/>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33B4"/>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B80B7A"/>
    <w:rsid w:val="01E55D35"/>
    <w:rsid w:val="01F72B36"/>
    <w:rsid w:val="02095687"/>
    <w:rsid w:val="02326441"/>
    <w:rsid w:val="02743188"/>
    <w:rsid w:val="02AC10D3"/>
    <w:rsid w:val="034033B2"/>
    <w:rsid w:val="03B866D0"/>
    <w:rsid w:val="03C40B3F"/>
    <w:rsid w:val="03E11E16"/>
    <w:rsid w:val="04833B9D"/>
    <w:rsid w:val="04E470A0"/>
    <w:rsid w:val="04FC5581"/>
    <w:rsid w:val="0513143C"/>
    <w:rsid w:val="05821997"/>
    <w:rsid w:val="05891928"/>
    <w:rsid w:val="05BF24C9"/>
    <w:rsid w:val="05DF0DF0"/>
    <w:rsid w:val="06C559AF"/>
    <w:rsid w:val="06CE0008"/>
    <w:rsid w:val="07554285"/>
    <w:rsid w:val="0775586D"/>
    <w:rsid w:val="07EC528E"/>
    <w:rsid w:val="081C64DD"/>
    <w:rsid w:val="083E1B6F"/>
    <w:rsid w:val="08435461"/>
    <w:rsid w:val="08435AFA"/>
    <w:rsid w:val="087109F5"/>
    <w:rsid w:val="08AF0DE8"/>
    <w:rsid w:val="090C7C1B"/>
    <w:rsid w:val="0929095D"/>
    <w:rsid w:val="09493091"/>
    <w:rsid w:val="09F770F7"/>
    <w:rsid w:val="09FF0058"/>
    <w:rsid w:val="0A914C01"/>
    <w:rsid w:val="0AD31787"/>
    <w:rsid w:val="0ADD6816"/>
    <w:rsid w:val="0AF96D6A"/>
    <w:rsid w:val="0B912479"/>
    <w:rsid w:val="0BCC39BB"/>
    <w:rsid w:val="0C2520CA"/>
    <w:rsid w:val="0C4C5587"/>
    <w:rsid w:val="0C7777A9"/>
    <w:rsid w:val="0CD30126"/>
    <w:rsid w:val="0CFC3FE1"/>
    <w:rsid w:val="0D490A8D"/>
    <w:rsid w:val="0DC668EA"/>
    <w:rsid w:val="0DC93D4A"/>
    <w:rsid w:val="0E172E1A"/>
    <w:rsid w:val="0E5643EF"/>
    <w:rsid w:val="0E6E6F80"/>
    <w:rsid w:val="0F7A7451"/>
    <w:rsid w:val="0F953AB1"/>
    <w:rsid w:val="0FF94323"/>
    <w:rsid w:val="10264A11"/>
    <w:rsid w:val="107A34BF"/>
    <w:rsid w:val="107A51CD"/>
    <w:rsid w:val="108D4A90"/>
    <w:rsid w:val="10993984"/>
    <w:rsid w:val="10E67EAB"/>
    <w:rsid w:val="110D1AD5"/>
    <w:rsid w:val="11925F20"/>
    <w:rsid w:val="11C91423"/>
    <w:rsid w:val="1203536E"/>
    <w:rsid w:val="123821EC"/>
    <w:rsid w:val="12584AF5"/>
    <w:rsid w:val="1283439D"/>
    <w:rsid w:val="12E96032"/>
    <w:rsid w:val="12EC0F8D"/>
    <w:rsid w:val="13560879"/>
    <w:rsid w:val="13D4431F"/>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944578F"/>
    <w:rsid w:val="198E1224"/>
    <w:rsid w:val="19A766B9"/>
    <w:rsid w:val="19AF5A77"/>
    <w:rsid w:val="19B1604A"/>
    <w:rsid w:val="19B716C2"/>
    <w:rsid w:val="19B95C26"/>
    <w:rsid w:val="19E46AD9"/>
    <w:rsid w:val="1A126E19"/>
    <w:rsid w:val="1A652503"/>
    <w:rsid w:val="1A78230D"/>
    <w:rsid w:val="1A7A5D34"/>
    <w:rsid w:val="1AC668AF"/>
    <w:rsid w:val="1B325F2A"/>
    <w:rsid w:val="1B405AA4"/>
    <w:rsid w:val="1B5C39DD"/>
    <w:rsid w:val="1B62301A"/>
    <w:rsid w:val="1C1F1E0E"/>
    <w:rsid w:val="1C1F3E4C"/>
    <w:rsid w:val="1CF12935"/>
    <w:rsid w:val="1CF96B9F"/>
    <w:rsid w:val="1D190873"/>
    <w:rsid w:val="1D4B710C"/>
    <w:rsid w:val="1DCF425D"/>
    <w:rsid w:val="1DE3725E"/>
    <w:rsid w:val="1E330E9C"/>
    <w:rsid w:val="1E340CEE"/>
    <w:rsid w:val="1E9C6591"/>
    <w:rsid w:val="1F507A92"/>
    <w:rsid w:val="1FD21930"/>
    <w:rsid w:val="20043B19"/>
    <w:rsid w:val="203A1396"/>
    <w:rsid w:val="20BE2A44"/>
    <w:rsid w:val="20BE2B36"/>
    <w:rsid w:val="20D17B68"/>
    <w:rsid w:val="2112344B"/>
    <w:rsid w:val="21481A39"/>
    <w:rsid w:val="219A1B7F"/>
    <w:rsid w:val="21B22A5C"/>
    <w:rsid w:val="21E65C8F"/>
    <w:rsid w:val="22F51417"/>
    <w:rsid w:val="235220CD"/>
    <w:rsid w:val="23AA6A32"/>
    <w:rsid w:val="23C9229F"/>
    <w:rsid w:val="23F24EDE"/>
    <w:rsid w:val="24195A43"/>
    <w:rsid w:val="245D31B5"/>
    <w:rsid w:val="247D5ABB"/>
    <w:rsid w:val="24826101"/>
    <w:rsid w:val="25735D35"/>
    <w:rsid w:val="25784A9C"/>
    <w:rsid w:val="2596668B"/>
    <w:rsid w:val="25E16A45"/>
    <w:rsid w:val="25F11338"/>
    <w:rsid w:val="25F46AB0"/>
    <w:rsid w:val="27217B54"/>
    <w:rsid w:val="274348DC"/>
    <w:rsid w:val="277D1EE5"/>
    <w:rsid w:val="27A31B59"/>
    <w:rsid w:val="27B87AF2"/>
    <w:rsid w:val="27EE3E21"/>
    <w:rsid w:val="285E29E0"/>
    <w:rsid w:val="286C3B37"/>
    <w:rsid w:val="289002C6"/>
    <w:rsid w:val="28B86003"/>
    <w:rsid w:val="28C71A62"/>
    <w:rsid w:val="28D13172"/>
    <w:rsid w:val="293801B5"/>
    <w:rsid w:val="298A23AD"/>
    <w:rsid w:val="2B033371"/>
    <w:rsid w:val="2B067EC8"/>
    <w:rsid w:val="2B3A56AF"/>
    <w:rsid w:val="2BB71443"/>
    <w:rsid w:val="2BDC0BC9"/>
    <w:rsid w:val="2BF00047"/>
    <w:rsid w:val="2C0853D9"/>
    <w:rsid w:val="2C240F34"/>
    <w:rsid w:val="2C64115C"/>
    <w:rsid w:val="2C70392E"/>
    <w:rsid w:val="2D0B54A3"/>
    <w:rsid w:val="2D230138"/>
    <w:rsid w:val="2D355E3C"/>
    <w:rsid w:val="2D6F4378"/>
    <w:rsid w:val="2DED1D9C"/>
    <w:rsid w:val="2DFF521E"/>
    <w:rsid w:val="2E590BD6"/>
    <w:rsid w:val="2EA0509E"/>
    <w:rsid w:val="2F2E2929"/>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4233AC"/>
    <w:rsid w:val="346C42A4"/>
    <w:rsid w:val="34E60A39"/>
    <w:rsid w:val="3513289C"/>
    <w:rsid w:val="351D0A98"/>
    <w:rsid w:val="354F755A"/>
    <w:rsid w:val="355C0DE1"/>
    <w:rsid w:val="35893F26"/>
    <w:rsid w:val="35F03911"/>
    <w:rsid w:val="361D3B28"/>
    <w:rsid w:val="36383DD0"/>
    <w:rsid w:val="36C0037B"/>
    <w:rsid w:val="36F1018E"/>
    <w:rsid w:val="37503F9E"/>
    <w:rsid w:val="376857B1"/>
    <w:rsid w:val="377622CB"/>
    <w:rsid w:val="3780685D"/>
    <w:rsid w:val="37BA2F63"/>
    <w:rsid w:val="37C81053"/>
    <w:rsid w:val="37E817A5"/>
    <w:rsid w:val="38704532"/>
    <w:rsid w:val="38733D09"/>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01F36"/>
    <w:rsid w:val="3DB66D48"/>
    <w:rsid w:val="3DFB5183"/>
    <w:rsid w:val="3E42676A"/>
    <w:rsid w:val="3F26350E"/>
    <w:rsid w:val="3F2B5786"/>
    <w:rsid w:val="3F3E428E"/>
    <w:rsid w:val="3F513CB1"/>
    <w:rsid w:val="3FA86688"/>
    <w:rsid w:val="3FB269C3"/>
    <w:rsid w:val="3FD032C7"/>
    <w:rsid w:val="3FDB1D7E"/>
    <w:rsid w:val="405F4E39"/>
    <w:rsid w:val="406D3E71"/>
    <w:rsid w:val="40767C0D"/>
    <w:rsid w:val="40E45FD9"/>
    <w:rsid w:val="410061AC"/>
    <w:rsid w:val="413E22CD"/>
    <w:rsid w:val="41571D6E"/>
    <w:rsid w:val="41B06223"/>
    <w:rsid w:val="41B829D4"/>
    <w:rsid w:val="41E77728"/>
    <w:rsid w:val="41F8244F"/>
    <w:rsid w:val="421F601D"/>
    <w:rsid w:val="42482AD4"/>
    <w:rsid w:val="424A2571"/>
    <w:rsid w:val="426D5C02"/>
    <w:rsid w:val="42896114"/>
    <w:rsid w:val="42BE5CDC"/>
    <w:rsid w:val="430C0C47"/>
    <w:rsid w:val="432B6014"/>
    <w:rsid w:val="43A73423"/>
    <w:rsid w:val="43E503D2"/>
    <w:rsid w:val="43E62EC8"/>
    <w:rsid w:val="443E7269"/>
    <w:rsid w:val="44AC22B9"/>
    <w:rsid w:val="451275EF"/>
    <w:rsid w:val="459C606B"/>
    <w:rsid w:val="46C076E7"/>
    <w:rsid w:val="46CC258D"/>
    <w:rsid w:val="46E42C4A"/>
    <w:rsid w:val="472C7633"/>
    <w:rsid w:val="47385FC3"/>
    <w:rsid w:val="474256D1"/>
    <w:rsid w:val="475D2AB1"/>
    <w:rsid w:val="47D965EA"/>
    <w:rsid w:val="48186FE3"/>
    <w:rsid w:val="48C3442B"/>
    <w:rsid w:val="48D43EA7"/>
    <w:rsid w:val="48EA0098"/>
    <w:rsid w:val="48ED46B3"/>
    <w:rsid w:val="4939352B"/>
    <w:rsid w:val="49451217"/>
    <w:rsid w:val="496D4057"/>
    <w:rsid w:val="49807693"/>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382367"/>
    <w:rsid w:val="505144B9"/>
    <w:rsid w:val="509960DB"/>
    <w:rsid w:val="50F67A62"/>
    <w:rsid w:val="510E78E7"/>
    <w:rsid w:val="51221D6E"/>
    <w:rsid w:val="51574F3C"/>
    <w:rsid w:val="51D73B45"/>
    <w:rsid w:val="51F21254"/>
    <w:rsid w:val="523258FE"/>
    <w:rsid w:val="52DF6974"/>
    <w:rsid w:val="53292792"/>
    <w:rsid w:val="53B57275"/>
    <w:rsid w:val="540A2A63"/>
    <w:rsid w:val="54A27FE5"/>
    <w:rsid w:val="54E126EC"/>
    <w:rsid w:val="551A77A3"/>
    <w:rsid w:val="552B71DA"/>
    <w:rsid w:val="55C80ACA"/>
    <w:rsid w:val="55F9355F"/>
    <w:rsid w:val="5606548A"/>
    <w:rsid w:val="563474C9"/>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DF11CE"/>
    <w:rsid w:val="597C3E85"/>
    <w:rsid w:val="59B30690"/>
    <w:rsid w:val="5A0C7DA1"/>
    <w:rsid w:val="5A2F24DA"/>
    <w:rsid w:val="5ABF28B9"/>
    <w:rsid w:val="5AC22B45"/>
    <w:rsid w:val="5ADD3C34"/>
    <w:rsid w:val="5B24477E"/>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360E3"/>
    <w:rsid w:val="67F65590"/>
    <w:rsid w:val="68D357B0"/>
    <w:rsid w:val="68E21A43"/>
    <w:rsid w:val="68F669DD"/>
    <w:rsid w:val="68FA7356"/>
    <w:rsid w:val="690C170A"/>
    <w:rsid w:val="69962BD5"/>
    <w:rsid w:val="69CB7493"/>
    <w:rsid w:val="69D4537F"/>
    <w:rsid w:val="6A365264"/>
    <w:rsid w:val="6AB30BF4"/>
    <w:rsid w:val="6AD0599B"/>
    <w:rsid w:val="6B981DF8"/>
    <w:rsid w:val="6B9D025C"/>
    <w:rsid w:val="6BA75FB6"/>
    <w:rsid w:val="6BCA0C7C"/>
    <w:rsid w:val="6BFE0F28"/>
    <w:rsid w:val="6BFF52D4"/>
    <w:rsid w:val="6C59487A"/>
    <w:rsid w:val="6CDA2501"/>
    <w:rsid w:val="6D202140"/>
    <w:rsid w:val="6D342340"/>
    <w:rsid w:val="6D9B19E5"/>
    <w:rsid w:val="6E984CF8"/>
    <w:rsid w:val="6F5E0FC0"/>
    <w:rsid w:val="6F6F4E5B"/>
    <w:rsid w:val="6FCD69D4"/>
    <w:rsid w:val="70A80E7F"/>
    <w:rsid w:val="70E241C6"/>
    <w:rsid w:val="71034F30"/>
    <w:rsid w:val="71603DA0"/>
    <w:rsid w:val="722515A8"/>
    <w:rsid w:val="722E2B52"/>
    <w:rsid w:val="728B1D53"/>
    <w:rsid w:val="72991E28"/>
    <w:rsid w:val="72D26514"/>
    <w:rsid w:val="7310706F"/>
    <w:rsid w:val="74564E86"/>
    <w:rsid w:val="74C434B7"/>
    <w:rsid w:val="753D3F57"/>
    <w:rsid w:val="756D573F"/>
    <w:rsid w:val="75BA3232"/>
    <w:rsid w:val="76585820"/>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B1E65F5"/>
    <w:rsid w:val="7B9F5272"/>
    <w:rsid w:val="7BBB7C03"/>
    <w:rsid w:val="7C0741E9"/>
    <w:rsid w:val="7C230F73"/>
    <w:rsid w:val="7D1B52B4"/>
    <w:rsid w:val="7D3744CD"/>
    <w:rsid w:val="7D7173A1"/>
    <w:rsid w:val="7DB23C95"/>
    <w:rsid w:val="7E433576"/>
    <w:rsid w:val="7EAF5740"/>
    <w:rsid w:val="7EED3340"/>
    <w:rsid w:val="7F10538E"/>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8"/>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3"/>
    <w:qFormat/>
    <w:uiPriority w:val="0"/>
    <w:pPr>
      <w:adjustRightInd w:val="0"/>
      <w:jc w:val="center"/>
      <w:textAlignment w:val="baseline"/>
      <w:outlineLvl w:val="1"/>
    </w:pPr>
    <w:rPr>
      <w:kern w:val="0"/>
      <w:sz w:val="24"/>
      <w:szCs w:val="20"/>
    </w:rPr>
  </w:style>
  <w:style w:type="paragraph" w:styleId="3">
    <w:name w:val="heading 3"/>
    <w:basedOn w:val="4"/>
    <w:next w:val="1"/>
    <w:link w:val="57"/>
    <w:qFormat/>
    <w:uiPriority w:val="9"/>
    <w:pPr>
      <w:spacing w:before="260" w:after="260" w:line="240" w:lineRule="auto"/>
      <w:outlineLvl w:val="2"/>
    </w:pPr>
    <w:rPr>
      <w:rFonts w:ascii="宋体" w:hAnsi="宋体" w:eastAsia="宋体"/>
      <w:szCs w:val="32"/>
    </w:rPr>
  </w:style>
  <w:style w:type="paragraph" w:styleId="4">
    <w:name w:val="heading 4"/>
    <w:basedOn w:val="1"/>
    <w:next w:val="1"/>
    <w:link w:val="55"/>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qFormat/>
    <w:uiPriority w:val="0"/>
    <w:pPr>
      <w:keepNext/>
      <w:keepLines/>
      <w:spacing w:before="280" w:after="290" w:line="376" w:lineRule="auto"/>
      <w:outlineLvl w:val="4"/>
    </w:pPr>
    <w:rPr>
      <w:b/>
      <w:sz w:val="28"/>
      <w:szCs w:val="20"/>
    </w:rPr>
  </w:style>
  <w:style w:type="paragraph" w:styleId="10">
    <w:name w:val="heading 6"/>
    <w:basedOn w:val="1"/>
    <w:next w:val="7"/>
    <w:link w:val="85"/>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6"/>
    <w:qFormat/>
    <w:uiPriority w:val="0"/>
    <w:pPr>
      <w:keepNext/>
      <w:keepLines/>
      <w:spacing w:before="240" w:after="64" w:line="320" w:lineRule="auto"/>
      <w:outlineLvl w:val="6"/>
    </w:pPr>
    <w:rPr>
      <w:b/>
      <w:sz w:val="24"/>
      <w:szCs w:val="20"/>
    </w:rPr>
  </w:style>
  <w:style w:type="paragraph" w:styleId="12">
    <w:name w:val="heading 8"/>
    <w:basedOn w:val="1"/>
    <w:next w:val="7"/>
    <w:link w:val="87"/>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8"/>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9"/>
    <w:qFormat/>
    <w:uiPriority w:val="0"/>
    <w:pPr>
      <w:ind w:firstLine="420"/>
    </w:pPr>
    <w:rPr>
      <w:szCs w:val="20"/>
    </w:rPr>
  </w:style>
  <w:style w:type="paragraph" w:styleId="8">
    <w:name w:val="Body Text"/>
    <w:basedOn w:val="1"/>
    <w:next w:val="9"/>
    <w:link w:val="94"/>
    <w:qFormat/>
    <w:uiPriority w:val="0"/>
    <w:pPr>
      <w:spacing w:line="360" w:lineRule="auto"/>
    </w:pPr>
    <w:rPr>
      <w:b/>
      <w:bCs/>
      <w:sz w:val="24"/>
    </w:rPr>
  </w:style>
  <w:style w:type="paragraph" w:styleId="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6"/>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0"/>
    <w:qFormat/>
    <w:uiPriority w:val="0"/>
    <w:pPr>
      <w:spacing w:after="120"/>
    </w:pPr>
    <w:rPr>
      <w:sz w:val="16"/>
      <w:szCs w:val="16"/>
    </w:rPr>
  </w:style>
  <w:style w:type="paragraph" w:styleId="20">
    <w:name w:val="Body Text Indent"/>
    <w:basedOn w:val="1"/>
    <w:link w:val="81"/>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0"/>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semiHidden/>
    <w:qFormat/>
    <w:uiPriority w:val="99"/>
    <w:rPr>
      <w:sz w:val="18"/>
      <w:szCs w:val="18"/>
    </w:rPr>
  </w:style>
  <w:style w:type="paragraph" w:styleId="28">
    <w:name w:val="footer"/>
    <w:basedOn w:val="1"/>
    <w:link w:val="99"/>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1"/>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7"/>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8"/>
    <w:qFormat/>
    <w:uiPriority w:val="0"/>
    <w:pPr>
      <w:spacing w:line="360" w:lineRule="auto"/>
    </w:pPr>
    <w:rPr>
      <w:sz w:val="24"/>
    </w:rPr>
  </w:style>
  <w:style w:type="paragraph" w:styleId="38">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9"/>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7"/>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132"/>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sz w:val="20"/>
    </w:rPr>
  </w:style>
  <w:style w:type="character" w:styleId="52">
    <w:name w:val="Hyperlink"/>
    <w:qFormat/>
    <w:uiPriority w:val="0"/>
    <w:rPr>
      <w:color w:val="0000FF"/>
      <w:u w:val="single"/>
    </w:rPr>
  </w:style>
  <w:style w:type="character" w:styleId="53">
    <w:name w:val="annotation reference"/>
    <w:basedOn w:val="47"/>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4"/>
    <w:qFormat/>
    <w:uiPriority w:val="9"/>
    <w:rPr>
      <w:rFonts w:ascii="Arial" w:hAnsi="Arial" w:eastAsia="黑体"/>
      <w:b/>
      <w:bCs/>
      <w:kern w:val="2"/>
      <w:sz w:val="28"/>
      <w:szCs w:val="28"/>
      <w:lang w:val="en-US" w:eastAsia="zh-CN" w:bidi="ar-SA"/>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3"/>
    <w:qFormat/>
    <w:uiPriority w:val="9"/>
    <w:rPr>
      <w:rFonts w:ascii="宋体" w:hAnsi="宋体" w:eastAsia="宋体"/>
      <w:b/>
      <w:bCs/>
      <w:kern w:val="2"/>
      <w:sz w:val="28"/>
      <w:szCs w:val="32"/>
      <w:lang w:val="en-US" w:eastAsia="zh-CN" w:bidi="ar-SA"/>
    </w:rPr>
  </w:style>
  <w:style w:type="character" w:customStyle="1" w:styleId="58">
    <w:name w:val="标题 1 Char"/>
    <w:link w:val="2"/>
    <w:qFormat/>
    <w:uiPriority w:val="0"/>
    <w:rPr>
      <w:rFonts w:ascii="宋体" w:hAnsi="宋体" w:eastAsia="黑体"/>
      <w:b/>
      <w:bCs/>
      <w:kern w:val="44"/>
      <w:sz w:val="28"/>
      <w:szCs w:val="44"/>
      <w:lang w:val="en-US" w:eastAsia="zh-CN" w:bidi="ar-SA"/>
    </w:rPr>
  </w:style>
  <w:style w:type="character" w:customStyle="1" w:styleId="59">
    <w:name w:val="正文缩进 Char"/>
    <w:link w:val="7"/>
    <w:qFormat/>
    <w:uiPriority w:val="0"/>
    <w:rPr>
      <w:rFonts w:eastAsia="宋体"/>
      <w:kern w:val="2"/>
      <w:sz w:val="21"/>
      <w:lang w:val="en-US" w:eastAsia="zh-CN" w:bidi="ar-SA"/>
    </w:rPr>
  </w:style>
  <w:style w:type="character" w:customStyle="1" w:styleId="60">
    <w:name w:val="标题 3 Char"/>
    <w:qFormat/>
    <w:uiPriority w:val="0"/>
    <w:rPr>
      <w:rFonts w:ascii="黑体" w:eastAsia="黑体"/>
      <w:bCs/>
      <w:sz w:val="30"/>
    </w:rPr>
  </w:style>
  <w:style w:type="paragraph" w:customStyle="1" w:styleId="61">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qFormat/>
    <w:uiPriority w:val="0"/>
    <w:pPr>
      <w:spacing w:afterLines="50"/>
      <w:ind w:left="600" w:leftChars="600"/>
    </w:pPr>
  </w:style>
  <w:style w:type="paragraph" w:customStyle="1" w:styleId="69">
    <w:name w:val="Char Char Char Char Char"/>
    <w:basedOn w:val="1"/>
    <w:qFormat/>
    <w:uiPriority w:val="0"/>
    <w:rPr>
      <w:rFonts w:ascii="Tahoma" w:hAnsi="Tahoma"/>
      <w:sz w:val="24"/>
      <w:szCs w:val="20"/>
    </w:rPr>
  </w:style>
  <w:style w:type="paragraph" w:customStyle="1" w:styleId="7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qFormat/>
    <w:uiPriority w:val="0"/>
    <w:rPr>
      <w:rFonts w:ascii="Tahoma" w:hAnsi="Tahoma"/>
      <w:sz w:val="24"/>
      <w:szCs w:val="20"/>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5"/>
    <w:qFormat/>
    <w:uiPriority w:val="0"/>
    <w:rPr>
      <w:rFonts w:ascii="宋体" w:hAnsi="宋体" w:eastAsia="宋体"/>
      <w:b/>
      <w:bCs/>
      <w:sz w:val="24"/>
      <w:lang w:val="en-US" w:eastAsia="zh-CN" w:bidi="ar-SA"/>
    </w:rPr>
  </w:style>
  <w:style w:type="paragraph" w:customStyle="1" w:styleId="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qFormat/>
    <w:uiPriority w:val="0"/>
    <w:pPr>
      <w:ind w:firstLine="420" w:firstLineChars="200"/>
    </w:pPr>
    <w:rPr>
      <w:rFonts w:ascii="Calibri" w:hAnsi="Calibri"/>
      <w:szCs w:val="22"/>
    </w:rPr>
  </w:style>
  <w:style w:type="paragraph" w:customStyle="1" w:styleId="76">
    <w:name w:val="USE 1"/>
    <w:basedOn w:val="1"/>
    <w:qFormat/>
    <w:uiPriority w:val="0"/>
    <w:pPr>
      <w:spacing w:line="200" w:lineRule="atLeast"/>
      <w:jc w:val="left"/>
    </w:pPr>
    <w:rPr>
      <w:rFonts w:ascii="宋体" w:hAnsi="宋体"/>
      <w:b/>
      <w:sz w:val="24"/>
      <w:szCs w:val="28"/>
    </w:rPr>
  </w:style>
  <w:style w:type="paragraph" w:customStyle="1" w:styleId="7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80">
    <w:name w:val="H4 Char2"/>
    <w:qFormat/>
    <w:uiPriority w:val="0"/>
    <w:rPr>
      <w:rFonts w:ascii="Arial" w:hAnsi="Arial" w:eastAsia="黑体"/>
      <w:b/>
      <w:bCs/>
      <w:kern w:val="2"/>
      <w:sz w:val="28"/>
      <w:szCs w:val="28"/>
      <w:lang w:val="en-US" w:eastAsia="zh-CN" w:bidi="ar-SA"/>
    </w:rPr>
  </w:style>
  <w:style w:type="character" w:customStyle="1" w:styleId="81">
    <w:name w:val="正文文本缩进 Char"/>
    <w:link w:val="20"/>
    <w:qFormat/>
    <w:uiPriority w:val="0"/>
    <w:rPr>
      <w:rFonts w:eastAsia="宋体"/>
      <w:kern w:val="2"/>
      <w:sz w:val="21"/>
      <w:szCs w:val="24"/>
      <w:lang w:val="en-US" w:eastAsia="zh-CN" w:bidi="ar-SA"/>
    </w:rPr>
  </w:style>
  <w:style w:type="character" w:customStyle="1" w:styleId="82">
    <w:name w:val="标题 5 Char"/>
    <w:link w:val="6"/>
    <w:qFormat/>
    <w:uiPriority w:val="0"/>
    <w:rPr>
      <w:rFonts w:eastAsia="宋体"/>
      <w:b/>
      <w:kern w:val="2"/>
      <w:sz w:val="28"/>
      <w:lang w:val="en-US" w:eastAsia="zh-CN" w:bidi="ar-SA"/>
    </w:rPr>
  </w:style>
  <w:style w:type="character" w:customStyle="1" w:styleId="83">
    <w:name w:val="第*章 Char"/>
    <w:qFormat/>
    <w:uiPriority w:val="0"/>
    <w:rPr>
      <w:rFonts w:ascii="Arial" w:hAnsi="Arial" w:eastAsia="黑体"/>
      <w:b/>
      <w:bCs/>
      <w:kern w:val="2"/>
      <w:sz w:val="32"/>
      <w:szCs w:val="32"/>
    </w:rPr>
  </w:style>
  <w:style w:type="character" w:customStyle="1" w:styleId="84">
    <w:name w:val="章标题1 Char"/>
    <w:qFormat/>
    <w:uiPriority w:val="0"/>
    <w:rPr>
      <w:rFonts w:eastAsia="宋体"/>
      <w:b/>
      <w:bCs/>
      <w:kern w:val="2"/>
      <w:sz w:val="32"/>
      <w:szCs w:val="32"/>
      <w:lang w:val="en-US" w:eastAsia="zh-CN" w:bidi="ar-SA"/>
    </w:rPr>
  </w:style>
  <w:style w:type="character" w:customStyle="1" w:styleId="85">
    <w:name w:val="标题 6 Char"/>
    <w:link w:val="10"/>
    <w:qFormat/>
    <w:uiPriority w:val="0"/>
    <w:rPr>
      <w:rFonts w:ascii="Arial" w:hAnsi="Arial" w:eastAsia="黑体"/>
      <w:b/>
      <w:kern w:val="2"/>
      <w:sz w:val="24"/>
      <w:lang w:val="en-US" w:eastAsia="zh-CN" w:bidi="ar-SA"/>
    </w:rPr>
  </w:style>
  <w:style w:type="character" w:customStyle="1" w:styleId="86">
    <w:name w:val="标题 7 Char"/>
    <w:link w:val="11"/>
    <w:qFormat/>
    <w:uiPriority w:val="0"/>
    <w:rPr>
      <w:rFonts w:eastAsia="宋体"/>
      <w:b/>
      <w:kern w:val="2"/>
      <w:sz w:val="24"/>
      <w:lang w:val="en-US" w:eastAsia="zh-CN" w:bidi="ar-SA"/>
    </w:rPr>
  </w:style>
  <w:style w:type="character" w:customStyle="1" w:styleId="87">
    <w:name w:val="标题 8 Char"/>
    <w:link w:val="12"/>
    <w:qFormat/>
    <w:uiPriority w:val="0"/>
    <w:rPr>
      <w:rFonts w:ascii="Arial" w:hAnsi="Arial" w:eastAsia="黑体"/>
      <w:kern w:val="2"/>
      <w:sz w:val="24"/>
      <w:lang w:val="en-US" w:eastAsia="zh-CN" w:bidi="ar-SA"/>
    </w:rPr>
  </w:style>
  <w:style w:type="character" w:customStyle="1" w:styleId="88">
    <w:name w:val="标题 9 Char"/>
    <w:link w:val="13"/>
    <w:qFormat/>
    <w:uiPriority w:val="0"/>
    <w:rPr>
      <w:rFonts w:ascii="Arial" w:hAnsi="Arial" w:eastAsia="黑体"/>
      <w:kern w:val="2"/>
      <w:sz w:val="21"/>
      <w:lang w:val="en-US" w:eastAsia="zh-CN" w:bidi="ar-SA"/>
    </w:rPr>
  </w:style>
  <w:style w:type="character" w:customStyle="1" w:styleId="89">
    <w:name w:val="标题 Char"/>
    <w:link w:val="41"/>
    <w:qFormat/>
    <w:uiPriority w:val="0"/>
    <w:rPr>
      <w:rFonts w:ascii="Arial" w:hAnsi="Arial" w:eastAsia="隶书" w:cs="Arial"/>
      <w:b/>
      <w:bCs/>
      <w:kern w:val="2"/>
      <w:sz w:val="32"/>
      <w:szCs w:val="32"/>
      <w:lang w:val="en-US" w:eastAsia="zh-CN" w:bidi="ar-SA"/>
    </w:rPr>
  </w:style>
  <w:style w:type="character" w:customStyle="1" w:styleId="90">
    <w:name w:val="日期 Char"/>
    <w:link w:val="25"/>
    <w:qFormat/>
    <w:uiPriority w:val="0"/>
    <w:rPr>
      <w:rFonts w:ascii="宋体" w:hAnsi="Courier New" w:eastAsia="宋体"/>
      <w:kern w:val="2"/>
      <w:sz w:val="32"/>
      <w:lang w:val="en-US" w:eastAsia="zh-CN" w:bidi="ar-SA"/>
    </w:rPr>
  </w:style>
  <w:style w:type="character" w:customStyle="1" w:styleId="91">
    <w:name w:val="HTML 预设格式 Char"/>
    <w:link w:val="38"/>
    <w:qFormat/>
    <w:uiPriority w:val="0"/>
    <w:rPr>
      <w:rFonts w:ascii="Arial Unicode MS" w:hAnsi="Arial Unicode MS" w:eastAsia="Arial Unicode MS"/>
      <w:color w:val="000000"/>
      <w:lang w:val="en-US" w:eastAsia="zh-CN" w:bidi="ar-SA"/>
    </w:rPr>
  </w:style>
  <w:style w:type="character" w:customStyle="1" w:styleId="92">
    <w:name w:val="纯文本 Char"/>
    <w:link w:val="23"/>
    <w:qFormat/>
    <w:uiPriority w:val="0"/>
    <w:rPr>
      <w:rFonts w:ascii="宋体" w:hAnsi="Courier New" w:eastAsia="宋体"/>
      <w:kern w:val="2"/>
      <w:sz w:val="21"/>
      <w:lang w:val="en-US" w:eastAsia="zh-CN" w:bidi="ar-SA"/>
    </w:rPr>
  </w:style>
  <w:style w:type="character" w:customStyle="1" w:styleId="93">
    <w:name w:val="正文文字首行缩进 Char"/>
    <w:qFormat/>
    <w:uiPriority w:val="0"/>
    <w:rPr>
      <w:kern w:val="2"/>
      <w:sz w:val="21"/>
      <w:szCs w:val="24"/>
    </w:rPr>
  </w:style>
  <w:style w:type="character" w:customStyle="1" w:styleId="94">
    <w:name w:val="正文文本 Char"/>
    <w:link w:val="8"/>
    <w:qFormat/>
    <w:uiPriority w:val="0"/>
    <w:rPr>
      <w:rFonts w:eastAsia="宋体"/>
      <w:b/>
      <w:bCs/>
      <w:kern w:val="2"/>
      <w:sz w:val="24"/>
      <w:szCs w:val="24"/>
      <w:lang w:val="en-US" w:eastAsia="zh-CN" w:bidi="ar-SA"/>
    </w:rPr>
  </w:style>
  <w:style w:type="character" w:customStyle="1" w:styleId="95">
    <w:name w:val="正文文本缩进 2 Char"/>
    <w:link w:val="26"/>
    <w:qFormat/>
    <w:uiPriority w:val="0"/>
    <w:rPr>
      <w:rFonts w:ascii="宋体" w:hAnsi="宋体" w:eastAsia="宋体"/>
      <w:kern w:val="2"/>
      <w:sz w:val="21"/>
      <w:szCs w:val="24"/>
      <w:lang w:val="en-US" w:eastAsia="zh-CN" w:bidi="ar-SA"/>
    </w:rPr>
  </w:style>
  <w:style w:type="character" w:customStyle="1" w:styleId="96">
    <w:name w:val="页眉 Char"/>
    <w:link w:val="29"/>
    <w:qFormat/>
    <w:uiPriority w:val="99"/>
    <w:rPr>
      <w:rFonts w:eastAsia="宋体"/>
      <w:kern w:val="2"/>
      <w:sz w:val="18"/>
      <w:szCs w:val="18"/>
      <w:lang w:val="en-US" w:eastAsia="zh-CN" w:bidi="ar-SA"/>
    </w:rPr>
  </w:style>
  <w:style w:type="character" w:customStyle="1" w:styleId="97">
    <w:name w:val="正文文本缩进 3 Char"/>
    <w:link w:val="34"/>
    <w:qFormat/>
    <w:uiPriority w:val="0"/>
    <w:rPr>
      <w:rFonts w:ascii="宋体" w:eastAsia="宋体"/>
      <w:b/>
      <w:bCs/>
      <w:kern w:val="2"/>
      <w:sz w:val="24"/>
      <w:szCs w:val="24"/>
      <w:lang w:val="en-US" w:eastAsia="zh-CN" w:bidi="ar-SA"/>
    </w:rPr>
  </w:style>
  <w:style w:type="character" w:customStyle="1" w:styleId="98">
    <w:name w:val="正文文本 2 Char"/>
    <w:link w:val="37"/>
    <w:qFormat/>
    <w:uiPriority w:val="0"/>
    <w:rPr>
      <w:rFonts w:eastAsia="宋体"/>
      <w:kern w:val="2"/>
      <w:sz w:val="24"/>
      <w:szCs w:val="24"/>
      <w:lang w:val="en-US" w:eastAsia="zh-CN" w:bidi="ar-SA"/>
    </w:rPr>
  </w:style>
  <w:style w:type="character" w:customStyle="1" w:styleId="99">
    <w:name w:val="页脚 Char"/>
    <w:link w:val="28"/>
    <w:qFormat/>
    <w:uiPriority w:val="0"/>
    <w:rPr>
      <w:rFonts w:eastAsia="宋体"/>
      <w:kern w:val="2"/>
      <w:sz w:val="18"/>
      <w:szCs w:val="18"/>
      <w:lang w:val="en-US" w:eastAsia="zh-CN" w:bidi="ar-SA"/>
    </w:rPr>
  </w:style>
  <w:style w:type="character" w:customStyle="1" w:styleId="100">
    <w:name w:val="正文文本 3 Char"/>
    <w:link w:val="19"/>
    <w:qFormat/>
    <w:uiPriority w:val="0"/>
    <w:rPr>
      <w:rFonts w:eastAsia="宋体"/>
      <w:kern w:val="2"/>
      <w:sz w:val="16"/>
      <w:szCs w:val="16"/>
      <w:lang w:val="en-US" w:eastAsia="zh-CN" w:bidi="ar-SA"/>
    </w:rPr>
  </w:style>
  <w:style w:type="character" w:customStyle="1" w:styleId="101">
    <w:name w:val="批注框文本 Char"/>
    <w:link w:val="27"/>
    <w:semiHidden/>
    <w:qFormat/>
    <w:uiPriority w:val="99"/>
    <w:rPr>
      <w:rFonts w:eastAsia="宋体"/>
      <w:kern w:val="2"/>
      <w:sz w:val="18"/>
      <w:szCs w:val="18"/>
      <w:lang w:val="en-US" w:eastAsia="zh-CN" w:bidi="ar-SA"/>
    </w:rPr>
  </w:style>
  <w:style w:type="paragraph" w:customStyle="1" w:styleId="102">
    <w:name w:val="样式1"/>
    <w:basedOn w:val="41"/>
    <w:qFormat/>
    <w:uiPriority w:val="0"/>
    <w:pPr>
      <w:spacing w:before="120" w:after="120"/>
    </w:pPr>
    <w:rPr>
      <w:rFonts w:eastAsia="黑体"/>
      <w:b w:val="0"/>
      <w:sz w:val="30"/>
      <w:szCs w:val="21"/>
    </w:rPr>
  </w:style>
  <w:style w:type="paragraph" w:customStyle="1" w:styleId="103">
    <w:name w:val="样式2"/>
    <w:basedOn w:val="41"/>
    <w:next w:val="102"/>
    <w:qFormat/>
    <w:uiPriority w:val="0"/>
    <w:pPr>
      <w:spacing w:before="120" w:after="120"/>
    </w:pPr>
    <w:rPr>
      <w:rFonts w:eastAsia="黑体"/>
      <w:b w:val="0"/>
      <w:sz w:val="30"/>
      <w:szCs w:val="30"/>
    </w:rPr>
  </w:style>
  <w:style w:type="character" w:customStyle="1" w:styleId="104">
    <w:name w:val="标题 3 Char Char"/>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szCs w:val="20"/>
    </w:rPr>
  </w:style>
  <w:style w:type="paragraph" w:customStyle="1" w:styleId="108">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sz w:val="24"/>
    </w:rPr>
  </w:style>
  <w:style w:type="paragraph" w:customStyle="1" w:styleId="111">
    <w:name w:val="文字"/>
    <w:basedOn w:val="1"/>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szCs w:val="21"/>
    </w:rPr>
  </w:style>
  <w:style w:type="paragraph" w:customStyle="1" w:styleId="115">
    <w:name w:val="--规划-题注"/>
    <w:basedOn w:val="1"/>
    <w:next w:val="107"/>
    <w:qFormat/>
    <w:uiPriority w:val="0"/>
    <w:pPr>
      <w:spacing w:line="360" w:lineRule="auto"/>
      <w:jc w:val="center"/>
    </w:pPr>
    <w:rPr>
      <w:rFonts w:eastAsia="黑体"/>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eastAsia="黑体"/>
    </w:rPr>
  </w:style>
  <w:style w:type="paragraph" w:customStyle="1" w:styleId="118">
    <w:name w:val="--规划正文 Char"/>
    <w:basedOn w:val="1"/>
    <w:qFormat/>
    <w:uiPriority w:val="0"/>
    <w:pPr>
      <w:spacing w:line="360" w:lineRule="auto"/>
      <w:ind w:firstLine="200" w:firstLineChars="200"/>
    </w:pPr>
    <w:rPr>
      <w:sz w:val="24"/>
    </w:rPr>
  </w:style>
  <w:style w:type="paragraph" w:customStyle="1" w:styleId="119">
    <w:name w:val="缺省文本"/>
    <w:basedOn w:val="1"/>
    <w:qFormat/>
    <w:uiPriority w:val="0"/>
    <w:pPr>
      <w:autoSpaceDE w:val="0"/>
      <w:autoSpaceDN w:val="0"/>
      <w:adjustRightInd w:val="0"/>
      <w:jc w:val="left"/>
    </w:pPr>
    <w:rPr>
      <w:kern w:val="0"/>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qFormat/>
    <w:uiPriority w:val="0"/>
    <w:rPr>
      <w:rFonts w:eastAsia="宋体"/>
      <w:kern w:val="2"/>
      <w:sz w:val="24"/>
      <w:szCs w:val="24"/>
      <w:lang w:val="en-US" w:eastAsia="zh-CN" w:bidi="ar-SA"/>
    </w:rPr>
  </w:style>
  <w:style w:type="paragraph" w:customStyle="1" w:styleId="122">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qFormat/>
    <w:uiPriority w:val="0"/>
    <w:rPr>
      <w:rFonts w:eastAsia="宋体"/>
      <w:kern w:val="2"/>
      <w:sz w:val="21"/>
      <w:lang w:val="en-US" w:eastAsia="zh-CN" w:bidi="ar-SA"/>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qFormat/>
    <w:uiPriority w:val="0"/>
    <w:pPr>
      <w:tabs>
        <w:tab w:val="left" w:pos="420"/>
        <w:tab w:val="left" w:pos="1080"/>
      </w:tabs>
      <w:spacing w:line="288" w:lineRule="auto"/>
      <w:ind w:left="1080" w:hanging="360"/>
    </w:pPr>
    <w:rPr>
      <w:sz w:val="24"/>
      <w:szCs w:val="20"/>
    </w:rPr>
  </w:style>
  <w:style w:type="character" w:customStyle="1" w:styleId="126">
    <w:name w:val="content1"/>
    <w:qFormat/>
    <w:uiPriority w:val="0"/>
    <w:rPr>
      <w:rFonts w:hint="default" w:ascii="??" w:hAnsi="??"/>
      <w:sz w:val="16"/>
      <w:szCs w:val="16"/>
      <w:u w:val="none"/>
    </w:rPr>
  </w:style>
  <w:style w:type="character" w:customStyle="1" w:styleId="127">
    <w:name w:val="unnamed4"/>
    <w:basedOn w:val="47"/>
    <w:qFormat/>
    <w:uiPriority w:val="0"/>
  </w:style>
  <w:style w:type="character" w:customStyle="1" w:styleId="128">
    <w:name w:val="font2"/>
    <w:basedOn w:val="47"/>
    <w:qFormat/>
    <w:uiPriority w:val="0"/>
  </w:style>
  <w:style w:type="character" w:customStyle="1" w:styleId="129">
    <w:name w:val="font41"/>
    <w:qFormat/>
    <w:uiPriority w:val="0"/>
    <w:rPr>
      <w:color w:val="000000"/>
      <w:spacing w:val="260"/>
      <w:sz w:val="18"/>
      <w:szCs w:val="18"/>
      <w:u w:val="none"/>
    </w:rPr>
  </w:style>
  <w:style w:type="paragraph" w:customStyle="1" w:styleId="13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3"/>
    <w:qFormat/>
    <w:uiPriority w:val="0"/>
    <w:rPr>
      <w:rFonts w:eastAsia="宋体"/>
      <w:b/>
      <w:bCs/>
      <w:kern w:val="2"/>
      <w:sz w:val="21"/>
      <w:szCs w:val="24"/>
      <w:lang w:val="en-US" w:eastAsia="zh-CN" w:bidi="ar-SA"/>
    </w:rPr>
  </w:style>
  <w:style w:type="paragraph" w:customStyle="1" w:styleId="133">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7"/>
    <w:qFormat/>
    <w:uiPriority w:val="0"/>
  </w:style>
  <w:style w:type="paragraph" w:customStyle="1" w:styleId="13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7"/>
    <w:qFormat/>
    <w:uiPriority w:val="0"/>
  </w:style>
  <w:style w:type="paragraph" w:customStyle="1" w:styleId="139">
    <w:name w:val="8"/>
    <w:basedOn w:val="1"/>
    <w:next w:val="20"/>
    <w:qFormat/>
    <w:uiPriority w:val="0"/>
    <w:pPr>
      <w:spacing w:after="120"/>
      <w:ind w:left="420" w:leftChars="200"/>
    </w:pPr>
  </w:style>
  <w:style w:type="paragraph" w:customStyle="1" w:styleId="14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qFormat/>
    <w:uiPriority w:val="0"/>
    <w:pPr>
      <w:autoSpaceDE w:val="0"/>
      <w:autoSpaceDN w:val="0"/>
      <w:adjustRightInd w:val="0"/>
      <w:jc w:val="left"/>
    </w:pPr>
    <w:rPr>
      <w:rFonts w:ascii="宋体"/>
      <w:b/>
      <w:bCs/>
      <w:kern w:val="0"/>
      <w:sz w:val="18"/>
      <w:szCs w:val="18"/>
    </w:rPr>
  </w:style>
  <w:style w:type="paragraph" w:customStyle="1" w:styleId="143">
    <w:name w:val="6"/>
    <w:basedOn w:val="142"/>
    <w:qFormat/>
    <w:uiPriority w:val="0"/>
    <w:pPr>
      <w:spacing w:line="270" w:lineRule="atLeast"/>
      <w:jc w:val="both"/>
    </w:pPr>
    <w:rPr>
      <w:b w:val="0"/>
      <w:bCs w:val="0"/>
    </w:rPr>
  </w:style>
  <w:style w:type="paragraph" w:customStyle="1" w:styleId="144">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qFormat/>
    <w:uiPriority w:val="0"/>
    <w:pPr>
      <w:spacing w:line="240" w:lineRule="atLeast"/>
      <w:ind w:firstLine="567"/>
    </w:pPr>
    <w:rPr>
      <w:szCs w:val="20"/>
    </w:rPr>
  </w:style>
  <w:style w:type="paragraph" w:customStyle="1" w:styleId="146">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qFormat/>
    <w:uiPriority w:val="0"/>
    <w:pPr>
      <w:spacing w:line="200" w:lineRule="atLeast"/>
    </w:pPr>
    <w:rPr>
      <w:rFonts w:ascii="Arial" w:hAnsi="Arial" w:eastAsia="宋体" w:cs="Times New Roman"/>
      <w:color w:val="auto"/>
    </w:rPr>
  </w:style>
  <w:style w:type="paragraph" w:customStyle="1" w:styleId="148">
    <w:name w:val="Normal Paragraph"/>
    <w:basedOn w:val="1"/>
    <w:qFormat/>
    <w:uiPriority w:val="0"/>
    <w:pPr>
      <w:widowControl/>
      <w:spacing w:before="120" w:line="360" w:lineRule="auto"/>
      <w:ind w:firstLine="425"/>
    </w:pPr>
    <w:rPr>
      <w:kern w:val="0"/>
      <w:sz w:val="24"/>
    </w:rPr>
  </w:style>
  <w:style w:type="character" w:customStyle="1" w:styleId="149">
    <w:name w:val="blue"/>
    <w:basedOn w:val="47"/>
    <w:qFormat/>
    <w:uiPriority w:val="0"/>
  </w:style>
  <w:style w:type="paragraph" w:customStyle="1" w:styleId="150">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7"/>
    <w:qFormat/>
    <w:uiPriority w:val="0"/>
  </w:style>
  <w:style w:type="character" w:customStyle="1" w:styleId="152">
    <w:name w:val="font11"/>
    <w:qFormat/>
    <w:uiPriority w:val="0"/>
    <w:rPr>
      <w:rFonts w:hint="default" w:ascii="ˎ̥" w:hAnsi="ˎ̥"/>
    </w:rPr>
  </w:style>
  <w:style w:type="paragraph" w:customStyle="1" w:styleId="15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7"/>
    <w:qFormat/>
    <w:uiPriority w:val="0"/>
  </w:style>
  <w:style w:type="character" w:customStyle="1" w:styleId="155">
    <w:name w:val="prodheadlines"/>
    <w:basedOn w:val="47"/>
    <w:qFormat/>
    <w:uiPriority w:val="0"/>
  </w:style>
  <w:style w:type="character" w:customStyle="1" w:styleId="156">
    <w:name w:val="text"/>
    <w:basedOn w:val="47"/>
    <w:qFormat/>
    <w:uiPriority w:val="0"/>
  </w:style>
  <w:style w:type="paragraph" w:customStyle="1" w:styleId="157">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qFormat/>
    <w:uiPriority w:val="0"/>
    <w:pPr>
      <w:ind w:firstLine="560" w:firstLineChars="200"/>
    </w:pPr>
    <w:rPr>
      <w:sz w:val="28"/>
    </w:rPr>
  </w:style>
  <w:style w:type="character" w:customStyle="1" w:styleId="163">
    <w:name w:val="gray6"/>
    <w:basedOn w:val="47"/>
    <w:qFormat/>
    <w:uiPriority w:val="0"/>
  </w:style>
  <w:style w:type="character" w:customStyle="1" w:styleId="164">
    <w:name w:val="style9"/>
    <w:basedOn w:val="47"/>
    <w:qFormat/>
    <w:uiPriority w:val="0"/>
  </w:style>
  <w:style w:type="paragraph" w:customStyle="1" w:styleId="165">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7"/>
    <w:qFormat/>
    <w:uiPriority w:val="0"/>
  </w:style>
  <w:style w:type="paragraph" w:customStyle="1" w:styleId="16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qFormat/>
    <w:uiPriority w:val="0"/>
    <w:pPr>
      <w:jc w:val="left"/>
    </w:pPr>
    <w:rPr>
      <w:rFonts w:ascii="Tahoma" w:hAnsi="Tahoma"/>
      <w:sz w:val="24"/>
      <w:szCs w:val="20"/>
    </w:rPr>
  </w:style>
  <w:style w:type="paragraph" w:customStyle="1" w:styleId="169">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qFormat/>
    <w:uiPriority w:val="0"/>
    <w:pPr>
      <w:widowControl/>
      <w:spacing w:before="100" w:beforeAutospacing="1" w:after="100" w:afterAutospacing="1"/>
      <w:jc w:val="left"/>
    </w:pPr>
    <w:rPr>
      <w:kern w:val="0"/>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qFormat/>
    <w:uiPriority w:val="0"/>
    <w:pPr>
      <w:adjustRightInd w:val="0"/>
      <w:jc w:val="center"/>
    </w:pPr>
    <w:rPr>
      <w:rFonts w:ascii="宋体"/>
      <w:sz w:val="24"/>
      <w:szCs w:val="20"/>
    </w:rPr>
  </w:style>
  <w:style w:type="character" w:customStyle="1" w:styleId="177">
    <w:name w:val="样式 小三 加粗"/>
    <w:qFormat/>
    <w:uiPriority w:val="0"/>
    <w:rPr>
      <w:rFonts w:eastAsia="宋体"/>
      <w:b/>
      <w:bCs/>
      <w:sz w:val="32"/>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qFormat/>
    <w:uiPriority w:val="0"/>
    <w:rPr>
      <w:rFonts w:ascii="Tahoma" w:hAnsi="Tahoma"/>
      <w:sz w:val="24"/>
      <w:szCs w:val="20"/>
    </w:rPr>
  </w:style>
  <w:style w:type="paragraph" w:customStyle="1" w:styleId="181">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7"/>
    <w:qFormat/>
    <w:uiPriority w:val="0"/>
  </w:style>
  <w:style w:type="paragraph" w:customStyle="1" w:styleId="183">
    <w:name w:val="缩进正文"/>
    <w:basedOn w:val="1"/>
    <w:link w:val="184"/>
    <w:qFormat/>
    <w:uiPriority w:val="0"/>
    <w:pPr>
      <w:ind w:firstLine="560" w:firstLineChars="200"/>
    </w:pPr>
    <w:rPr>
      <w:rFonts w:eastAsia="仿宋_GB2312" w:cs="宋体"/>
      <w:sz w:val="28"/>
      <w:szCs w:val="20"/>
    </w:rPr>
  </w:style>
  <w:style w:type="character" w:customStyle="1" w:styleId="184">
    <w:name w:val="缩进正文 Char"/>
    <w:link w:val="183"/>
    <w:qFormat/>
    <w:uiPriority w:val="0"/>
    <w:rPr>
      <w:rFonts w:eastAsia="仿宋_GB2312" w:cs="宋体"/>
      <w:kern w:val="2"/>
      <w:sz w:val="28"/>
      <w:lang w:val="en-US" w:eastAsia="zh-CN" w:bidi="ar-SA"/>
    </w:rPr>
  </w:style>
  <w:style w:type="paragraph" w:customStyle="1" w:styleId="185">
    <w:name w:val="列出段落1"/>
    <w:basedOn w:val="1"/>
    <w:qFormat/>
    <w:uiPriority w:val="0"/>
    <w:pPr>
      <w:ind w:firstLine="420" w:firstLineChars="200"/>
    </w:pPr>
    <w:rPr>
      <w:rFonts w:ascii="Calibri" w:hAnsi="Calibri" w:cs="Calibri"/>
      <w:szCs w:val="21"/>
    </w:rPr>
  </w:style>
  <w:style w:type="character" w:customStyle="1" w:styleId="186">
    <w:name w:val="批注文字 Char"/>
    <w:basedOn w:val="47"/>
    <w:link w:val="18"/>
    <w:semiHidden/>
    <w:qFormat/>
    <w:uiPriority w:val="99"/>
    <w:rPr>
      <w:rFonts w:ascii="宋体"/>
      <w:sz w:val="34"/>
    </w:rPr>
  </w:style>
  <w:style w:type="character" w:customStyle="1" w:styleId="187">
    <w:name w:val="批注主题 Char"/>
    <w:basedOn w:val="186"/>
    <w:link w:val="42"/>
    <w:qFormat/>
    <w:uiPriority w:val="99"/>
    <w:rPr>
      <w:rFonts w:ascii="宋体"/>
      <w:sz w:val="34"/>
    </w:rPr>
  </w:style>
  <w:style w:type="paragraph" w:customStyle="1" w:styleId="188">
    <w:name w:val="评价"/>
    <w:basedOn w:val="1"/>
    <w:qFormat/>
    <w:uiPriority w:val="0"/>
    <w:pPr>
      <w:spacing w:afterLines="20"/>
      <w:ind w:firstLine="1446" w:firstLineChars="200"/>
    </w:pPr>
    <w:rPr>
      <w:rFonts w:ascii="Calibri" w:hAnsi="Calibri"/>
      <w:sz w:val="24"/>
    </w:rPr>
  </w:style>
  <w:style w:type="paragraph" w:customStyle="1" w:styleId="18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semiHidden/>
    <w:qFormat/>
    <w:uiPriority w:val="0"/>
    <w:rPr>
      <w:sz w:val="20"/>
    </w:rPr>
  </w:style>
  <w:style w:type="character" w:customStyle="1" w:styleId="193">
    <w:name w:val="文档结构图 Char"/>
    <w:semiHidden/>
    <w:qFormat/>
    <w:uiPriority w:val="0"/>
    <w:rPr>
      <w:sz w:val="20"/>
    </w:rPr>
  </w:style>
  <w:style w:type="character" w:customStyle="1" w:styleId="194">
    <w:name w:val="short_text"/>
    <w:basedOn w:val="47"/>
    <w:qFormat/>
    <w:uiPriority w:val="0"/>
    <w:rPr>
      <w:sz w:val="20"/>
    </w:rPr>
  </w:style>
  <w:style w:type="character" w:customStyle="1" w:styleId="195">
    <w:name w:val="标题 Char1"/>
    <w:qFormat/>
    <w:uiPriority w:val="0"/>
    <w:rPr>
      <w:b/>
      <w:sz w:val="20"/>
    </w:rPr>
  </w:style>
  <w:style w:type="character" w:customStyle="1" w:styleId="196">
    <w:name w:val="正文文本缩进 3 Char1"/>
    <w:semiHidden/>
    <w:qFormat/>
    <w:uiPriority w:val="0"/>
    <w:rPr>
      <w:sz w:val="20"/>
    </w:rPr>
  </w:style>
  <w:style w:type="character" w:customStyle="1" w:styleId="197">
    <w:name w:val="font21"/>
    <w:basedOn w:val="47"/>
    <w:qFormat/>
    <w:uiPriority w:val="0"/>
    <w:rPr>
      <w:color w:val="FF0000"/>
      <w:sz w:val="20"/>
      <w:u w:val="none"/>
    </w:rPr>
  </w:style>
  <w:style w:type="character" w:customStyle="1" w:styleId="198">
    <w:name w:val="不明显强调1"/>
    <w:qFormat/>
    <w:uiPriority w:val="0"/>
    <w:rPr>
      <w:i/>
      <w:sz w:val="20"/>
    </w:rPr>
  </w:style>
  <w:style w:type="character" w:customStyle="1" w:styleId="199">
    <w:name w:val="font71"/>
    <w:qFormat/>
    <w:uiPriority w:val="0"/>
    <w:rPr>
      <w:sz w:val="20"/>
      <w:u w:val="none"/>
    </w:rPr>
  </w:style>
  <w:style w:type="character" w:customStyle="1" w:styleId="200">
    <w:name w:val="页眉 Char1"/>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qFormat/>
    <w:uiPriority w:val="0"/>
    <w:rPr>
      <w:b/>
      <w:i/>
      <w:sz w:val="20"/>
    </w:rPr>
  </w:style>
  <w:style w:type="character" w:customStyle="1" w:styleId="209">
    <w:name w:val="long_text"/>
    <w:qFormat/>
    <w:uiPriority w:val="0"/>
    <w:rPr>
      <w:sz w:val="20"/>
    </w:rPr>
  </w:style>
  <w:style w:type="character" w:customStyle="1" w:styleId="210">
    <w:name w:val="日期 Char1"/>
    <w:semiHidden/>
    <w:qFormat/>
    <w:uiPriority w:val="0"/>
    <w:rPr>
      <w:sz w:val="20"/>
    </w:rPr>
  </w:style>
  <w:style w:type="character" w:customStyle="1" w:styleId="211">
    <w:name w:val="批注文字 Char1"/>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semiHidden/>
    <w:qFormat/>
    <w:uiPriority w:val="0"/>
    <w:rPr>
      <w:sz w:val="20"/>
    </w:rPr>
  </w:style>
  <w:style w:type="character" w:customStyle="1" w:styleId="216">
    <w:name w:val="font31"/>
    <w:basedOn w:val="47"/>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semiHidden/>
    <w:qFormat/>
    <w:uiPriority w:val="0"/>
    <w:rPr>
      <w:sz w:val="20"/>
    </w:rPr>
  </w:style>
  <w:style w:type="character" w:customStyle="1" w:styleId="219">
    <w:name w:val="font01"/>
    <w:basedOn w:val="47"/>
    <w:qFormat/>
    <w:uiPriority w:val="0"/>
    <w:rPr>
      <w:color w:val="FF0000"/>
      <w:sz w:val="20"/>
      <w:u w:val="none"/>
      <w:vertAlign w:val="superscript"/>
    </w:rPr>
  </w:style>
  <w:style w:type="character" w:customStyle="1" w:styleId="220">
    <w:name w:val="页脚 Char1"/>
    <w:semiHidden/>
    <w:qFormat/>
    <w:uiPriority w:val="0"/>
    <w:rPr>
      <w:sz w:val="20"/>
    </w:rPr>
  </w:style>
  <w:style w:type="character" w:customStyle="1" w:styleId="221">
    <w:name w:val="批注框文本 Char1"/>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qFormat/>
    <w:uiPriority w:val="0"/>
    <w:pPr>
      <w:wordWrap w:val="0"/>
    </w:pPr>
    <w:rPr>
      <w:rFonts w:ascii="Calibri" w:hAnsi="Calibri" w:eastAsia="宋体" w:cs="Times New Roman"/>
      <w:sz w:val="32"/>
      <w:lang w:val="en-US" w:eastAsia="zh-CN" w:bidi="ar-SA"/>
    </w:rPr>
  </w:style>
  <w:style w:type="paragraph" w:customStyle="1" w:styleId="230">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qFormat/>
    <w:uiPriority w:val="0"/>
    <w:pPr>
      <w:ind w:firstLine="420"/>
    </w:pPr>
    <w:rPr>
      <w:rFonts w:hAnsi="Calibri"/>
      <w:kern w:val="0"/>
      <w:szCs w:val="20"/>
    </w:rPr>
  </w:style>
  <w:style w:type="paragraph" w:customStyle="1" w:styleId="257">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qFormat/>
    <w:uiPriority w:val="0"/>
    <w:pPr>
      <w:wordWrap w:val="0"/>
    </w:pPr>
    <w:rPr>
      <w:rFonts w:ascii="Calibri" w:hAnsi="Calibri" w:eastAsia="宋体" w:cs="Times New Roman"/>
      <w:sz w:val="32"/>
      <w:lang w:val="en-US" w:eastAsia="zh-CN" w:bidi="ar-SA"/>
    </w:rPr>
  </w:style>
  <w:style w:type="paragraph" w:customStyle="1" w:styleId="261">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qFormat/>
    <w:uiPriority w:val="0"/>
    <w:pPr>
      <w:wordWrap w:val="0"/>
    </w:pPr>
    <w:rPr>
      <w:rFonts w:ascii="Calibri" w:hAnsi="Calibri" w:eastAsia="宋体" w:cs="Times New Roman"/>
      <w:sz w:val="32"/>
      <w:lang w:val="en-US" w:eastAsia="zh-CN" w:bidi="ar-SA"/>
    </w:rPr>
  </w:style>
  <w:style w:type="paragraph" w:customStyle="1" w:styleId="270">
    <w:name w:val="TOC Heading8"/>
    <w:next w:val="1"/>
    <w:qFormat/>
    <w:uiPriority w:val="0"/>
    <w:pPr>
      <w:wordWrap w:val="0"/>
    </w:pPr>
    <w:rPr>
      <w:rFonts w:ascii="Calibri" w:hAnsi="Calibri" w:eastAsia="宋体" w:cs="Times New Roman"/>
      <w:sz w:val="32"/>
      <w:lang w:val="en-US" w:eastAsia="zh-CN" w:bidi="ar-SA"/>
    </w:rPr>
  </w:style>
  <w:style w:type="paragraph" w:customStyle="1" w:styleId="271">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qFormat/>
    <w:uiPriority w:val="0"/>
    <w:pPr>
      <w:widowControl/>
      <w:spacing w:before="280" w:after="280"/>
    </w:pPr>
    <w:rPr>
      <w:rFonts w:ascii="Arial" w:hAnsi="Calibri"/>
      <w:kern w:val="0"/>
      <w:sz w:val="20"/>
      <w:szCs w:val="20"/>
    </w:rPr>
  </w:style>
  <w:style w:type="paragraph" w:customStyle="1" w:styleId="278">
    <w:name w:val="TOC Heading11"/>
    <w:next w:val="1"/>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qFormat/>
    <w:uiPriority w:val="0"/>
    <w:pPr>
      <w:ind w:firstLine="420"/>
    </w:pPr>
    <w:rPr>
      <w:rFonts w:hAnsi="Calibri"/>
      <w:kern w:val="0"/>
      <w:szCs w:val="20"/>
    </w:rPr>
  </w:style>
  <w:style w:type="paragraph" w:customStyle="1" w:styleId="284">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qFormat/>
    <w:uiPriority w:val="0"/>
    <w:pPr>
      <w:wordWrap w:val="0"/>
    </w:pPr>
    <w:rPr>
      <w:rFonts w:ascii="Calibri" w:hAnsi="Calibri" w:eastAsia="宋体" w:cs="Times New Roman"/>
      <w:sz w:val="32"/>
      <w:lang w:val="en-US" w:eastAsia="zh-CN" w:bidi="ar-SA"/>
    </w:rPr>
  </w:style>
  <w:style w:type="paragraph" w:customStyle="1" w:styleId="286">
    <w:name w:val="TOC Heading5"/>
    <w:next w:val="1"/>
    <w:qFormat/>
    <w:uiPriority w:val="0"/>
    <w:pPr>
      <w:wordWrap w:val="0"/>
    </w:pPr>
    <w:rPr>
      <w:rFonts w:ascii="Calibri" w:hAnsi="Calibri" w:eastAsia="宋体" w:cs="Times New Roman"/>
      <w:sz w:val="32"/>
      <w:lang w:val="en-US" w:eastAsia="zh-CN" w:bidi="ar-SA"/>
    </w:rPr>
  </w:style>
  <w:style w:type="paragraph" w:customStyle="1" w:styleId="287">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qFormat/>
    <w:uiPriority w:val="0"/>
    <w:pPr>
      <w:widowControl/>
      <w:spacing w:after="160" w:line="240" w:lineRule="exact"/>
    </w:pPr>
    <w:rPr>
      <w:rFonts w:hAnsi="Calibri"/>
      <w:kern w:val="0"/>
      <w:szCs w:val="20"/>
    </w:rPr>
  </w:style>
  <w:style w:type="paragraph" w:customStyle="1" w:styleId="301">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qFormat/>
    <w:uiPriority w:val="0"/>
    <w:pPr>
      <w:ind w:firstLine="420"/>
    </w:pPr>
    <w:rPr>
      <w:rFonts w:hAnsi="Calibri"/>
      <w:kern w:val="0"/>
      <w:szCs w:val="20"/>
    </w:rPr>
  </w:style>
  <w:style w:type="paragraph" w:customStyle="1" w:styleId="303">
    <w:name w:val="TOC Heading9"/>
    <w:next w:val="1"/>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qFormat/>
    <w:uiPriority w:val="0"/>
    <w:pPr>
      <w:wordWrap w:val="0"/>
    </w:pPr>
    <w:rPr>
      <w:rFonts w:ascii="Calibri" w:hAnsi="Calibri" w:eastAsia="宋体" w:cs="Times New Roman"/>
      <w:sz w:val="32"/>
      <w:lang w:val="en-US" w:eastAsia="zh-CN" w:bidi="ar-SA"/>
    </w:rPr>
  </w:style>
  <w:style w:type="character" w:customStyle="1" w:styleId="311">
    <w:name w:val="副标题 Char"/>
    <w:basedOn w:val="47"/>
    <w:link w:val="32"/>
    <w:qFormat/>
    <w:uiPriority w:val="0"/>
    <w:rPr>
      <w:rFonts w:ascii="Calibri" w:hAnsi="Calibri"/>
      <w:sz w:val="24"/>
    </w:rPr>
  </w:style>
  <w:style w:type="paragraph" w:customStyle="1" w:styleId="312">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qFormat/>
    <w:uiPriority w:val="0"/>
    <w:pPr>
      <w:ind w:firstLine="420"/>
    </w:pPr>
    <w:rPr>
      <w:rFonts w:hAnsi="Calibri"/>
      <w:kern w:val="0"/>
      <w:szCs w:val="20"/>
    </w:rPr>
  </w:style>
  <w:style w:type="paragraph" w:customStyle="1" w:styleId="316">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qFormat/>
    <w:uiPriority w:val="0"/>
    <w:pPr>
      <w:wordWrap w:val="0"/>
    </w:pPr>
    <w:rPr>
      <w:rFonts w:ascii="Calibri" w:hAnsi="Calibri" w:eastAsia="宋体" w:cs="Times New Roman"/>
      <w:sz w:val="32"/>
      <w:lang w:val="en-US" w:eastAsia="zh-CN" w:bidi="ar-SA"/>
    </w:rPr>
  </w:style>
  <w:style w:type="paragraph" w:customStyle="1" w:styleId="333">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qFormat/>
    <w:uiPriority w:val="0"/>
    <w:pPr>
      <w:wordWrap w:val="0"/>
    </w:pPr>
    <w:rPr>
      <w:rFonts w:ascii="Calibri" w:hAnsi="Calibri" w:eastAsia="宋体" w:cs="Times New Roman"/>
      <w:sz w:val="32"/>
      <w:lang w:val="en-US" w:eastAsia="zh-CN" w:bidi="ar-SA"/>
    </w:rPr>
  </w:style>
  <w:style w:type="paragraph" w:customStyle="1" w:styleId="401">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qFormat/>
    <w:uiPriority w:val="0"/>
    <w:rPr>
      <w:rFonts w:ascii="Arial" w:hAnsi="Calibri" w:eastAsia="Arial Unicode MS" w:cs="Times New Roman"/>
      <w:color w:val="000000"/>
      <w:sz w:val="21"/>
      <w:lang w:val="en-US" w:eastAsia="zh-CN" w:bidi="ar-SA"/>
    </w:rPr>
  </w:style>
  <w:style w:type="paragraph" w:customStyle="1" w:styleId="412">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qFormat/>
    <w:uiPriority w:val="0"/>
    <w:pPr>
      <w:widowControl/>
      <w:ind w:firstLine="420"/>
    </w:pPr>
    <w:rPr>
      <w:rFonts w:hAnsi="Calibri"/>
      <w:kern w:val="0"/>
      <w:szCs w:val="20"/>
    </w:rPr>
  </w:style>
  <w:style w:type="paragraph" w:customStyle="1" w:styleId="429">
    <w:name w:val="xl87"/>
    <w:basedOn w:val="1"/>
    <w:next w:val="430"/>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qFormat/>
    <w:uiPriority w:val="0"/>
    <w:pPr>
      <w:ind w:firstLine="420"/>
    </w:pPr>
    <w:rPr>
      <w:rFonts w:hAnsi="Calibri"/>
      <w:kern w:val="0"/>
      <w:szCs w:val="20"/>
    </w:rPr>
  </w:style>
  <w:style w:type="paragraph" w:customStyle="1" w:styleId="432">
    <w:name w:val="xl78"/>
    <w:basedOn w:val="1"/>
    <w:next w:val="403"/>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7"/>
    <w:link w:val="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7"/>
    <w:qFormat/>
    <w:uiPriority w:val="0"/>
    <w:rPr>
      <w:color w:val="800000"/>
    </w:rPr>
  </w:style>
  <w:style w:type="character" w:customStyle="1" w:styleId="472">
    <w:name w:val="hilite6"/>
    <w:basedOn w:val="47"/>
    <w:qFormat/>
    <w:uiPriority w:val="0"/>
    <w:rPr>
      <w:color w:val="000000"/>
    </w:rPr>
  </w:style>
  <w:style w:type="character" w:customStyle="1" w:styleId="473">
    <w:name w:val="active6"/>
    <w:basedOn w:val="47"/>
    <w:qFormat/>
    <w:uiPriority w:val="0"/>
    <w:rPr>
      <w:color w:val="FFFFFF"/>
    </w:rPr>
  </w:style>
  <w:style w:type="character" w:customStyle="1" w:styleId="474">
    <w:name w:val="inline-help"/>
    <w:basedOn w:val="47"/>
    <w:qFormat/>
    <w:uiPriority w:val="0"/>
  </w:style>
  <w:style w:type="character" w:customStyle="1" w:styleId="475">
    <w:name w:val="active"/>
    <w:basedOn w:val="47"/>
    <w:qFormat/>
    <w:uiPriority w:val="0"/>
    <w:rPr>
      <w:color w:val="FFFFFF"/>
    </w:rPr>
  </w:style>
  <w:style w:type="table" w:customStyle="1" w:styleId="476">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_0"/>
    <w:semiHidden/>
    <w:unhideWhenUsed/>
    <w:qFormat/>
    <w:uiPriority w:val="0"/>
    <w:rPr>
      <w:rFonts w:ascii="Arial" w:hAnsi="Arial" w:cs="Arial"/>
    </w:rPr>
    <w:tblPr>
      <w:tblCellMar>
        <w:top w:w="0" w:type="dxa"/>
        <w:left w:w="0" w:type="dxa"/>
        <w:bottom w:w="0" w:type="dxa"/>
        <w:right w:w="0" w:type="dxa"/>
      </w:tblCellMar>
    </w:tblPr>
  </w:style>
  <w:style w:type="character" w:customStyle="1" w:styleId="479">
    <w:name w:val="font51"/>
    <w:basedOn w:val="47"/>
    <w:qFormat/>
    <w:uiPriority w:val="0"/>
    <w:rPr>
      <w:rFonts w:ascii="Arial" w:hAnsi="Arial" w:cs="Arial"/>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70</Pages>
  <Words>51971</Words>
  <Characters>54346</Characters>
  <Lines>368</Lines>
  <Paragraphs>103</Paragraphs>
  <TotalTime>2</TotalTime>
  <ScaleCrop>false</ScaleCrop>
  <LinksUpToDate>false</LinksUpToDate>
  <CharactersWithSpaces>58057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MusicTing</cp:lastModifiedBy>
  <cp:lastPrinted>2025-12-01T09:14:00Z</cp:lastPrinted>
  <dcterms:modified xsi:type="dcterms:W3CDTF">2025-12-03T08:40:25Z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17784158DEBF44939F0F4F0B13500CAD</vt:lpwstr>
  </property>
  <property fmtid="{D5CDD505-2E9C-101B-9397-08002B2CF9AE}" pid="4" name="KSOTemplateDocerSaveRecord">
    <vt:lpwstr>eyJoZGlkIjoiNWMyOTMyNTQ1MWRmNGI0N2FlNmM4NDMxM2EyYTMzOGMiLCJ1c2VySWQiOiIxMTc1MzY1NzI0In0=</vt:lpwstr>
  </property>
</Properties>
</file>