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DPZXCG-2025-00063</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sz w:val="30"/>
                <w:szCs w:val="30"/>
                <w:lang w:eastAsia="zh-CN"/>
              </w:rPr>
              <w:t>视觉功能训练治疗软件VR设备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1"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14.30</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2" w:name="OLE_LINK1"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pPr>
        <w:pStyle w:val="2"/>
        <w:rPr>
          <w:color w:val="FF0000"/>
          <w:sz w:val="24"/>
        </w:rPr>
      </w:pPr>
      <w:bookmarkStart w:id="6" w:name="bt其他资料由投标人自定"/>
      <w:bookmarkEnd w:id="6"/>
      <w:bookmarkStart w:id="7" w:name="bt投标函"/>
      <w:bookmarkEnd w:id="7"/>
      <w:bookmarkStart w:id="8" w:name="bt技术标投标文件格式"/>
      <w:bookmarkEnd w:id="8"/>
      <w:bookmarkStart w:id="9" w:name="bt合同格式"/>
      <w:bookmarkEnd w:id="9"/>
      <w:bookmarkStart w:id="10" w:name="bt合同条款及格式"/>
      <w:bookmarkEnd w:id="10"/>
      <w:bookmarkStart w:id="11" w:name="bt投标报价汇总表"/>
      <w:bookmarkEnd w:id="11"/>
      <w:bookmarkStart w:id="12" w:name="bt说明"/>
      <w:bookmarkEnd w:id="12"/>
      <w:bookmarkStart w:id="13" w:name="bt投标人须知"/>
      <w:bookmarkEnd w:id="13"/>
      <w:bookmarkStart w:id="14" w:name="bt开标一览表"/>
      <w:bookmarkEnd w:id="14"/>
      <w:bookmarkStart w:id="15" w:name="合同格式"/>
      <w:bookmarkEnd w:id="15"/>
      <w:bookmarkStart w:id="16" w:name="bt合同条款"/>
      <w:bookmarkEnd w:id="16"/>
      <w:bookmarkStart w:id="17" w:name="bt商务标投标文件格式"/>
      <w:bookmarkEnd w:id="17"/>
      <w:bookmarkStart w:id="18" w:name="bt其他资料2"/>
      <w:bookmarkEnd w:id="18"/>
      <w:bookmarkStart w:id="19" w:name="bt项目管理班子配备情况"/>
      <w:bookmarkEnd w:id="19"/>
      <w:bookmarkStart w:id="20" w:name="bt投标人情况介绍"/>
      <w:bookmarkEnd w:id="20"/>
      <w:bookmarkStart w:id="21" w:name="bt投标文件签署授权委托书"/>
      <w:bookmarkEnd w:id="21"/>
      <w:bookmarkStart w:id="22" w:name="bt本工程承诺书"/>
      <w:bookmarkEnd w:id="22"/>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3"/>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pPr>
        <w:pStyle w:val="5"/>
        <w:spacing w:before="120" w:beforeLines="50" w:after="120" w:afterLines="50"/>
        <w:rPr>
          <w:szCs w:val="24"/>
        </w:rPr>
      </w:pPr>
      <w:bookmarkStart w:id="25" w:name="_Toc73521547"/>
      <w:bookmarkStart w:id="26" w:name="_Toc60631620"/>
      <w:bookmarkStart w:id="27" w:name="_Toc73521635"/>
      <w:bookmarkStart w:id="28" w:name="_Toc100052364"/>
      <w:bookmarkStart w:id="29" w:name="_Toc73518117"/>
      <w:bookmarkStart w:id="30" w:name="_Toc60560625"/>
      <w:bookmarkStart w:id="31" w:name="_Toc101074876"/>
      <w:bookmarkStart w:id="32" w:name="_Toc73517639"/>
      <w:r>
        <w:rPr>
          <w:rFonts w:hint="eastAsia"/>
          <w:szCs w:val="24"/>
        </w:rPr>
        <w:t>一、对通用条款的补充内容</w:t>
      </w:r>
    </w:p>
    <w:bookmarkEnd w:id="25"/>
    <w:bookmarkEnd w:id="26"/>
    <w:bookmarkEnd w:id="27"/>
    <w:bookmarkEnd w:id="28"/>
    <w:bookmarkEnd w:id="29"/>
    <w:bookmarkEnd w:id="30"/>
    <w:bookmarkEnd w:id="31"/>
    <w:bookmarkEnd w:id="32"/>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3"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hint="default" w:ascii="宋体" w:hAnsi="宋体" w:eastAsiaTheme="minorEastAsia"/>
                <w:lang w:val="en-US" w:eastAsia="zh-CN"/>
              </w:rPr>
            </w:pPr>
            <w:r>
              <w:rPr>
                <w:rFonts w:hint="eastAsia" w:asciiTheme="minorEastAsia" w:hAnsiTheme="minorEastAsia" w:eastAsiaTheme="minorEastAsia" w:cstheme="minorEastAsia"/>
                <w:spacing w:val="8"/>
                <w:kern w:val="0"/>
                <w:sz w:val="21"/>
                <w:szCs w:val="21"/>
              </w:rPr>
              <w:t>合同总额5%的</w:t>
            </w:r>
            <w:r>
              <w:rPr>
                <w:rFonts w:hint="eastAsia" w:asciiTheme="minorEastAsia" w:hAnsiTheme="minorEastAsia" w:cstheme="minorEastAsia"/>
                <w:spacing w:val="8"/>
                <w:kern w:val="0"/>
                <w:sz w:val="21"/>
                <w:szCs w:val="21"/>
                <w:lang w:val="en-US" w:eastAsia="zh-CN"/>
              </w:rPr>
              <w:t>履约保证金，</w:t>
            </w:r>
            <w:r>
              <w:rPr>
                <w:rFonts w:hint="eastAsia" w:asciiTheme="minorEastAsia" w:hAnsiTheme="minorEastAsia" w:eastAsiaTheme="minorEastAsia" w:cstheme="minorEastAsia"/>
                <w:spacing w:val="8"/>
                <w:kern w:val="0"/>
                <w:sz w:val="21"/>
                <w:szCs w:val="21"/>
                <w:highlight w:val="none"/>
                <w:lang w:val="en-US" w:eastAsia="zh-CN"/>
              </w:rPr>
              <w:t>详见商务要求。</w:t>
            </w:r>
          </w:p>
        </w:tc>
      </w:tr>
    </w:tbl>
    <w:p>
      <w:pPr>
        <w:rPr>
          <w:b/>
        </w:rPr>
      </w:pPr>
      <w:r>
        <w:rPr>
          <w:rFonts w:hint="eastAsia"/>
          <w:szCs w:val="21"/>
        </w:rPr>
        <w:t>备注：本表是通用条款相关条款的补充和明确，如与通用条款内容相冲突的，以本表为准。</w:t>
      </w:r>
    </w:p>
    <w:bookmarkEnd w:id="33"/>
    <w:p>
      <w:pPr>
        <w:pStyle w:val="5"/>
        <w:spacing w:before="120" w:beforeLines="50" w:after="120" w:afterLines="50"/>
        <w:rPr>
          <w:szCs w:val="24"/>
        </w:rPr>
      </w:pPr>
      <w:bookmarkStart w:id="35" w:name="_Hlk72218117"/>
      <w:r>
        <w:rPr>
          <w:rFonts w:hint="eastAsia"/>
          <w:szCs w:val="24"/>
        </w:rPr>
        <w:t>二、其他关键信息</w:t>
      </w:r>
    </w:p>
    <w:p>
      <w:pPr>
        <w:ind w:firstLine="422" w:firstLineChars="200"/>
        <w:rPr>
          <w:b/>
          <w:bCs/>
        </w:rPr>
      </w:pPr>
      <w:bookmarkStart w:id="36"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6"/>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7"/>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视觉功能训练治疗软件VR设备</w:t>
            </w:r>
          </w:p>
        </w:tc>
        <w:tc>
          <w:tcPr>
            <w:tcW w:w="1986" w:type="pct"/>
            <w:vAlign w:val="center"/>
          </w:tcPr>
          <w:p>
            <w:pPr>
              <w:jc w:val="center"/>
              <w:rPr>
                <w:bCs/>
                <w:color w:val="FF0000"/>
                <w:szCs w:val="21"/>
              </w:rPr>
            </w:pPr>
            <w:r>
              <w:rPr>
                <w:rFonts w:hint="eastAsia"/>
                <w:bCs/>
                <w:color w:val="FF0000"/>
                <w:szCs w:val="21"/>
              </w:rPr>
              <w:t>98500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754"/>
        <w:gridCol w:w="703"/>
        <w:gridCol w:w="638"/>
        <w:gridCol w:w="1189"/>
        <w:gridCol w:w="1177"/>
        <w:gridCol w:w="1288"/>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bCs/>
                <w:szCs w:val="21"/>
              </w:rPr>
            </w:pPr>
            <w:r>
              <w:rPr>
                <w:rFonts w:hint="eastAsia"/>
                <w:bCs/>
                <w:szCs w:val="21"/>
              </w:rPr>
              <w:t>序号</w:t>
            </w:r>
          </w:p>
        </w:tc>
        <w:tc>
          <w:tcPr>
            <w:tcW w:w="1028" w:type="pct"/>
            <w:vAlign w:val="center"/>
          </w:tcPr>
          <w:p>
            <w:pPr>
              <w:jc w:val="center"/>
              <w:rPr>
                <w:bCs/>
                <w:szCs w:val="21"/>
              </w:rPr>
            </w:pPr>
            <w:r>
              <w:rPr>
                <w:rFonts w:hint="eastAsia"/>
                <w:bCs/>
                <w:szCs w:val="21"/>
              </w:rPr>
              <w:t>货物名称（标的名称）</w:t>
            </w:r>
          </w:p>
        </w:tc>
        <w:tc>
          <w:tcPr>
            <w:tcW w:w="412" w:type="pct"/>
            <w:vAlign w:val="center"/>
          </w:tcPr>
          <w:p>
            <w:pPr>
              <w:jc w:val="center"/>
              <w:rPr>
                <w:bCs/>
                <w:szCs w:val="21"/>
              </w:rPr>
            </w:pPr>
            <w:r>
              <w:rPr>
                <w:rFonts w:hint="eastAsia"/>
                <w:bCs/>
                <w:szCs w:val="21"/>
              </w:rPr>
              <w:t>数量</w:t>
            </w:r>
          </w:p>
        </w:tc>
        <w:tc>
          <w:tcPr>
            <w:tcW w:w="374" w:type="pct"/>
            <w:vAlign w:val="center"/>
          </w:tcPr>
          <w:p>
            <w:pPr>
              <w:jc w:val="center"/>
              <w:rPr>
                <w:bCs/>
                <w:szCs w:val="21"/>
              </w:rPr>
            </w:pPr>
            <w:r>
              <w:rPr>
                <w:rFonts w:hint="eastAsia"/>
                <w:bCs/>
                <w:szCs w:val="21"/>
              </w:rPr>
              <w:t>单位</w:t>
            </w:r>
          </w:p>
        </w:tc>
        <w:tc>
          <w:tcPr>
            <w:tcW w:w="697"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90"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755"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c>
          <w:tcPr>
            <w:tcW w:w="755" w:type="pct"/>
            <w:vAlign w:val="center"/>
          </w:tcPr>
          <w:p>
            <w:pPr>
              <w:jc w:val="center"/>
              <w:rPr>
                <w:rFonts w:hint="default"/>
                <w:b/>
                <w:bCs/>
                <w:color w:val="FF0000"/>
                <w:szCs w:val="21"/>
                <w:lang w:val="en-US" w:eastAsia="zh-CN"/>
              </w:rPr>
            </w:pPr>
            <w:r>
              <w:rPr>
                <w:rFonts w:hint="eastAsia"/>
                <w:b/>
                <w:bCs/>
                <w:color w:val="FF0000"/>
                <w:szCs w:val="21"/>
                <w:lang w:val="en-US" w:eastAsia="zh-CN"/>
              </w:rPr>
              <w:t>是否医疗器械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bCs/>
                <w:szCs w:val="21"/>
              </w:rPr>
            </w:pPr>
            <w:r>
              <w:rPr>
                <w:rFonts w:hint="eastAsia"/>
                <w:bCs/>
                <w:szCs w:val="21"/>
              </w:rPr>
              <w:t>1</w:t>
            </w:r>
          </w:p>
        </w:tc>
        <w:tc>
          <w:tcPr>
            <w:tcW w:w="1028" w:type="pct"/>
            <w:vAlign w:val="center"/>
          </w:tcPr>
          <w:p>
            <w:pPr>
              <w:jc w:val="center"/>
              <w:rPr>
                <w:bCs/>
                <w:szCs w:val="21"/>
              </w:rPr>
            </w:pPr>
            <w:r>
              <w:rPr>
                <w:rFonts w:hint="eastAsia"/>
                <w:bCs/>
                <w:szCs w:val="21"/>
              </w:rPr>
              <w:t>视觉功能训练治疗软件VR设备</w:t>
            </w:r>
          </w:p>
        </w:tc>
        <w:tc>
          <w:tcPr>
            <w:tcW w:w="412"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lang w:val="en-US" w:eastAsia="zh-CN"/>
              </w:rPr>
              <w:t>1</w:t>
            </w:r>
          </w:p>
        </w:tc>
        <w:tc>
          <w:tcPr>
            <w:tcW w:w="374"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lang w:eastAsia="zh-CN"/>
              </w:rPr>
              <w:t>台</w:t>
            </w:r>
          </w:p>
        </w:tc>
        <w:tc>
          <w:tcPr>
            <w:tcW w:w="697" w:type="pct"/>
            <w:vAlign w:val="center"/>
          </w:tcPr>
          <w:p>
            <w:pPr>
              <w:jc w:val="center"/>
              <w:rPr>
                <w:rFonts w:hint="eastAsia" w:eastAsia="宋体"/>
                <w:b/>
                <w:bCs/>
                <w:color w:val="FF0000"/>
                <w:szCs w:val="21"/>
                <w:lang w:eastAsia="zh-CN"/>
              </w:rPr>
            </w:pPr>
            <w:r>
              <w:rPr>
                <w:rFonts w:hint="eastAsia"/>
                <w:b/>
                <w:bCs/>
                <w:color w:val="FF0000"/>
                <w:szCs w:val="21"/>
                <w:lang w:eastAsia="zh-CN"/>
              </w:rPr>
              <w:t>拒绝进口</w:t>
            </w:r>
          </w:p>
        </w:tc>
        <w:tc>
          <w:tcPr>
            <w:tcW w:w="690"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755"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工业</w:t>
            </w:r>
          </w:p>
        </w:tc>
        <w:tc>
          <w:tcPr>
            <w:tcW w:w="755" w:type="pct"/>
            <w:vAlign w:val="center"/>
          </w:tcPr>
          <w:p>
            <w:pPr>
              <w:jc w:val="center"/>
              <w:rPr>
                <w:rFonts w:hint="default"/>
                <w:b/>
                <w:bCs/>
                <w:color w:val="FF0000"/>
                <w:szCs w:val="21"/>
                <w:lang w:val="en-US" w:eastAsia="zh-CN"/>
              </w:rPr>
            </w:pPr>
            <w:r>
              <w:rPr>
                <w:rFonts w:hint="eastAsia"/>
                <w:b/>
                <w:bCs/>
                <w:color w:val="FF0000"/>
                <w:szCs w:val="21"/>
                <w:lang w:val="en-US" w:eastAsia="zh-CN"/>
              </w:rPr>
              <w:t>是</w:t>
            </w:r>
          </w:p>
        </w:tc>
      </w:tr>
    </w:tbl>
    <w:p>
      <w:pPr>
        <w:ind w:firstLine="422" w:firstLineChars="200"/>
        <w:rPr>
          <w:rFonts w:hint="eastAsia" w:ascii="宋体" w:hAnsi="宋体"/>
          <w:b/>
          <w:color w:val="FF0000"/>
          <w:szCs w:val="21"/>
        </w:rPr>
      </w:pP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配置清单（单台配置）：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视觉功能训练治疗软件  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VR一体机  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55寸显示器  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移动支架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5合格证 1张</w:t>
            </w:r>
          </w:p>
        </w:tc>
      </w:tr>
    </w:tbl>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视觉功能训练治疗软件VR设备   </w:t>
      </w:r>
      <w:r>
        <w:rPr>
          <w:rFonts w:hint="eastAsia" w:ascii="宋体" w:hAnsi="宋体"/>
          <w:b/>
          <w:color w:val="FF0000"/>
          <w:szCs w:val="21"/>
        </w:rPr>
        <w:t>。</w:t>
      </w:r>
    </w:p>
    <w:bookmarkEnd w:id="38"/>
    <w:p>
      <w:pPr>
        <w:rPr>
          <w:rFonts w:ascii="宋体" w:hAnsi="宋体"/>
          <w:b/>
          <w:color w:val="FF0000"/>
          <w:szCs w:val="21"/>
        </w:rPr>
      </w:pPr>
    </w:p>
    <w:p>
      <w:pPr>
        <w:pStyle w:val="8"/>
      </w:pPr>
    </w:p>
    <w:p>
      <w:pPr>
        <w:pStyle w:val="5"/>
        <w:spacing w:before="120" w:beforeLines="50" w:after="120" w:afterLines="50"/>
        <w:rPr>
          <w:sz w:val="28"/>
          <w:szCs w:val="28"/>
        </w:rPr>
      </w:pPr>
      <w:bookmarkStart w:id="40" w:name="_Toc128884461"/>
      <w:r>
        <w:rPr>
          <w:rFonts w:hint="eastAsia"/>
          <w:sz w:val="28"/>
          <w:szCs w:val="28"/>
        </w:rPr>
        <w:t>三、实质性条款</w:t>
      </w:r>
    </w:p>
    <w:tbl>
      <w:tblPr>
        <w:tblStyle w:val="44"/>
        <w:tblW w:w="840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40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both"/>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1</w:t>
            </w:r>
          </w:p>
        </w:tc>
        <w:tc>
          <w:tcPr>
            <w:tcW w:w="7404" w:type="dxa"/>
            <w:vAlign w:val="center"/>
          </w:tcPr>
          <w:p>
            <w:pPr>
              <w:widowControl/>
              <w:jc w:val="left"/>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2</w:t>
            </w:r>
          </w:p>
        </w:tc>
        <w:tc>
          <w:tcPr>
            <w:tcW w:w="7404" w:type="dxa"/>
            <w:vAlign w:val="center"/>
          </w:tcPr>
          <w:p>
            <w:pPr>
              <w:widowControl/>
              <w:jc w:val="left"/>
              <w:textAlignment w:val="center"/>
              <w:rPr>
                <w:rFonts w:hint="eastAsia" w:ascii="宋体" w:hAnsi="宋体" w:eastAsia="宋体" w:cs="宋体"/>
                <w:b w:val="0"/>
                <w:bCs w:val="0"/>
                <w:color w:val="auto"/>
                <w:spacing w:val="9"/>
                <w:kern w:val="0"/>
                <w:sz w:val="21"/>
                <w:szCs w:val="21"/>
                <w:lang w:val="en-US" w:eastAsia="zh-CN" w:bidi="ar-SA"/>
              </w:rPr>
            </w:pPr>
            <w:r>
              <w:rPr>
                <w:rFonts w:hint="eastAsia" w:ascii="宋体" w:hAnsi="宋体" w:cs="宋体"/>
                <w:b w:val="0"/>
                <w:bCs w:val="0"/>
                <w:color w:val="auto"/>
                <w:spacing w:val="9"/>
                <w:kern w:val="0"/>
                <w:sz w:val="21"/>
                <w:szCs w:val="21"/>
                <w:lang w:val="en-US" w:eastAsia="zh-CN"/>
              </w:rPr>
              <w:t>1.5</w:t>
            </w:r>
            <w:r>
              <w:rPr>
                <w:rFonts w:hint="eastAsia" w:ascii="宋体" w:hAnsi="宋体" w:cs="宋体"/>
                <w:b w:val="0"/>
                <w:bCs w:val="0"/>
                <w:color w:val="auto"/>
                <w:spacing w:val="9"/>
                <w:kern w:val="0"/>
                <w:sz w:val="21"/>
                <w:szCs w:val="21"/>
                <w:lang w:eastAsia="zh-CN"/>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3</w:t>
            </w:r>
          </w:p>
        </w:tc>
        <w:tc>
          <w:tcPr>
            <w:tcW w:w="7404" w:type="dxa"/>
            <w:vAlign w:val="center"/>
          </w:tcPr>
          <w:p>
            <w:pPr>
              <w:widowControl/>
              <w:jc w:val="left"/>
              <w:textAlignment w:val="center"/>
              <w:rPr>
                <w:rFonts w:hint="eastAsia" w:ascii="宋体" w:hAnsi="宋体" w:cs="宋体"/>
                <w:b w:val="0"/>
                <w:bCs w:val="0"/>
                <w:color w:val="auto"/>
                <w:spacing w:val="9"/>
                <w:kern w:val="0"/>
                <w:sz w:val="21"/>
                <w:szCs w:val="21"/>
                <w:lang w:val="en-US" w:eastAsia="zh-CN"/>
              </w:rPr>
            </w:pPr>
            <w:r>
              <w:rPr>
                <w:rFonts w:hint="eastAsia" w:ascii="宋体" w:hAnsi="宋体" w:eastAsia="宋体" w:cs="宋体"/>
                <w:b/>
                <w:bCs/>
                <w:color w:val="FF0000"/>
                <w:spacing w:val="9"/>
                <w:kern w:val="0"/>
                <w:sz w:val="21"/>
                <w:szCs w:val="21"/>
              </w:rPr>
              <w:t>★</w:t>
            </w:r>
            <w:r>
              <w:rPr>
                <w:rFonts w:hint="eastAsia" w:ascii="宋体" w:hAnsi="宋体" w:eastAsia="宋体" w:cs="宋体"/>
                <w:b/>
                <w:bCs/>
                <w:spacing w:val="8"/>
                <w:kern w:val="0"/>
                <w:sz w:val="21"/>
                <w:szCs w:val="21"/>
              </w:rPr>
              <w:t>1.1投标人在签订合同之日起</w:t>
            </w:r>
            <w:r>
              <w:rPr>
                <w:rFonts w:hint="eastAsia" w:ascii="宋体" w:hAnsi="宋体" w:eastAsia="宋体" w:cs="宋体"/>
                <w:b/>
                <w:bCs/>
                <w:spacing w:val="8"/>
                <w:kern w:val="0"/>
                <w:sz w:val="21"/>
                <w:szCs w:val="21"/>
                <w:lang w:val="en-US" w:eastAsia="zh-CN"/>
              </w:rPr>
              <w:t>30</w:t>
            </w:r>
            <w:r>
              <w:rPr>
                <w:rFonts w:hint="eastAsia" w:ascii="宋体" w:hAnsi="宋体" w:eastAsia="宋体" w:cs="宋体"/>
                <w:b/>
                <w:bCs/>
                <w:spacing w:val="8"/>
                <w:kern w:val="0"/>
                <w:sz w:val="21"/>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4</w:t>
            </w:r>
          </w:p>
        </w:tc>
        <w:tc>
          <w:tcPr>
            <w:tcW w:w="7404" w:type="dxa"/>
            <w:vAlign w:val="center"/>
          </w:tcPr>
          <w:p>
            <w:pPr>
              <w:adjustRightInd w:val="0"/>
              <w:snapToGrid w:val="0"/>
              <w:spacing w:line="240" w:lineRule="auto"/>
              <w:jc w:val="left"/>
              <w:rPr>
                <w:rFonts w:hint="eastAsia" w:ascii="宋体" w:hAnsi="宋体" w:eastAsia="宋体"/>
                <w:b w:val="0"/>
                <w:bCs w:val="0"/>
                <w:color w:val="auto"/>
                <w:kern w:val="0"/>
                <w:szCs w:val="21"/>
                <w:lang w:eastAsia="zh-CN"/>
              </w:rPr>
            </w:pPr>
            <w:r>
              <w:rPr>
                <w:rFonts w:hint="eastAsia" w:ascii="宋体" w:hAnsi="宋体" w:eastAsia="宋体" w:cs="宋体"/>
                <w:b w:val="0"/>
                <w:bCs w:val="0"/>
                <w:color w:val="auto"/>
                <w:spacing w:val="9"/>
                <w:kern w:val="0"/>
                <w:sz w:val="21"/>
                <w:szCs w:val="21"/>
              </w:rPr>
              <w:t>★1.1</w:t>
            </w:r>
            <w:r>
              <w:rPr>
                <w:rFonts w:hint="eastAsia" w:ascii="宋体" w:hAnsi="宋体" w:cs="宋体"/>
                <w:b w:val="0"/>
                <w:bCs w:val="0"/>
                <w:color w:val="auto"/>
                <w:spacing w:val="9"/>
                <w:kern w:val="0"/>
                <w:sz w:val="21"/>
                <w:szCs w:val="21"/>
                <w:lang w:eastAsia="zh-CN"/>
              </w:rPr>
              <w:t>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740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6</w:t>
            </w:r>
          </w:p>
        </w:tc>
        <w:tc>
          <w:tcPr>
            <w:tcW w:w="740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z w:val="21"/>
                <w:szCs w:val="21"/>
                <w:lang w:val="en-US" w:eastAsia="zh-CN"/>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40"/>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1"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1"/>
    <w:tbl>
      <w:tblPr>
        <w:tblStyle w:val="44"/>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sz w:val="21"/>
                <w:szCs w:val="21"/>
              </w:rPr>
            </w:pPr>
            <w:bookmarkStart w:id="42" w:name="_Hlk70236148"/>
            <w:r>
              <w:rPr>
                <w:rFonts w:hint="eastAsia" w:ascii="宋体" w:hAnsi="宋体" w:eastAsia="宋体" w:cs="宋体"/>
                <w:sz w:val="21"/>
                <w:szCs w:val="21"/>
              </w:rPr>
              <w:t>序号</w:t>
            </w:r>
          </w:p>
        </w:tc>
        <w:tc>
          <w:tcPr>
            <w:tcW w:w="1389"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587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389" w:type="dxa"/>
            <w:vMerge w:val="restart"/>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视觉功能训练治疗软件VR设备</w:t>
            </w:r>
          </w:p>
        </w:tc>
        <w:tc>
          <w:tcPr>
            <w:tcW w:w="5876" w:type="dxa"/>
          </w:tcPr>
          <w:p>
            <w:pPr>
              <w:pStyle w:val="75"/>
              <w:numPr>
                <w:ilvl w:val="0"/>
                <w:numId w:val="0"/>
              </w:numPr>
              <w:ind w:left="0" w:firstLineChars="0"/>
              <w:rPr>
                <w:rFonts w:hint="eastAsia" w:ascii="宋体" w:hAnsi="宋体" w:eastAsia="宋体" w:cs="宋体"/>
                <w:b w:val="0"/>
                <w:bCs w:val="0"/>
                <w:sz w:val="21"/>
                <w:szCs w:val="21"/>
              </w:rPr>
            </w:pPr>
            <w:r>
              <w:rPr>
                <w:rFonts w:hint="default" w:cs="宋体" w:asciiTheme="minorHAnsi" w:hAnsiTheme="minorHAnsi" w:eastAsiaTheme="minorEastAsia"/>
                <w:b w:val="0"/>
                <w:bCs w:val="0"/>
                <w:color w:val="000000"/>
                <w:kern w:val="2"/>
                <w:sz w:val="21"/>
                <w:szCs w:val="21"/>
                <w:lang w:val="en-US" w:eastAsia="zh-CN" w:bidi="ar-SA"/>
              </w:rPr>
              <w:t>1.</w:t>
            </w:r>
            <w:r>
              <w:rPr>
                <w:rFonts w:hint="eastAsia" w:ascii="宋体" w:hAnsi="宋体" w:eastAsia="宋体" w:cs="宋体"/>
                <w:b w:val="0"/>
                <w:bCs w:val="0"/>
                <w:color w:val="000000"/>
                <w:szCs w:val="21"/>
                <w:lang w:eastAsia="zh-CN"/>
              </w:rPr>
              <w:t>组成：</w:t>
            </w:r>
            <w:r>
              <w:rPr>
                <w:rFonts w:hint="eastAsia" w:ascii="宋体" w:hAnsi="宋体" w:eastAsia="宋体" w:cs="宋体"/>
                <w:b w:val="0"/>
                <w:bCs w:val="0"/>
                <w:color w:val="000000"/>
                <w:szCs w:val="21"/>
              </w:rPr>
              <w:t>至少包含精细刺激训练、视觉技巧训练和双眼视功能训练三个模块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b w:val="0"/>
                <w:bCs w:val="0"/>
                <w:sz w:val="21"/>
                <w:szCs w:val="21"/>
              </w:rPr>
            </w:pPr>
          </w:p>
        </w:tc>
        <w:tc>
          <w:tcPr>
            <w:tcW w:w="5876" w:type="dxa"/>
            <w:vAlign w:val="center"/>
          </w:tcPr>
          <w:p>
            <w:pPr>
              <w:widowControl/>
              <w:jc w:val="left"/>
              <w:textAlignment w:val="center"/>
              <w:rPr>
                <w:rFonts w:hint="eastAsia" w:ascii="宋体" w:hAnsi="宋体" w:eastAsia="宋体" w:cs="宋体"/>
                <w:b w:val="0"/>
                <w:bCs w:val="0"/>
                <w:sz w:val="21"/>
                <w:szCs w:val="21"/>
              </w:rPr>
            </w:pPr>
            <w:r>
              <w:rPr>
                <w:rFonts w:hint="eastAsia" w:ascii="宋体" w:hAnsi="宋体" w:eastAsia="宋体" w:cs="宋体"/>
                <w:b w:val="0"/>
                <w:bCs w:val="0"/>
                <w:color w:val="000000"/>
                <w:szCs w:val="21"/>
                <w:lang w:val="en-US" w:eastAsia="zh-CN"/>
              </w:rPr>
              <w:t>2.</w:t>
            </w:r>
            <w:r>
              <w:rPr>
                <w:rFonts w:hint="eastAsia" w:ascii="宋体" w:hAnsi="宋体" w:eastAsia="宋体" w:cs="宋体"/>
                <w:b w:val="0"/>
                <w:bCs w:val="0"/>
                <w:color w:val="000000"/>
                <w:szCs w:val="21"/>
              </w:rPr>
              <w:t>适用范围：适用于儿童轻、中度弱视及融合功能不足的治疗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b w:val="0"/>
                <w:bCs w:val="0"/>
                <w:sz w:val="21"/>
                <w:szCs w:val="21"/>
              </w:rPr>
            </w:pPr>
          </w:p>
        </w:tc>
        <w:tc>
          <w:tcPr>
            <w:tcW w:w="5876" w:type="dxa"/>
            <w:vAlign w:val="center"/>
          </w:tcPr>
          <w:p>
            <w:pPr>
              <w:widowControl/>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color w:val="000000"/>
                <w:sz w:val="21"/>
                <w:szCs w:val="21"/>
                <w:lang w:val="en-US" w:eastAsia="zh-CN"/>
              </w:rPr>
              <w:t>可</w:t>
            </w:r>
            <w:r>
              <w:rPr>
                <w:rFonts w:hint="eastAsia" w:ascii="宋体" w:hAnsi="宋体" w:eastAsia="宋体" w:cs="宋体"/>
                <w:b w:val="0"/>
                <w:bCs w:val="0"/>
                <w:color w:val="000000"/>
                <w:sz w:val="21"/>
                <w:szCs w:val="21"/>
              </w:rPr>
              <w:t>根据患者的情况，制定个性化的治疗方案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b w:val="0"/>
                <w:bCs w:val="0"/>
                <w:sz w:val="21"/>
                <w:szCs w:val="21"/>
              </w:rPr>
            </w:pPr>
          </w:p>
        </w:tc>
        <w:tc>
          <w:tcPr>
            <w:tcW w:w="5876" w:type="dxa"/>
            <w:vAlign w:val="center"/>
          </w:tcPr>
          <w:p>
            <w:pPr>
              <w:widowControl/>
              <w:jc w:val="left"/>
              <w:textAlignment w:val="center"/>
              <w:rPr>
                <w:rFonts w:hint="eastAsia" w:ascii="宋体" w:hAnsi="宋体" w:eastAsia="宋体" w:cs="宋体"/>
                <w:b w:val="0"/>
                <w:bCs w:val="0"/>
                <w:color w:val="000000"/>
                <w:szCs w:val="21"/>
              </w:rPr>
            </w:pPr>
            <w:r>
              <w:rPr>
                <w:rFonts w:hint="eastAsia" w:ascii="宋体" w:hAnsi="宋体" w:eastAsia="宋体" w:cs="宋体"/>
                <w:b w:val="0"/>
                <w:bCs w:val="0"/>
                <w:sz w:val="21"/>
                <w:szCs w:val="21"/>
              </w:rPr>
              <w:t>4.</w:t>
            </w:r>
            <w:r>
              <w:rPr>
                <w:rFonts w:hint="eastAsia" w:ascii="宋体" w:hAnsi="宋体" w:eastAsia="宋体" w:cs="宋体"/>
                <w:b w:val="0"/>
                <w:bCs w:val="0"/>
                <w:color w:val="000000"/>
                <w:szCs w:val="21"/>
              </w:rPr>
              <w:t xml:space="preserve"> 软件运行环境要求：</w:t>
            </w:r>
          </w:p>
          <w:p>
            <w:pPr>
              <w:widowControl/>
              <w:jc w:val="left"/>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a）内存：不低于4GB；</w:t>
            </w:r>
          </w:p>
          <w:p>
            <w:pPr>
              <w:widowControl/>
              <w:jc w:val="left"/>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b）硬盘:不低于32GB;</w:t>
            </w:r>
          </w:p>
          <w:p>
            <w:pPr>
              <w:widowControl/>
              <w:jc w:val="left"/>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c）显示器：分辨率不低于1920X1080 ；</w:t>
            </w:r>
          </w:p>
          <w:p>
            <w:pPr>
              <w:widowControl/>
              <w:jc w:val="left"/>
              <w:textAlignment w:val="center"/>
              <w:rPr>
                <w:rFonts w:hint="eastAsia" w:ascii="宋体" w:hAnsi="宋体" w:eastAsia="宋体" w:cs="宋体"/>
                <w:b w:val="0"/>
                <w:bCs w:val="0"/>
                <w:sz w:val="21"/>
                <w:szCs w:val="21"/>
              </w:rPr>
            </w:pPr>
            <w:r>
              <w:rPr>
                <w:rFonts w:hint="eastAsia" w:ascii="宋体" w:hAnsi="宋体" w:eastAsia="宋体" w:cs="宋体"/>
                <w:b w:val="0"/>
                <w:bCs w:val="0"/>
                <w:color w:val="000000"/>
                <w:szCs w:val="21"/>
              </w:rPr>
              <w:t>d）网络连接：适用于10M以上宽带或无线网络。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b w:val="0"/>
                <w:bCs w:val="0"/>
                <w:sz w:val="21"/>
                <w:szCs w:val="21"/>
              </w:rPr>
            </w:pPr>
          </w:p>
        </w:tc>
        <w:tc>
          <w:tcPr>
            <w:tcW w:w="5876" w:type="dxa"/>
            <w:vAlign w:val="center"/>
          </w:tcPr>
          <w:p>
            <w:pPr>
              <w:widowControl/>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color w:val="000000"/>
                <w:szCs w:val="21"/>
              </w:rPr>
              <w:t xml:space="preserve"> 训练设备：</w:t>
            </w:r>
            <w:r>
              <w:rPr>
                <w:rFonts w:hint="eastAsia" w:ascii="宋体" w:hAnsi="宋体" w:cs="宋体"/>
                <w:b w:val="0"/>
                <w:bCs w:val="0"/>
                <w:color w:val="000000"/>
                <w:szCs w:val="21"/>
                <w:lang w:val="en-US" w:eastAsia="zh-CN"/>
              </w:rPr>
              <w:t>可</w:t>
            </w:r>
            <w:r>
              <w:rPr>
                <w:rFonts w:hint="eastAsia" w:ascii="宋体" w:hAnsi="宋体" w:eastAsia="宋体" w:cs="宋体"/>
                <w:b w:val="0"/>
                <w:bCs w:val="0"/>
                <w:color w:val="000000"/>
                <w:szCs w:val="21"/>
              </w:rPr>
              <w:t>在符合规定硬件与系统配置要求的虚拟现实设备上运行，</w:t>
            </w:r>
            <w:r>
              <w:rPr>
                <w:rFonts w:hint="eastAsia" w:ascii="宋体" w:hAnsi="宋体" w:cs="宋体"/>
                <w:b w:val="0"/>
                <w:bCs w:val="0"/>
                <w:color w:val="000000"/>
                <w:szCs w:val="21"/>
                <w:lang w:val="en-US" w:eastAsia="zh-CN"/>
              </w:rPr>
              <w:t>能够</w:t>
            </w:r>
            <w:r>
              <w:rPr>
                <w:rFonts w:hint="eastAsia" w:ascii="宋体" w:hAnsi="宋体" w:eastAsia="宋体" w:cs="宋体"/>
                <w:b w:val="0"/>
                <w:bCs w:val="0"/>
                <w:color w:val="000000"/>
                <w:szCs w:val="21"/>
              </w:rPr>
              <w:t>通过高度沉浸的虚拟环境，以游戏化方式进行训练。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b w:val="0"/>
                <w:bCs w:val="0"/>
                <w:sz w:val="21"/>
                <w:szCs w:val="21"/>
              </w:rPr>
            </w:pPr>
          </w:p>
        </w:tc>
        <w:tc>
          <w:tcPr>
            <w:tcW w:w="5876" w:type="dxa"/>
            <w:vAlign w:val="center"/>
          </w:tcPr>
          <w:p>
            <w:pPr>
              <w:widowControl/>
              <w:jc w:val="left"/>
              <w:textAlignment w:val="center"/>
              <w:rPr>
                <w:rFonts w:hint="eastAsia" w:ascii="宋体" w:hAnsi="宋体" w:eastAsia="宋体" w:cs="宋体"/>
                <w:b w:val="0"/>
                <w:bCs w:val="0"/>
                <w:sz w:val="21"/>
                <w:szCs w:val="21"/>
              </w:rPr>
            </w:pPr>
            <w:r>
              <w:rPr>
                <w:rFonts w:hint="eastAsia" w:ascii="宋体" w:hAnsi="宋体" w:eastAsia="宋体" w:cs="宋体"/>
                <w:b w:val="0"/>
                <w:bCs w:val="0"/>
                <w:color w:val="000000"/>
                <w:szCs w:val="21"/>
              </w:rPr>
              <w:t>6. 训练刺激模式：</w:t>
            </w:r>
            <w:r>
              <w:rPr>
                <w:rFonts w:hint="eastAsia" w:ascii="宋体" w:hAnsi="宋体" w:eastAsia="宋体" w:cs="宋体"/>
                <w:b w:val="0"/>
                <w:bCs w:val="0"/>
                <w:color w:val="000000"/>
                <w:szCs w:val="21"/>
                <w:lang w:eastAsia="zh-CN"/>
              </w:rPr>
              <w:t>至少包含</w:t>
            </w:r>
            <w:r>
              <w:rPr>
                <w:rFonts w:hint="eastAsia" w:ascii="宋体" w:hAnsi="宋体" w:eastAsia="宋体" w:cs="宋体"/>
                <w:b w:val="0"/>
                <w:bCs w:val="0"/>
                <w:color w:val="000000"/>
                <w:szCs w:val="21"/>
              </w:rPr>
              <w:t>视觉刺激、视觉精细、同时视刺激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b w:val="0"/>
                <w:bCs w:val="0"/>
                <w:sz w:val="21"/>
                <w:szCs w:val="21"/>
              </w:rPr>
            </w:pPr>
          </w:p>
        </w:tc>
        <w:tc>
          <w:tcPr>
            <w:tcW w:w="5876" w:type="dxa"/>
            <w:vAlign w:val="center"/>
          </w:tcPr>
          <w:p>
            <w:pPr>
              <w:widowControl/>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r>
              <w:rPr>
                <w:rFonts w:hint="eastAsia" w:ascii="宋体" w:hAnsi="宋体" w:eastAsia="宋体" w:cs="宋体"/>
                <w:b w:val="0"/>
                <w:bCs w:val="0"/>
                <w:color w:val="000000"/>
                <w:szCs w:val="21"/>
              </w:rPr>
              <w:t xml:space="preserve"> 训练项目：训练项目不少于18个。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b w:val="0"/>
                <w:bCs w:val="0"/>
                <w:sz w:val="21"/>
                <w:szCs w:val="21"/>
              </w:rPr>
            </w:pPr>
          </w:p>
        </w:tc>
        <w:tc>
          <w:tcPr>
            <w:tcW w:w="5876" w:type="dxa"/>
            <w:vAlign w:val="center"/>
          </w:tcPr>
          <w:p>
            <w:pPr>
              <w:widowControl/>
              <w:jc w:val="left"/>
              <w:textAlignment w:val="center"/>
              <w:rPr>
                <w:rFonts w:hint="eastAsia" w:ascii="宋体" w:hAnsi="宋体" w:eastAsia="宋体" w:cs="宋体"/>
                <w:b w:val="0"/>
                <w:bCs w:val="0"/>
                <w:sz w:val="21"/>
                <w:szCs w:val="21"/>
              </w:rPr>
            </w:pPr>
            <w:r>
              <w:rPr>
                <w:rFonts w:hint="eastAsia" w:ascii="宋体" w:hAnsi="宋体" w:eastAsia="宋体" w:cs="宋体"/>
                <w:b w:val="0"/>
                <w:bCs w:val="0"/>
                <w:color w:val="FF0000"/>
                <w:spacing w:val="9"/>
                <w:kern w:val="0"/>
                <w:sz w:val="21"/>
                <w:szCs w:val="21"/>
              </w:rPr>
              <w:t>★</w:t>
            </w:r>
            <w:r>
              <w:rPr>
                <w:rFonts w:hint="eastAsia" w:ascii="宋体" w:hAnsi="宋体" w:cs="宋体"/>
                <w:b w:val="0"/>
                <w:bCs w:val="0"/>
                <w:color w:val="FF0000"/>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bookmarkEnd w:id="42"/>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5"/>
        <w:gridCol w:w="80"/>
        <w:gridCol w:w="1405"/>
        <w:gridCol w:w="206"/>
        <w:gridCol w:w="58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32"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6"/>
                <w:kern w:val="0"/>
                <w:sz w:val="21"/>
                <w:szCs w:val="21"/>
              </w:rPr>
              <w:t>序号</w:t>
            </w:r>
          </w:p>
        </w:tc>
        <w:tc>
          <w:tcPr>
            <w:tcW w:w="84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4"/>
                <w:kern w:val="0"/>
                <w:sz w:val="21"/>
                <w:szCs w:val="21"/>
              </w:rPr>
              <w:t>目录</w:t>
            </w:r>
          </w:p>
        </w:tc>
        <w:tc>
          <w:tcPr>
            <w:tcW w:w="3623"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position w:val="-1"/>
                <w:sz w:val="21"/>
                <w:szCs w:val="21"/>
              </w:rPr>
              <w:t>1</w:t>
            </w:r>
          </w:p>
        </w:tc>
        <w:tc>
          <w:tcPr>
            <w:tcW w:w="1016"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维修及维护服务</w:t>
            </w: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lang w:eastAsia="zh-CN"/>
              </w:rPr>
            </w:pPr>
            <w:r>
              <w:rPr>
                <w:rFonts w:hint="eastAsia" w:ascii="宋体" w:hAnsi="宋体" w:eastAsia="宋体" w:cs="宋体"/>
                <w:b/>
                <w:bCs/>
                <w:color w:val="FF0000"/>
                <w:spacing w:val="9"/>
                <w:kern w:val="0"/>
                <w:sz w:val="21"/>
                <w:szCs w:val="21"/>
              </w:rPr>
              <w:t>★1.1</w:t>
            </w:r>
            <w:r>
              <w:rPr>
                <w:rFonts w:hint="eastAsia" w:ascii="宋体" w:hAnsi="宋体" w:cs="宋体"/>
                <w:b/>
                <w:bCs/>
                <w:color w:val="FF0000"/>
                <w:spacing w:val="9"/>
                <w:kern w:val="0"/>
                <w:sz w:val="21"/>
                <w:szCs w:val="21"/>
                <w:lang w:eastAsia="zh-CN"/>
              </w:rPr>
              <w:t>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1.2由生产厂家提供售后服务，4小时内响应，24小时</w:t>
            </w:r>
            <w:r>
              <w:rPr>
                <w:rFonts w:hint="eastAsia" w:ascii="宋体" w:hAnsi="宋体" w:cs="宋体"/>
                <w:spacing w:val="9"/>
                <w:kern w:val="0"/>
                <w:sz w:val="21"/>
                <w:szCs w:val="21"/>
                <w:lang w:val="en-US" w:eastAsia="zh-CN"/>
              </w:rPr>
              <w:t>内</w:t>
            </w:r>
            <w:r>
              <w:rPr>
                <w:rFonts w:hint="eastAsia" w:ascii="宋体" w:hAnsi="宋体" w:eastAsia="宋体" w:cs="宋体"/>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1.3保修期内，生产厂家每年最少提供4次免费保养，执行QA，按照厂家标准进行调校，以及对数据库或软件等进行清理和备份，确认各项技术指标及性能，保养中需更换的损耗品由生产厂家免费提供。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w:t>
            </w:r>
            <w:r>
              <w:rPr>
                <w:rFonts w:hint="eastAsia" w:ascii="宋体" w:hAnsi="宋体" w:cs="宋体"/>
                <w:b w:val="0"/>
                <w:bCs w:val="0"/>
                <w:color w:val="FF0000"/>
                <w:spacing w:val="9"/>
                <w:kern w:val="0"/>
                <w:sz w:val="21"/>
                <w:szCs w:val="21"/>
                <w:lang w:eastAsia="zh-CN"/>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6"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维修服务和优惠</w:t>
            </w:r>
            <w:r>
              <w:rPr>
                <w:rFonts w:hint="eastAsia" w:ascii="宋体" w:hAnsi="宋体" w:eastAsia="宋体" w:cs="宋体"/>
                <w:spacing w:val="6"/>
                <w:kern w:val="0"/>
                <w:sz w:val="21"/>
                <w:szCs w:val="21"/>
              </w:rPr>
              <w:t>价格</w:t>
            </w: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1.1由生产厂家提供售后服务，4小时内响应，24小时</w:t>
            </w:r>
            <w:r>
              <w:rPr>
                <w:rFonts w:hint="eastAsia" w:ascii="宋体" w:hAnsi="宋体" w:cs="宋体"/>
                <w:spacing w:val="9"/>
                <w:kern w:val="0"/>
                <w:sz w:val="21"/>
                <w:szCs w:val="21"/>
                <w:lang w:val="en-US" w:eastAsia="zh-CN"/>
              </w:rPr>
              <w:t>内</w:t>
            </w:r>
            <w:r>
              <w:rPr>
                <w:rFonts w:hint="eastAsia" w:ascii="宋体" w:hAnsi="宋体" w:eastAsia="宋体" w:cs="宋体"/>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6"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交货要求</w:t>
            </w: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spacing w:val="8"/>
                <w:kern w:val="0"/>
                <w:sz w:val="21"/>
                <w:szCs w:val="21"/>
              </w:rPr>
              <w:t>1.1投标人在签订合同之日起</w:t>
            </w:r>
            <w:r>
              <w:rPr>
                <w:rFonts w:hint="eastAsia" w:ascii="宋体" w:hAnsi="宋体" w:eastAsia="宋体" w:cs="宋体"/>
                <w:b/>
                <w:bCs/>
                <w:spacing w:val="8"/>
                <w:kern w:val="0"/>
                <w:sz w:val="21"/>
                <w:szCs w:val="21"/>
                <w:lang w:val="en-US" w:eastAsia="zh-CN"/>
              </w:rPr>
              <w:t>30</w:t>
            </w:r>
            <w:r>
              <w:rPr>
                <w:rFonts w:hint="eastAsia" w:ascii="宋体" w:hAnsi="宋体" w:eastAsia="宋体" w:cs="宋体"/>
                <w:b/>
                <w:bCs/>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16"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运输、安装和验收</w:t>
            </w: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2.6由投标人代表、厂家代表和采购人组成验收小组对产品进行验收。验收标准按照产品技术参数要求和合同约定执行。经检验设备正常运作后签署验收报告，产品保修期自验收合格之日起算。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016"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付款方式</w:t>
            </w:r>
          </w:p>
        </w:tc>
        <w:tc>
          <w:tcPr>
            <w:tcW w:w="582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将货物运至指定地点、完成安装调试、设备运行合格并通过验收后，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yellow"/>
                <w:lang w:eastAsia="zh-CN"/>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016"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履约保证金</w:t>
            </w:r>
          </w:p>
        </w:tc>
        <w:tc>
          <w:tcPr>
            <w:tcW w:w="582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yellow"/>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016"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5"/>
                <w:kern w:val="0"/>
                <w:sz w:val="21"/>
                <w:szCs w:val="21"/>
              </w:rPr>
              <w:t>培训</w:t>
            </w:r>
          </w:p>
        </w:tc>
        <w:tc>
          <w:tcPr>
            <w:tcW w:w="349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6"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知识产权</w:t>
            </w: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49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6"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其他</w:t>
            </w:r>
          </w:p>
        </w:tc>
        <w:tc>
          <w:tcPr>
            <w:tcW w:w="349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499"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499"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auto"/>
                <w:spacing w:val="9"/>
                <w:kern w:val="0"/>
                <w:sz w:val="21"/>
                <w:szCs w:val="21"/>
              </w:rPr>
              <w:t>★</w:t>
            </w:r>
            <w:r>
              <w:rPr>
                <w:rFonts w:hint="eastAsia" w:ascii="宋体" w:hAnsi="宋体" w:cs="宋体"/>
                <w:color w:val="auto"/>
                <w:sz w:val="21"/>
                <w:szCs w:val="21"/>
                <w:lang w:val="en-US" w:eastAsia="zh-CN"/>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w:t>
      </w:r>
      <w:bookmarkStart w:id="47" w:name="OLE_LINK2"/>
      <w:r>
        <w:rPr>
          <w:rFonts w:hint="eastAsia"/>
          <w:szCs w:val="21"/>
        </w:rPr>
        <w:t>项目详细报价</w:t>
      </w:r>
      <w:bookmarkEnd w:id="47"/>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48" w:name="OLE_LINK3"/>
      <w:r>
        <w:rPr>
          <w:rFonts w:hint="eastAsia"/>
          <w:szCs w:val="21"/>
        </w:rPr>
        <w:t>项目实施方案</w:t>
      </w:r>
      <w:bookmarkEnd w:id="48"/>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）免费保修期时长</w:t>
      </w:r>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w:t>
      </w:r>
      <w:bookmarkStart w:id="49" w:name="OLE_LINK4"/>
      <w:r>
        <w:rPr>
          <w:rFonts w:hint="eastAsia"/>
          <w:szCs w:val="21"/>
        </w:rPr>
        <w:t>同类业绩</w:t>
      </w:r>
      <w:bookmarkEnd w:id="49"/>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50" w:name="OLE_LINK5"/>
      <w:r>
        <w:rPr>
          <w:rFonts w:hint="eastAsia"/>
          <w:szCs w:val="21"/>
        </w:rPr>
        <w:t>投标人认为需要加以说明的其他内容</w:t>
      </w:r>
      <w:bookmarkEnd w:id="50"/>
    </w:p>
    <w:bookmarkEnd w:id="43"/>
    <w:p>
      <w:pPr>
        <w:ind w:left="718" w:leftChars="342" w:firstLine="1417" w:firstLineChars="675"/>
        <w:rPr>
          <w:szCs w:val="21"/>
        </w:rPr>
      </w:pPr>
    </w:p>
    <w:p>
      <w:pPr>
        <w:ind w:firstLine="426" w:firstLineChars="202"/>
        <w:rPr>
          <w:rFonts w:ascii="宋体" w:hAnsi="宋体"/>
          <w:b/>
          <w:szCs w:val="21"/>
        </w:rPr>
      </w:pPr>
      <w:bookmarkStart w:id="51"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2" w:name="_Hlk72263559"/>
      <w:r>
        <w:rPr>
          <w:rFonts w:hint="eastAsia" w:ascii="宋体" w:hAnsi="宋体"/>
          <w:b/>
          <w:szCs w:val="21"/>
        </w:rPr>
        <w:t>2.关于填写“开标一览表”的说明：“开标一览表”中除“投标总价”外，其他信息不作评审依据。</w:t>
      </w:r>
      <w:bookmarkEnd w:id="51"/>
      <w:bookmarkEnd w:id="52"/>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3"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4"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5" w:name="_Hlk72263588"/>
      <w:r>
        <w:rPr>
          <w:rFonts w:hint="eastAsia"/>
          <w:szCs w:val="21"/>
        </w:rPr>
        <w:t>愿意按照招标文件要求承包上述项目并修补其任何缺陷。</w:t>
      </w:r>
      <w:bookmarkEnd w:id="55"/>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6"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6"/>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4"/>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3"/>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7"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8" w:name="_Hlk72587269"/>
      <w:bookmarkStart w:id="59"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8"/>
      <w:r>
        <w:rPr>
          <w:rFonts w:hint="eastAsia" w:ascii="宋体" w:hAnsi="宋体"/>
          <w:szCs w:val="21"/>
        </w:rPr>
        <w:t>。</w:t>
      </w:r>
    </w:p>
    <w:bookmarkEnd w:id="59"/>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7"/>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60"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1" w:name="_Hlk72257908"/>
      <w:r>
        <w:rPr>
          <w:rFonts w:hint="eastAsia" w:ascii="黑体" w:hAnsi="宋体" w:eastAsia="黑体"/>
          <w:bCs/>
          <w:kern w:val="0"/>
          <w:sz w:val="24"/>
          <w:szCs w:val="32"/>
        </w:rPr>
        <w:t>（二）中小企业声明函、残疾人福利性单位声明函及监狱企业声明函</w:t>
      </w:r>
    </w:p>
    <w:bookmarkEnd w:id="60"/>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2"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2"/>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3" w:name="_Hlk73562331"/>
      <w:bookmarkStart w:id="64"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3"/>
    </w:p>
    <w:bookmarkEnd w:id="64"/>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1"/>
    </w:p>
    <w:p>
      <w:pPr>
        <w:pStyle w:val="3"/>
        <w:jc w:val="center"/>
        <w:rPr>
          <w:rFonts w:ascii="黑体" w:eastAsia="黑体"/>
          <w:b w:val="0"/>
          <w:sz w:val="24"/>
          <w:szCs w:val="24"/>
        </w:rPr>
      </w:pPr>
      <w:bookmarkStart w:id="65"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852"/>
        <w:gridCol w:w="852"/>
        <w:gridCol w:w="852"/>
        <w:gridCol w:w="852"/>
        <w:gridCol w:w="852"/>
        <w:gridCol w:w="852"/>
        <w:gridCol w:w="852"/>
        <w:gridCol w:w="852"/>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视觉功能训练治疗软件</w:t>
            </w:r>
            <w:r>
              <w:rPr>
                <w:rFonts w:hint="default" w:ascii="Times New Roman" w:hAnsi="Times New Roman" w:eastAsia="宋体" w:cs="Times New Roman"/>
                <w:i w:val="0"/>
                <w:iCs w:val="0"/>
                <w:color w:val="000000"/>
                <w:kern w:val="0"/>
                <w:sz w:val="21"/>
                <w:szCs w:val="21"/>
                <w:u w:val="none"/>
                <w:lang w:val="en-US" w:eastAsia="zh-CN" w:bidi="ar"/>
              </w:rPr>
              <w:t>VR</w:t>
            </w:r>
            <w:r>
              <w:rPr>
                <w:rFonts w:hint="eastAsia" w:ascii="宋体" w:hAnsi="宋体" w:eastAsia="宋体" w:cs="宋体"/>
                <w:i w:val="0"/>
                <w:iCs w:val="0"/>
                <w:color w:val="000000"/>
                <w:kern w:val="0"/>
                <w:sz w:val="21"/>
                <w:szCs w:val="21"/>
                <w:u w:val="none"/>
                <w:lang w:val="en-US" w:eastAsia="zh-CN" w:bidi="ar"/>
              </w:rPr>
              <w:t>设备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6"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6"/>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7" w:name="_Hlk72073235"/>
      <w:r>
        <w:rPr>
          <w:rFonts w:hint="eastAsia"/>
          <w:b/>
          <w:sz w:val="24"/>
        </w:rPr>
        <w:t>投标人认为需要涉及的其他内容报价清单</w:t>
      </w:r>
      <w:bookmarkEnd w:id="67"/>
    </w:p>
    <w:p>
      <w:pPr>
        <w:rPr>
          <w:b/>
          <w:bCs/>
        </w:rPr>
      </w:pPr>
    </w:p>
    <w:bookmarkEnd w:id="65"/>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8"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9" w:name="_Hlk72092499"/>
      <w:r>
        <w:rPr>
          <w:rFonts w:hint="eastAsia" w:ascii="黑体" w:eastAsia="黑体"/>
          <w:b w:val="0"/>
          <w:sz w:val="24"/>
        </w:rPr>
        <w:t>法定代表人（负责人）证明书</w:t>
      </w:r>
      <w:bookmarkEnd w:id="69"/>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70" w:name="_Hlk72092634"/>
      <w:r>
        <w:rPr>
          <w:rFonts w:hint="eastAsia" w:ascii="黑体" w:eastAsia="黑体"/>
          <w:b w:val="0"/>
          <w:kern w:val="0"/>
          <w:sz w:val="24"/>
          <w:szCs w:val="24"/>
        </w:rPr>
        <w:t>实质性条款响应情况表</w:t>
      </w:r>
      <w:bookmarkEnd w:id="70"/>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766"/>
        <w:gridCol w:w="1648"/>
        <w:gridCol w:w="191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pPr>
              <w:adjustRightInd w:val="0"/>
              <w:snapToGrid w:val="0"/>
              <w:spacing w:line="360" w:lineRule="auto"/>
              <w:jc w:val="center"/>
              <w:rPr>
                <w:rFonts w:ascii="宋体" w:hAnsi="宋体"/>
                <w:b w:val="0"/>
                <w:bCs w:val="0"/>
                <w:color w:val="auto"/>
                <w:kern w:val="0"/>
                <w:szCs w:val="21"/>
              </w:rPr>
            </w:pPr>
            <w:bookmarkStart w:id="143" w:name="_GoBack"/>
            <w:bookmarkStart w:id="71" w:name="_Hlk72092651"/>
            <w:r>
              <w:rPr>
                <w:rFonts w:hint="eastAsia" w:ascii="宋体" w:hAnsi="宋体"/>
                <w:b w:val="0"/>
                <w:bCs w:val="0"/>
                <w:color w:val="auto"/>
                <w:kern w:val="0"/>
                <w:szCs w:val="21"/>
              </w:rPr>
              <w:t>序号</w:t>
            </w:r>
          </w:p>
        </w:tc>
        <w:tc>
          <w:tcPr>
            <w:tcW w:w="1621" w:type="pct"/>
            <w:vAlign w:val="center"/>
          </w:tcPr>
          <w:p>
            <w:pPr>
              <w:adjustRightInd w:val="0"/>
              <w:snapToGrid w:val="0"/>
              <w:spacing w:line="360" w:lineRule="auto"/>
              <w:jc w:val="center"/>
              <w:rPr>
                <w:rFonts w:ascii="宋体" w:hAnsi="宋体"/>
                <w:b w:val="0"/>
                <w:bCs w:val="0"/>
                <w:color w:val="auto"/>
                <w:kern w:val="0"/>
                <w:szCs w:val="21"/>
              </w:rPr>
            </w:pPr>
            <w:r>
              <w:rPr>
                <w:rFonts w:hint="eastAsia" w:ascii="宋体" w:hAnsi="宋体"/>
                <w:b w:val="0"/>
                <w:bCs w:val="0"/>
                <w:color w:val="auto"/>
                <w:kern w:val="0"/>
                <w:szCs w:val="21"/>
              </w:rPr>
              <w:t>实质性条款具体内容</w:t>
            </w:r>
          </w:p>
        </w:tc>
        <w:tc>
          <w:tcPr>
            <w:tcW w:w="966" w:type="pct"/>
            <w:vAlign w:val="center"/>
          </w:tcPr>
          <w:p>
            <w:pPr>
              <w:adjustRightInd w:val="0"/>
              <w:snapToGrid w:val="0"/>
              <w:spacing w:line="360" w:lineRule="auto"/>
              <w:jc w:val="center"/>
              <w:rPr>
                <w:rFonts w:ascii="宋体" w:hAnsi="宋体"/>
                <w:b w:val="0"/>
                <w:bCs w:val="0"/>
                <w:color w:val="auto"/>
                <w:kern w:val="0"/>
                <w:szCs w:val="21"/>
              </w:rPr>
            </w:pPr>
            <w:r>
              <w:rPr>
                <w:rFonts w:hint="eastAsia"/>
                <w:b w:val="0"/>
                <w:bCs w:val="0"/>
                <w:color w:val="auto"/>
              </w:rPr>
              <w:t>投标响应</w:t>
            </w:r>
          </w:p>
        </w:tc>
        <w:tc>
          <w:tcPr>
            <w:tcW w:w="1120" w:type="pct"/>
            <w:vAlign w:val="center"/>
          </w:tcPr>
          <w:p>
            <w:pPr>
              <w:adjustRightInd w:val="0"/>
              <w:snapToGrid w:val="0"/>
              <w:spacing w:line="360" w:lineRule="auto"/>
              <w:jc w:val="center"/>
              <w:rPr>
                <w:rFonts w:ascii="宋体" w:hAnsi="宋体"/>
                <w:b w:val="0"/>
                <w:bCs w:val="0"/>
                <w:color w:val="auto"/>
                <w:kern w:val="0"/>
                <w:szCs w:val="21"/>
              </w:rPr>
            </w:pPr>
            <w:r>
              <w:rPr>
                <w:rFonts w:hint="eastAsia"/>
                <w:b w:val="0"/>
                <w:bCs w:val="0"/>
                <w:color w:val="auto"/>
              </w:rPr>
              <w:t>偏离情况</w:t>
            </w:r>
          </w:p>
        </w:tc>
        <w:tc>
          <w:tcPr>
            <w:tcW w:w="862" w:type="pct"/>
            <w:vAlign w:val="center"/>
          </w:tcPr>
          <w:p>
            <w:pPr>
              <w:adjustRightInd w:val="0"/>
              <w:snapToGrid w:val="0"/>
              <w:spacing w:line="360" w:lineRule="auto"/>
              <w:jc w:val="center"/>
              <w:rPr>
                <w:rFonts w:ascii="宋体" w:hAnsi="宋体"/>
                <w:b w:val="0"/>
                <w:bCs w:val="0"/>
                <w:color w:val="auto"/>
                <w:kern w:val="0"/>
                <w:szCs w:val="21"/>
              </w:rPr>
            </w:pPr>
            <w:r>
              <w:rPr>
                <w:rFonts w:hint="eastAsia"/>
                <w:b w:val="0"/>
                <w:bCs w:val="0"/>
                <w:color w:val="auto"/>
              </w:rPr>
              <w:t>说明</w:t>
            </w:r>
          </w:p>
        </w:tc>
      </w:tr>
      <w:bookmark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adjustRightInd w:val="0"/>
              <w:snapToGrid w:val="0"/>
              <w:spacing w:line="360" w:lineRule="auto"/>
              <w:rPr>
                <w:rFonts w:ascii="宋体" w:hAnsi="宋体"/>
                <w:b w:val="0"/>
                <w:bCs w:val="0"/>
                <w:color w:val="auto"/>
                <w:kern w:val="0"/>
                <w:szCs w:val="21"/>
              </w:rPr>
            </w:pPr>
            <w:r>
              <w:rPr>
                <w:rFonts w:hint="eastAsia" w:ascii="宋体" w:hAnsi="宋体"/>
                <w:b w:val="0"/>
                <w:bCs w:val="0"/>
                <w:color w:val="auto"/>
                <w:kern w:val="0"/>
                <w:szCs w:val="21"/>
              </w:rPr>
              <w:t>1</w:t>
            </w:r>
          </w:p>
        </w:tc>
        <w:tc>
          <w:tcPr>
            <w:tcW w:w="1621" w:type="pct"/>
            <w:vAlign w:val="center"/>
          </w:tcPr>
          <w:p>
            <w:pPr>
              <w:widowControl/>
              <w:jc w:val="left"/>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966" w:type="pct"/>
          </w:tcPr>
          <w:p>
            <w:pPr>
              <w:adjustRightInd w:val="0"/>
              <w:snapToGrid w:val="0"/>
              <w:spacing w:line="360" w:lineRule="auto"/>
              <w:rPr>
                <w:rFonts w:ascii="宋体" w:hAnsi="宋体"/>
                <w:b w:val="0"/>
                <w:bCs w:val="0"/>
                <w:color w:val="auto"/>
                <w:kern w:val="0"/>
                <w:szCs w:val="21"/>
              </w:rPr>
            </w:pPr>
          </w:p>
        </w:tc>
        <w:tc>
          <w:tcPr>
            <w:tcW w:w="1120" w:type="pct"/>
          </w:tcPr>
          <w:p>
            <w:pPr>
              <w:adjustRightInd w:val="0"/>
              <w:snapToGrid w:val="0"/>
              <w:spacing w:line="360" w:lineRule="auto"/>
              <w:rPr>
                <w:rFonts w:ascii="宋体" w:hAnsi="宋体"/>
                <w:b w:val="0"/>
                <w:bCs w:val="0"/>
                <w:color w:val="auto"/>
                <w:kern w:val="0"/>
                <w:szCs w:val="21"/>
              </w:rPr>
            </w:pPr>
          </w:p>
        </w:tc>
        <w:tc>
          <w:tcPr>
            <w:tcW w:w="862" w:type="pct"/>
          </w:tcPr>
          <w:p>
            <w:pPr>
              <w:adjustRightInd w:val="0"/>
              <w:snapToGrid w:val="0"/>
              <w:spacing w:line="36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adjustRightInd w:val="0"/>
              <w:snapToGrid w:val="0"/>
              <w:spacing w:line="360" w:lineRule="auto"/>
              <w:rPr>
                <w:rFonts w:ascii="宋体" w:hAnsi="宋体"/>
                <w:b w:val="0"/>
                <w:bCs w:val="0"/>
                <w:color w:val="auto"/>
                <w:kern w:val="0"/>
                <w:szCs w:val="21"/>
              </w:rPr>
            </w:pPr>
            <w:r>
              <w:rPr>
                <w:rFonts w:hint="eastAsia" w:ascii="宋体" w:hAnsi="宋体"/>
                <w:b w:val="0"/>
                <w:bCs w:val="0"/>
                <w:color w:val="auto"/>
                <w:kern w:val="0"/>
                <w:szCs w:val="21"/>
              </w:rPr>
              <w:t>2</w:t>
            </w:r>
          </w:p>
        </w:tc>
        <w:tc>
          <w:tcPr>
            <w:tcW w:w="1621" w:type="pct"/>
            <w:vAlign w:val="center"/>
          </w:tcPr>
          <w:p>
            <w:pPr>
              <w:widowControl/>
              <w:jc w:val="left"/>
              <w:textAlignment w:val="center"/>
              <w:rPr>
                <w:rFonts w:hint="eastAsia" w:ascii="宋体" w:hAnsi="宋体" w:eastAsia="宋体" w:cs="宋体"/>
                <w:b w:val="0"/>
                <w:bCs w:val="0"/>
                <w:color w:val="auto"/>
                <w:spacing w:val="9"/>
                <w:kern w:val="0"/>
                <w:sz w:val="21"/>
                <w:szCs w:val="21"/>
                <w:lang w:val="en-US" w:eastAsia="zh-CN" w:bidi="ar-SA"/>
              </w:rPr>
            </w:pPr>
            <w:r>
              <w:rPr>
                <w:rFonts w:hint="eastAsia" w:ascii="宋体" w:hAnsi="宋体" w:cs="宋体"/>
                <w:b w:val="0"/>
                <w:bCs w:val="0"/>
                <w:color w:val="auto"/>
                <w:spacing w:val="9"/>
                <w:kern w:val="0"/>
                <w:sz w:val="21"/>
                <w:szCs w:val="21"/>
                <w:lang w:val="en-US" w:eastAsia="zh-CN"/>
              </w:rPr>
              <w:t>1.5</w:t>
            </w:r>
            <w:r>
              <w:rPr>
                <w:rFonts w:hint="eastAsia" w:ascii="宋体" w:hAnsi="宋体" w:cs="宋体"/>
                <w:b w:val="0"/>
                <w:bCs w:val="0"/>
                <w:color w:val="auto"/>
                <w:spacing w:val="9"/>
                <w:kern w:val="0"/>
                <w:sz w:val="21"/>
                <w:szCs w:val="21"/>
                <w:lang w:eastAsia="zh-CN"/>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966" w:type="pct"/>
          </w:tcPr>
          <w:p>
            <w:pPr>
              <w:adjustRightInd w:val="0"/>
              <w:snapToGrid w:val="0"/>
              <w:spacing w:line="360" w:lineRule="auto"/>
              <w:rPr>
                <w:rFonts w:ascii="宋体" w:hAnsi="宋体"/>
                <w:b w:val="0"/>
                <w:bCs w:val="0"/>
                <w:color w:val="auto"/>
                <w:kern w:val="0"/>
                <w:szCs w:val="21"/>
              </w:rPr>
            </w:pPr>
          </w:p>
        </w:tc>
        <w:tc>
          <w:tcPr>
            <w:tcW w:w="1120" w:type="pct"/>
          </w:tcPr>
          <w:p>
            <w:pPr>
              <w:adjustRightInd w:val="0"/>
              <w:snapToGrid w:val="0"/>
              <w:spacing w:line="360" w:lineRule="auto"/>
              <w:rPr>
                <w:rFonts w:ascii="宋体" w:hAnsi="宋体"/>
                <w:b w:val="0"/>
                <w:bCs w:val="0"/>
                <w:color w:val="auto"/>
                <w:kern w:val="0"/>
                <w:szCs w:val="21"/>
              </w:rPr>
            </w:pPr>
          </w:p>
        </w:tc>
        <w:tc>
          <w:tcPr>
            <w:tcW w:w="862" w:type="pct"/>
          </w:tcPr>
          <w:p>
            <w:pPr>
              <w:adjustRightInd w:val="0"/>
              <w:snapToGrid w:val="0"/>
              <w:spacing w:line="36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adjustRightInd w:val="0"/>
              <w:snapToGrid w:val="0"/>
              <w:spacing w:line="36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3</w:t>
            </w:r>
          </w:p>
        </w:tc>
        <w:tc>
          <w:tcPr>
            <w:tcW w:w="1621" w:type="pct"/>
            <w:vAlign w:val="center"/>
          </w:tcPr>
          <w:p>
            <w:pPr>
              <w:widowControl/>
              <w:jc w:val="left"/>
              <w:textAlignment w:val="center"/>
              <w:rPr>
                <w:rFonts w:hint="eastAsia" w:ascii="宋体" w:hAnsi="宋体" w:cs="宋体"/>
                <w:b w:val="0"/>
                <w:bCs w:val="0"/>
                <w:color w:val="auto"/>
                <w:spacing w:val="9"/>
                <w:kern w:val="0"/>
                <w:sz w:val="21"/>
                <w:szCs w:val="21"/>
                <w:lang w:val="en-US" w:eastAsia="zh-CN"/>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c>
          <w:tcPr>
            <w:tcW w:w="966" w:type="pct"/>
          </w:tcPr>
          <w:p>
            <w:pPr>
              <w:adjustRightInd w:val="0"/>
              <w:snapToGrid w:val="0"/>
              <w:spacing w:line="360" w:lineRule="auto"/>
              <w:rPr>
                <w:rFonts w:ascii="宋体" w:hAnsi="宋体"/>
                <w:b w:val="0"/>
                <w:bCs w:val="0"/>
                <w:color w:val="auto"/>
                <w:kern w:val="0"/>
                <w:szCs w:val="21"/>
              </w:rPr>
            </w:pPr>
          </w:p>
        </w:tc>
        <w:tc>
          <w:tcPr>
            <w:tcW w:w="1120" w:type="pct"/>
          </w:tcPr>
          <w:p>
            <w:pPr>
              <w:adjustRightInd w:val="0"/>
              <w:snapToGrid w:val="0"/>
              <w:spacing w:line="360" w:lineRule="auto"/>
              <w:rPr>
                <w:rFonts w:ascii="宋体" w:hAnsi="宋体"/>
                <w:b w:val="0"/>
                <w:bCs w:val="0"/>
                <w:color w:val="auto"/>
                <w:kern w:val="0"/>
                <w:szCs w:val="21"/>
              </w:rPr>
            </w:pPr>
          </w:p>
        </w:tc>
        <w:tc>
          <w:tcPr>
            <w:tcW w:w="862" w:type="pct"/>
          </w:tcPr>
          <w:p>
            <w:pPr>
              <w:adjustRightInd w:val="0"/>
              <w:snapToGrid w:val="0"/>
              <w:spacing w:line="36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adjustRightInd w:val="0"/>
              <w:snapToGrid w:val="0"/>
              <w:spacing w:line="360" w:lineRule="auto"/>
              <w:rPr>
                <w:rFonts w:hint="eastAsia" w:ascii="宋体" w:hAnsi="宋体" w:eastAsia="宋体"/>
                <w:b w:val="0"/>
                <w:bCs w:val="0"/>
                <w:color w:val="auto"/>
                <w:kern w:val="0"/>
                <w:szCs w:val="21"/>
                <w:lang w:eastAsia="zh-CN"/>
              </w:rPr>
            </w:pPr>
            <w:r>
              <w:rPr>
                <w:rFonts w:hint="eastAsia" w:ascii="宋体" w:hAnsi="宋体"/>
                <w:b w:val="0"/>
                <w:bCs w:val="0"/>
                <w:color w:val="auto"/>
                <w:kern w:val="0"/>
                <w:szCs w:val="21"/>
                <w:lang w:val="en-US" w:eastAsia="zh-CN"/>
              </w:rPr>
              <w:t>4</w:t>
            </w:r>
          </w:p>
        </w:tc>
        <w:tc>
          <w:tcPr>
            <w:tcW w:w="1621" w:type="pct"/>
            <w:vAlign w:val="center"/>
          </w:tcPr>
          <w:p>
            <w:pPr>
              <w:adjustRightInd w:val="0"/>
              <w:snapToGrid w:val="0"/>
              <w:spacing w:line="240" w:lineRule="auto"/>
              <w:jc w:val="left"/>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★1.1</w:t>
            </w:r>
            <w:r>
              <w:rPr>
                <w:rFonts w:hint="eastAsia" w:ascii="宋体" w:hAnsi="宋体" w:cs="宋体"/>
                <w:b w:val="0"/>
                <w:bCs w:val="0"/>
                <w:color w:val="auto"/>
                <w:spacing w:val="9"/>
                <w:kern w:val="0"/>
                <w:sz w:val="21"/>
                <w:szCs w:val="21"/>
                <w:lang w:eastAsia="zh-CN"/>
              </w:rPr>
              <w:t>提供主机及配件免费保修期5年，保修期以验收合格，双方代表签署“验收报告”之日起计算。</w:t>
            </w:r>
          </w:p>
        </w:tc>
        <w:tc>
          <w:tcPr>
            <w:tcW w:w="966" w:type="pct"/>
          </w:tcPr>
          <w:p>
            <w:pPr>
              <w:adjustRightInd w:val="0"/>
              <w:snapToGrid w:val="0"/>
              <w:spacing w:line="360" w:lineRule="auto"/>
              <w:rPr>
                <w:rFonts w:ascii="宋体" w:hAnsi="宋体"/>
                <w:b w:val="0"/>
                <w:bCs w:val="0"/>
                <w:color w:val="auto"/>
                <w:kern w:val="0"/>
                <w:szCs w:val="21"/>
              </w:rPr>
            </w:pPr>
          </w:p>
        </w:tc>
        <w:tc>
          <w:tcPr>
            <w:tcW w:w="1120" w:type="pct"/>
          </w:tcPr>
          <w:p>
            <w:pPr>
              <w:adjustRightInd w:val="0"/>
              <w:snapToGrid w:val="0"/>
              <w:spacing w:line="360" w:lineRule="auto"/>
              <w:rPr>
                <w:rFonts w:ascii="宋体" w:hAnsi="宋体"/>
                <w:b w:val="0"/>
                <w:bCs w:val="0"/>
                <w:color w:val="auto"/>
                <w:kern w:val="0"/>
                <w:szCs w:val="21"/>
              </w:rPr>
            </w:pPr>
          </w:p>
        </w:tc>
        <w:tc>
          <w:tcPr>
            <w:tcW w:w="862" w:type="pct"/>
          </w:tcPr>
          <w:p>
            <w:pPr>
              <w:adjustRightInd w:val="0"/>
              <w:snapToGrid w:val="0"/>
              <w:spacing w:line="36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adjustRightInd w:val="0"/>
              <w:snapToGrid w:val="0"/>
              <w:spacing w:line="36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1621" w:type="pct"/>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966" w:type="pct"/>
          </w:tcPr>
          <w:p>
            <w:pPr>
              <w:adjustRightInd w:val="0"/>
              <w:snapToGrid w:val="0"/>
              <w:spacing w:line="360" w:lineRule="auto"/>
              <w:rPr>
                <w:rFonts w:ascii="宋体" w:hAnsi="宋体"/>
                <w:b w:val="0"/>
                <w:bCs w:val="0"/>
                <w:color w:val="auto"/>
                <w:kern w:val="0"/>
                <w:szCs w:val="21"/>
              </w:rPr>
            </w:pPr>
          </w:p>
        </w:tc>
        <w:tc>
          <w:tcPr>
            <w:tcW w:w="1120" w:type="pct"/>
          </w:tcPr>
          <w:p>
            <w:pPr>
              <w:adjustRightInd w:val="0"/>
              <w:snapToGrid w:val="0"/>
              <w:spacing w:line="360" w:lineRule="auto"/>
              <w:rPr>
                <w:rFonts w:ascii="宋体" w:hAnsi="宋体"/>
                <w:b w:val="0"/>
                <w:bCs w:val="0"/>
                <w:color w:val="auto"/>
                <w:kern w:val="0"/>
                <w:szCs w:val="21"/>
              </w:rPr>
            </w:pPr>
          </w:p>
        </w:tc>
        <w:tc>
          <w:tcPr>
            <w:tcW w:w="862" w:type="pct"/>
          </w:tcPr>
          <w:p>
            <w:pPr>
              <w:adjustRightInd w:val="0"/>
              <w:snapToGrid w:val="0"/>
              <w:spacing w:line="36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adjustRightInd w:val="0"/>
              <w:snapToGrid w:val="0"/>
              <w:spacing w:line="36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6</w:t>
            </w:r>
          </w:p>
        </w:tc>
        <w:tc>
          <w:tcPr>
            <w:tcW w:w="1621" w:type="pct"/>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z w:val="21"/>
                <w:szCs w:val="21"/>
                <w:lang w:val="en-US" w:eastAsia="zh-CN"/>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966" w:type="pct"/>
          </w:tcPr>
          <w:p>
            <w:pPr>
              <w:adjustRightInd w:val="0"/>
              <w:snapToGrid w:val="0"/>
              <w:spacing w:line="360" w:lineRule="auto"/>
              <w:rPr>
                <w:rFonts w:ascii="宋体" w:hAnsi="宋体"/>
                <w:b w:val="0"/>
                <w:bCs w:val="0"/>
                <w:color w:val="auto"/>
                <w:kern w:val="0"/>
                <w:szCs w:val="21"/>
              </w:rPr>
            </w:pPr>
          </w:p>
        </w:tc>
        <w:tc>
          <w:tcPr>
            <w:tcW w:w="1120" w:type="pct"/>
          </w:tcPr>
          <w:p>
            <w:pPr>
              <w:adjustRightInd w:val="0"/>
              <w:snapToGrid w:val="0"/>
              <w:spacing w:line="360" w:lineRule="auto"/>
              <w:rPr>
                <w:rFonts w:ascii="宋体" w:hAnsi="宋体"/>
                <w:b w:val="0"/>
                <w:bCs w:val="0"/>
                <w:color w:val="auto"/>
                <w:kern w:val="0"/>
                <w:szCs w:val="21"/>
              </w:rPr>
            </w:pPr>
          </w:p>
        </w:tc>
        <w:tc>
          <w:tcPr>
            <w:tcW w:w="862" w:type="pct"/>
          </w:tcPr>
          <w:p>
            <w:pPr>
              <w:adjustRightInd w:val="0"/>
              <w:snapToGrid w:val="0"/>
              <w:spacing w:line="360" w:lineRule="auto"/>
              <w:rPr>
                <w:rFonts w:ascii="宋体" w:hAnsi="宋体"/>
                <w:b w:val="0"/>
                <w:bCs w:val="0"/>
                <w:color w:val="auto"/>
                <w:kern w:val="0"/>
                <w:szCs w:val="21"/>
              </w:rPr>
            </w:pPr>
          </w:p>
        </w:tc>
      </w:tr>
      <w:bookmarkEnd w:id="143"/>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8"/>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34"/>
        <w:gridCol w:w="1916"/>
        <w:gridCol w:w="1916"/>
        <w:gridCol w:w="1917"/>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55" w:type="pct"/>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12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招标技术要求</w:t>
            </w:r>
          </w:p>
        </w:tc>
        <w:tc>
          <w:tcPr>
            <w:tcW w:w="1123"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投标技术响应</w:t>
            </w:r>
          </w:p>
        </w:tc>
        <w:tc>
          <w:tcPr>
            <w:tcW w:w="1123"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偏离情况</w:t>
            </w:r>
          </w:p>
        </w:tc>
        <w:tc>
          <w:tcPr>
            <w:tcW w:w="1123"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55" w:type="pct"/>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视觉功能训练治疗软件VR设备</w:t>
            </w:r>
          </w:p>
        </w:tc>
        <w:tc>
          <w:tcPr>
            <w:tcW w:w="1123" w:type="pct"/>
            <w:vAlign w:val="center"/>
          </w:tcPr>
          <w:p>
            <w:pPr>
              <w:pStyle w:val="75"/>
              <w:numPr>
                <w:ilvl w:val="0"/>
                <w:numId w:val="0"/>
              </w:numPr>
              <w:ind w:left="360" w:hanging="360" w:firstLineChars="0"/>
              <w:jc w:val="both"/>
              <w:rPr>
                <w:rFonts w:hint="eastAsia" w:ascii="宋体" w:hAnsi="宋体" w:eastAsia="宋体" w:cs="宋体"/>
                <w:color w:val="000000"/>
                <w:sz w:val="21"/>
                <w:szCs w:val="21"/>
              </w:rPr>
            </w:pPr>
            <w:r>
              <w:rPr>
                <w:rFonts w:hint="eastAsia" w:ascii="宋体" w:hAnsi="宋体" w:cs="宋体"/>
                <w:color w:val="000000"/>
                <w:szCs w:val="21"/>
                <w:lang w:val="en-US" w:eastAsia="zh-CN"/>
              </w:rPr>
              <w:t>1</w:t>
            </w:r>
            <w:r>
              <w:rPr>
                <w:rFonts w:hint="eastAsia" w:ascii="宋体" w:hAnsi="宋体" w:eastAsia="宋体" w:cs="宋体"/>
                <w:color w:val="000000"/>
                <w:szCs w:val="21"/>
                <w:lang w:eastAsia="zh-CN"/>
              </w:rPr>
              <w:t>组成：</w:t>
            </w:r>
            <w:r>
              <w:rPr>
                <w:rFonts w:hint="eastAsia" w:ascii="宋体" w:hAnsi="宋体" w:eastAsia="宋体" w:cs="宋体"/>
                <w:color w:val="000000"/>
                <w:szCs w:val="21"/>
              </w:rPr>
              <w:t>至少包含精细刺激训练、视觉技巧训练和双眼视功能训练三个模块</w:t>
            </w:r>
          </w:p>
        </w:tc>
        <w:tc>
          <w:tcPr>
            <w:tcW w:w="1123" w:type="pct"/>
          </w:tcPr>
          <w:p>
            <w:pPr>
              <w:pStyle w:val="75"/>
              <w:numPr>
                <w:ilvl w:val="0"/>
                <w:numId w:val="0"/>
              </w:numPr>
              <w:ind w:left="360" w:hanging="360" w:firstLineChars="0"/>
              <w:rPr>
                <w:rFonts w:hint="eastAsia" w:ascii="宋体" w:hAnsi="宋体" w:eastAsia="宋体" w:cs="宋体"/>
                <w:color w:val="000000"/>
                <w:szCs w:val="21"/>
                <w:lang w:eastAsia="zh-CN"/>
              </w:rPr>
            </w:pPr>
          </w:p>
        </w:tc>
        <w:tc>
          <w:tcPr>
            <w:tcW w:w="1123" w:type="pct"/>
          </w:tcPr>
          <w:p>
            <w:pPr>
              <w:pStyle w:val="75"/>
              <w:numPr>
                <w:ilvl w:val="0"/>
                <w:numId w:val="0"/>
              </w:numPr>
              <w:ind w:left="360" w:hanging="360" w:firstLineChars="0"/>
              <w:rPr>
                <w:rFonts w:hint="eastAsia" w:ascii="宋体" w:hAnsi="宋体" w:eastAsia="宋体" w:cs="宋体"/>
                <w:color w:val="000000"/>
                <w:szCs w:val="21"/>
                <w:lang w:eastAsia="zh-CN"/>
              </w:rPr>
            </w:pPr>
          </w:p>
        </w:tc>
        <w:tc>
          <w:tcPr>
            <w:tcW w:w="1123" w:type="pct"/>
          </w:tcPr>
          <w:p>
            <w:pPr>
              <w:pStyle w:val="75"/>
              <w:numPr>
                <w:ilvl w:val="-1"/>
                <w:numId w:val="0"/>
              </w:numPr>
              <w:ind w:left="0" w:firstLine="0" w:firstLineChars="0"/>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255"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适用范围：适用于儿童轻、中度弱视及融合功能不足的治疗</w:t>
            </w:r>
          </w:p>
        </w:tc>
        <w:tc>
          <w:tcPr>
            <w:tcW w:w="1123" w:type="pct"/>
            <w:vAlign w:val="center"/>
          </w:tcPr>
          <w:p>
            <w:pPr>
              <w:widowControl/>
              <w:jc w:val="left"/>
              <w:textAlignment w:val="center"/>
              <w:rPr>
                <w:rFonts w:hint="eastAsia" w:ascii="宋体" w:hAnsi="宋体" w:eastAsia="宋体" w:cs="宋体"/>
                <w:color w:val="000000"/>
                <w:szCs w:val="21"/>
                <w:lang w:val="en-US" w:eastAsia="zh-CN"/>
              </w:rPr>
            </w:pPr>
          </w:p>
        </w:tc>
        <w:tc>
          <w:tcPr>
            <w:tcW w:w="1123" w:type="pct"/>
            <w:vAlign w:val="center"/>
          </w:tcPr>
          <w:p>
            <w:pPr>
              <w:widowControl/>
              <w:jc w:val="left"/>
              <w:textAlignment w:val="center"/>
              <w:rPr>
                <w:rFonts w:hint="eastAsia" w:ascii="宋体" w:hAnsi="宋体" w:eastAsia="宋体" w:cs="宋体"/>
                <w:color w:val="000000"/>
                <w:szCs w:val="21"/>
                <w:lang w:val="en-US" w:eastAsia="zh-CN"/>
              </w:rPr>
            </w:pPr>
          </w:p>
        </w:tc>
        <w:tc>
          <w:tcPr>
            <w:tcW w:w="1123" w:type="pct"/>
            <w:vAlign w:val="center"/>
          </w:tcPr>
          <w:p>
            <w:pPr>
              <w:widowControl/>
              <w:jc w:val="left"/>
              <w:textAlignment w:val="center"/>
              <w:rPr>
                <w:rFonts w:hint="eastAsia" w:ascii="宋体" w:hAnsi="宋体" w:eastAsia="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255"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color w:val="000000"/>
                <w:sz w:val="21"/>
                <w:szCs w:val="21"/>
                <w:lang w:val="en-US" w:eastAsia="zh-CN"/>
              </w:rPr>
              <w:t>可</w:t>
            </w:r>
            <w:r>
              <w:rPr>
                <w:rFonts w:hint="eastAsia" w:ascii="宋体" w:hAnsi="宋体" w:eastAsia="宋体" w:cs="宋体"/>
                <w:color w:val="000000"/>
                <w:sz w:val="21"/>
                <w:szCs w:val="21"/>
              </w:rPr>
              <w:t>根据患者的情况，制定个性化的治疗方案</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255"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color w:val="000000"/>
                <w:szCs w:val="21"/>
              </w:rPr>
              <w:t xml:space="preserve"> 软件运行环境要求：a）内存：不低于4GB；b）硬盘:不低于32GB;c）显示器：分辨率不低于1920X1080 ；d）网络连接：适用于10M以上宽带或无线网络。</w:t>
            </w:r>
          </w:p>
        </w:tc>
        <w:tc>
          <w:tcPr>
            <w:tcW w:w="1123" w:type="pct"/>
            <w:vAlign w:val="center"/>
          </w:tcPr>
          <w:p>
            <w:pPr>
              <w:widowControl/>
              <w:jc w:val="left"/>
              <w:textAlignment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255"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color w:val="000000"/>
                <w:szCs w:val="21"/>
              </w:rPr>
              <w:t xml:space="preserve"> 训练设备：在符合规定硬件与系统配置要求的虚拟现实设备上运行，通过高度沉浸的虚拟环境，以游戏化方式进行训练，有效提升训练的趣味性与参与度，克服传统训练模式枯燥单调、难以持续的问题。</w:t>
            </w:r>
          </w:p>
        </w:tc>
        <w:tc>
          <w:tcPr>
            <w:tcW w:w="1123" w:type="pct"/>
            <w:vAlign w:val="center"/>
          </w:tcPr>
          <w:p>
            <w:pPr>
              <w:widowControl/>
              <w:jc w:val="left"/>
              <w:textAlignment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255"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6. 训练刺激模式：</w:t>
            </w:r>
            <w:r>
              <w:rPr>
                <w:rFonts w:hint="eastAsia" w:ascii="宋体" w:hAnsi="宋体" w:eastAsia="宋体" w:cs="宋体"/>
                <w:color w:val="000000"/>
                <w:szCs w:val="21"/>
                <w:lang w:eastAsia="zh-CN"/>
              </w:rPr>
              <w:t>至少包含</w:t>
            </w:r>
            <w:r>
              <w:rPr>
                <w:rFonts w:hint="eastAsia" w:ascii="宋体" w:hAnsi="宋体" w:eastAsia="宋体" w:cs="宋体"/>
                <w:color w:val="000000"/>
                <w:szCs w:val="21"/>
              </w:rPr>
              <w:t>视觉刺激、视觉精细、同时视刺激</w:t>
            </w:r>
          </w:p>
        </w:tc>
        <w:tc>
          <w:tcPr>
            <w:tcW w:w="1123" w:type="pct"/>
            <w:vAlign w:val="center"/>
          </w:tcPr>
          <w:p>
            <w:pPr>
              <w:widowControl/>
              <w:jc w:val="left"/>
              <w:textAlignment w:val="center"/>
              <w:rPr>
                <w:rFonts w:hint="eastAsia" w:ascii="宋体" w:hAnsi="宋体" w:eastAsia="宋体" w:cs="宋体"/>
                <w:color w:val="000000"/>
                <w:szCs w:val="21"/>
              </w:rPr>
            </w:pPr>
          </w:p>
        </w:tc>
        <w:tc>
          <w:tcPr>
            <w:tcW w:w="1123" w:type="pct"/>
            <w:vAlign w:val="center"/>
          </w:tcPr>
          <w:p>
            <w:pPr>
              <w:widowControl/>
              <w:jc w:val="left"/>
              <w:textAlignment w:val="center"/>
              <w:rPr>
                <w:rFonts w:hint="eastAsia" w:ascii="宋体" w:hAnsi="宋体" w:eastAsia="宋体" w:cs="宋体"/>
                <w:color w:val="000000"/>
                <w:szCs w:val="21"/>
              </w:rPr>
            </w:pPr>
          </w:p>
        </w:tc>
        <w:tc>
          <w:tcPr>
            <w:tcW w:w="1123" w:type="pct"/>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255"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color w:val="000000"/>
                <w:szCs w:val="21"/>
              </w:rPr>
              <w:t xml:space="preserve"> 训练项目：训练项目不少于18个。</w:t>
            </w:r>
          </w:p>
        </w:tc>
        <w:tc>
          <w:tcPr>
            <w:tcW w:w="1123" w:type="pct"/>
            <w:vAlign w:val="center"/>
          </w:tcPr>
          <w:p>
            <w:pPr>
              <w:widowControl/>
              <w:jc w:val="left"/>
              <w:textAlignment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255"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123" w:type="pct"/>
            <w:vAlign w:val="center"/>
          </w:tcPr>
          <w:p>
            <w:pPr>
              <w:widowControl/>
              <w:jc w:val="left"/>
              <w:textAlignment w:val="center"/>
              <w:rPr>
                <w:rFonts w:hint="eastAsia" w:ascii="宋体" w:hAnsi="宋体" w:eastAsia="宋体" w:cs="宋体"/>
                <w:b/>
                <w:bCs/>
                <w:color w:val="FF0000"/>
                <w:spacing w:val="9"/>
                <w:kern w:val="0"/>
                <w:sz w:val="21"/>
                <w:szCs w:val="21"/>
              </w:rPr>
            </w:pPr>
          </w:p>
        </w:tc>
        <w:tc>
          <w:tcPr>
            <w:tcW w:w="1123" w:type="pct"/>
            <w:vAlign w:val="center"/>
          </w:tcPr>
          <w:p>
            <w:pPr>
              <w:widowControl/>
              <w:jc w:val="left"/>
              <w:textAlignment w:val="center"/>
              <w:rPr>
                <w:rFonts w:hint="eastAsia" w:ascii="宋体" w:hAnsi="宋体" w:eastAsia="宋体" w:cs="宋体"/>
                <w:b/>
                <w:bCs/>
                <w:color w:val="FF0000"/>
                <w:spacing w:val="9"/>
                <w:kern w:val="0"/>
                <w:sz w:val="21"/>
                <w:szCs w:val="21"/>
              </w:rPr>
            </w:pPr>
          </w:p>
        </w:tc>
        <w:tc>
          <w:tcPr>
            <w:tcW w:w="1123" w:type="pct"/>
            <w:vAlign w:val="center"/>
          </w:tcPr>
          <w:p>
            <w:pPr>
              <w:widowControl/>
              <w:jc w:val="left"/>
              <w:textAlignment w:val="center"/>
              <w:rPr>
                <w:rFonts w:hint="eastAsia" w:ascii="宋体" w:hAnsi="宋体" w:eastAsia="宋体" w:cs="宋体"/>
                <w:b/>
                <w:bCs/>
                <w:color w:val="FF0000"/>
                <w:spacing w:val="9"/>
                <w:kern w:val="0"/>
                <w:sz w:val="21"/>
                <w:szCs w:val="21"/>
              </w:rPr>
            </w:pPr>
          </w:p>
        </w:tc>
      </w:tr>
    </w:tbl>
    <w:p>
      <w:pPr>
        <w:rPr>
          <w:sz w:val="24"/>
        </w:rPr>
      </w:pPr>
    </w:p>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2" w:name="_Hlk72095977"/>
      <w:r>
        <w:rPr>
          <w:rFonts w:hint="eastAsia"/>
          <w:sz w:val="21"/>
          <w:szCs w:val="21"/>
        </w:rPr>
        <w:t>证明资料【如有的话，提供的证明资料应统一编号（排序），格式自定】</w:t>
      </w:r>
      <w:bookmarkEnd w:id="72"/>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3" w:name="_Hlk72094407"/>
      <w:r>
        <w:rPr>
          <w:rFonts w:hint="eastAsia"/>
          <w:b w:val="0"/>
          <w:bCs/>
          <w:sz w:val="21"/>
          <w:szCs w:val="21"/>
        </w:rPr>
        <w:t>对应“用户需求书”中的“技术要求”章节</w:t>
      </w:r>
      <w:bookmarkEnd w:id="73"/>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4" w:name="_Hlk72158270"/>
      <w:r>
        <w:rPr>
          <w:rFonts w:hint="eastAsia"/>
          <w:b w:val="0"/>
          <w:bCs/>
          <w:sz w:val="21"/>
          <w:szCs w:val="21"/>
        </w:rPr>
        <w:t>“偏离情况”</w:t>
      </w:r>
      <w:bookmarkEnd w:id="74"/>
      <w:r>
        <w:rPr>
          <w:rFonts w:hint="eastAsia"/>
          <w:b w:val="0"/>
          <w:bCs/>
          <w:sz w:val="21"/>
          <w:szCs w:val="21"/>
        </w:rPr>
        <w:t>一栏填写如实填写“正偏离”、“负偏离”或“无偏离”，其中：</w:t>
      </w:r>
      <w:bookmarkStart w:id="75" w:name="_Hlk72093866"/>
      <w:r>
        <w:rPr>
          <w:rFonts w:hint="eastAsia"/>
          <w:b w:val="0"/>
          <w:bCs/>
          <w:sz w:val="21"/>
          <w:szCs w:val="21"/>
        </w:rPr>
        <w:t>“正偏离”表示“投标响应优于招标技术要求”，“负偏离”表示“投标响应不满足招标技术要求”，“无偏离”表示“投标响应与招标技术要求一致”</w:t>
      </w:r>
      <w:bookmarkEnd w:id="75"/>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6" w:name="_Hlk72096106"/>
      <w:r>
        <w:rPr>
          <w:rFonts w:hint="eastAsia"/>
          <w:b w:val="0"/>
          <w:bCs/>
          <w:sz w:val="21"/>
          <w:szCs w:val="21"/>
        </w:rPr>
        <w:t>证明资料条款响应要求</w:t>
      </w:r>
      <w:bookmarkEnd w:id="76"/>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7"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8" w:name="_Hlk73558164"/>
      <w:r>
        <w:rPr>
          <w:rFonts w:hint="eastAsia"/>
          <w:b w:val="0"/>
          <w:bCs/>
          <w:sz w:val="21"/>
          <w:szCs w:val="21"/>
        </w:rPr>
        <w:t>且投标人在“偏离情况”一栏响应为“正偏离”或“无偏离”的，经评审委员会认定，将判定为负偏离。</w:t>
      </w:r>
      <w:bookmarkEnd w:id="77"/>
      <w:bookmarkEnd w:id="78"/>
    </w:p>
    <w:p>
      <w:pPr>
        <w:ind w:firstLine="420" w:firstLineChars="200"/>
        <w:rPr>
          <w:b w:val="0"/>
          <w:bCs/>
          <w:sz w:val="21"/>
          <w:szCs w:val="21"/>
        </w:rPr>
      </w:pPr>
      <w:r>
        <w:rPr>
          <w:rFonts w:hint="eastAsia"/>
          <w:b w:val="0"/>
          <w:bCs/>
          <w:sz w:val="21"/>
          <w:szCs w:val="21"/>
        </w:rPr>
        <w:t>6、</w:t>
      </w:r>
      <w:bookmarkStart w:id="79" w:name="_Hlk72096137"/>
      <w:r>
        <w:rPr>
          <w:rFonts w:hint="eastAsia"/>
          <w:b w:val="0"/>
          <w:bCs/>
          <w:sz w:val="21"/>
          <w:szCs w:val="21"/>
        </w:rPr>
        <w:t>表后“证明资料”部分内容的编制</w:t>
      </w:r>
      <w:bookmarkEnd w:id="79"/>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0" w:name="_Hlk73558180"/>
      <w:r>
        <w:rPr>
          <w:rFonts w:hint="eastAsia"/>
          <w:b w:val="0"/>
          <w:bCs/>
          <w:sz w:val="21"/>
          <w:szCs w:val="21"/>
        </w:rPr>
        <w:t>未按照招标文件要求在表后放置证明材料的供应商将承担不利后果，经评审委员会认定，相关技术要求将判定为负偏离。</w:t>
      </w:r>
      <w:bookmarkEnd w:id="80"/>
    </w:p>
    <w:p>
      <w:pPr>
        <w:ind w:firstLine="420" w:firstLineChars="200"/>
        <w:rPr>
          <w:b w:val="0"/>
          <w:bCs/>
          <w:sz w:val="21"/>
          <w:szCs w:val="21"/>
        </w:rPr>
      </w:pPr>
      <w:r>
        <w:rPr>
          <w:rFonts w:hint="eastAsia"/>
          <w:b w:val="0"/>
          <w:bCs/>
          <w:sz w:val="21"/>
          <w:szCs w:val="21"/>
        </w:rPr>
        <w:t>7、</w:t>
      </w:r>
      <w:bookmarkStart w:id="81" w:name="_Hlk72096176"/>
      <w:r>
        <w:rPr>
          <w:rFonts w:hint="eastAsia"/>
          <w:b w:val="0"/>
          <w:bCs/>
          <w:sz w:val="21"/>
          <w:szCs w:val="21"/>
        </w:rPr>
        <w:t>证明资料的形式及其它具体要求</w:t>
      </w:r>
      <w:bookmarkEnd w:id="81"/>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2"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2"/>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3"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3"/>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4"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4"/>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5" w:name="_Toc27624"/>
      <w:r>
        <w:rPr>
          <w:rFonts w:hint="eastAsia" w:ascii="黑体" w:hAnsi="黑体" w:eastAsia="黑体" w:cs="Times New Roman"/>
          <w:b w:val="0"/>
          <w:bCs w:val="0"/>
          <w:kern w:val="2"/>
          <w:sz w:val="28"/>
          <w:szCs w:val="28"/>
          <w:lang w:val="en-US" w:eastAsia="zh-CN" w:bidi="ar-SA"/>
        </w:rPr>
        <w:t>第二节 政府采购合同通用条款</w:t>
      </w:r>
      <w:bookmarkEnd w:id="85"/>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6"/>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7"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7"/>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8" w:name="_Hlk72399513"/>
      <w:r>
        <w:rPr>
          <w:rFonts w:hint="eastAsia" w:ascii="宋体" w:hAnsi="宋体" w:eastAsia="宋体" w:cs="Times New Roman"/>
          <w:b/>
          <w:bCs/>
          <w:kern w:val="0"/>
          <w:sz w:val="28"/>
          <w:szCs w:val="28"/>
          <w:lang w:val="en-US" w:eastAsia="zh-CN" w:bidi="ar-SA"/>
        </w:rPr>
        <w:t>总则</w:t>
      </w:r>
    </w:p>
    <w:bookmarkEnd w:id="88"/>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9" w:name="_Hlk72399729"/>
      <w:r>
        <w:rPr>
          <w:rFonts w:hint="eastAsia" w:ascii="宋体" w:hAnsi="宋体" w:eastAsia="宋体" w:cs="Times New Roman"/>
          <w:szCs w:val="21"/>
        </w:rPr>
        <w:t>如有需要，政府集中采购机构可以对通用条款的内容进行补充。</w:t>
      </w:r>
      <w:bookmarkEnd w:id="89"/>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90"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91"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1"/>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90"/>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2"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2"/>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3"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3"/>
    <w:p>
      <w:pPr>
        <w:rPr>
          <w:rFonts w:ascii="黑体" w:hAnsi="宋体" w:eastAsia="黑体" w:cs="Times New Roman"/>
          <w:sz w:val="24"/>
        </w:rPr>
      </w:pPr>
      <w:r>
        <w:rPr>
          <w:rFonts w:hint="eastAsia" w:ascii="黑体" w:hAnsi="宋体" w:eastAsia="黑体" w:cs="Times New Roman"/>
          <w:sz w:val="24"/>
        </w:rPr>
        <w:t>15．</w:t>
      </w:r>
      <w:bookmarkStart w:id="94"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4"/>
    <w:p>
      <w:pPr>
        <w:rPr>
          <w:rFonts w:ascii="黑体" w:hAnsi="宋体" w:eastAsia="黑体" w:cs="Times New Roman"/>
          <w:sz w:val="24"/>
        </w:rPr>
      </w:pPr>
      <w:r>
        <w:rPr>
          <w:rFonts w:hint="eastAsia" w:ascii="黑体" w:hAnsi="宋体" w:eastAsia="黑体" w:cs="Times New Roman"/>
          <w:sz w:val="24"/>
        </w:rPr>
        <w:t>18．</w:t>
      </w:r>
      <w:bookmarkStart w:id="95"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5"/>
    <w:p>
      <w:pPr>
        <w:rPr>
          <w:rFonts w:ascii="黑体" w:hAnsi="宋体" w:eastAsia="黑体" w:cs="Times New Roman"/>
          <w:sz w:val="24"/>
        </w:rPr>
      </w:pPr>
      <w:r>
        <w:rPr>
          <w:rFonts w:hint="eastAsia" w:ascii="黑体" w:hAnsi="宋体" w:eastAsia="黑体" w:cs="Times New Roman"/>
          <w:sz w:val="24"/>
        </w:rPr>
        <w:t>19．</w:t>
      </w:r>
      <w:bookmarkStart w:id="96"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7"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7"/>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6"/>
    <w:p>
      <w:pPr>
        <w:ind w:firstLine="411" w:firstLineChars="196"/>
        <w:rPr>
          <w:rFonts w:ascii="宋体" w:hAnsi="宋体" w:eastAsia="宋体" w:cs="Times New Roman"/>
          <w:szCs w:val="21"/>
        </w:rPr>
      </w:pPr>
      <w:bookmarkStart w:id="98"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8"/>
    <w:p>
      <w:pPr>
        <w:rPr>
          <w:rFonts w:ascii="黑体" w:hAnsi="宋体" w:eastAsia="黑体" w:cs="Times New Roman"/>
          <w:sz w:val="24"/>
        </w:rPr>
      </w:pPr>
      <w:r>
        <w:rPr>
          <w:rFonts w:hint="eastAsia" w:ascii="黑体" w:hAnsi="宋体" w:eastAsia="黑体" w:cs="Times New Roman"/>
          <w:sz w:val="24"/>
        </w:rPr>
        <w:t>21．</w:t>
      </w:r>
      <w:bookmarkStart w:id="99"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9"/>
    <w:p>
      <w:pPr>
        <w:rPr>
          <w:rFonts w:ascii="黑体" w:hAnsi="宋体" w:eastAsia="黑体" w:cs="Times New Roman"/>
          <w:sz w:val="24"/>
        </w:rPr>
      </w:pPr>
      <w:r>
        <w:rPr>
          <w:rFonts w:hint="eastAsia" w:ascii="黑体" w:hAnsi="宋体" w:eastAsia="黑体" w:cs="Times New Roman"/>
          <w:sz w:val="24"/>
        </w:rPr>
        <w:t>23．</w:t>
      </w:r>
      <w:bookmarkStart w:id="100"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100"/>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101"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101"/>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2"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2"/>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3" w:name="_Hlk72436580"/>
      <w:r>
        <w:rPr>
          <w:rFonts w:hint="eastAsia" w:ascii="宋体" w:hAnsi="宋体" w:eastAsia="宋体" w:cs="Times New Roman"/>
        </w:rPr>
        <w:t>评审委员会由采购人代表和评审专家组成。</w:t>
      </w:r>
      <w:bookmarkEnd w:id="103"/>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4"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4"/>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5" w:name="_Toc73518151"/>
      <w:bookmarkStart w:id="106" w:name="_Toc73521581"/>
      <w:bookmarkStart w:id="107" w:name="_Toc100052400"/>
      <w:bookmarkStart w:id="108" w:name="_Toc73521669"/>
      <w:bookmarkStart w:id="109" w:name="_Toc73517673"/>
      <w:r>
        <w:rPr>
          <w:rFonts w:hint="eastAsia" w:ascii="黑体" w:hAnsi="宋体" w:eastAsia="黑体" w:cs="Times New Roman"/>
          <w:sz w:val="24"/>
        </w:rPr>
        <w:t>34．错误的修正</w:t>
      </w:r>
      <w:bookmarkEnd w:id="105"/>
      <w:bookmarkEnd w:id="106"/>
      <w:bookmarkEnd w:id="107"/>
      <w:bookmarkEnd w:id="108"/>
      <w:bookmarkEnd w:id="109"/>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10"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10"/>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11"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2"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2"/>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3"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4"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3"/>
      <w:bookmarkEnd w:id="114"/>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11"/>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5"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5"/>
      <w:bookmarkStart w:id="116"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6"/>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7"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7"/>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8"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8"/>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9" w:name="_Hlk72439043"/>
      <w:r>
        <w:rPr>
          <w:rFonts w:hint="eastAsia" w:ascii="宋体" w:hAnsi="宋体" w:eastAsia="宋体" w:cs="Times New Roman"/>
          <w:b/>
          <w:bCs/>
          <w:kern w:val="0"/>
          <w:sz w:val="28"/>
          <w:szCs w:val="28"/>
          <w:lang w:val="en-US" w:eastAsia="zh-CN" w:bidi="ar-SA"/>
        </w:rPr>
        <w:t>合同的授予与备案</w:t>
      </w:r>
      <w:bookmarkEnd w:id="119"/>
    </w:p>
    <w:p>
      <w:pPr>
        <w:rPr>
          <w:rFonts w:ascii="黑体" w:hAnsi="宋体" w:eastAsia="黑体" w:cs="Times New Roman"/>
          <w:sz w:val="24"/>
        </w:rPr>
      </w:pPr>
      <w:bookmarkStart w:id="120" w:name="_Toc73517679"/>
      <w:bookmarkStart w:id="121" w:name="_Toc73521674"/>
      <w:bookmarkStart w:id="122" w:name="_Toc73521586"/>
      <w:bookmarkStart w:id="123" w:name="_Toc100052408"/>
      <w:bookmarkStart w:id="124" w:name="_Toc73518157"/>
      <w:bookmarkStart w:id="125" w:name="_Hlk72439088"/>
      <w:r>
        <w:rPr>
          <w:rFonts w:hint="eastAsia" w:ascii="黑体" w:hAnsi="宋体" w:eastAsia="黑体" w:cs="Times New Roman"/>
          <w:sz w:val="24"/>
        </w:rPr>
        <w:t>43．合同授予标准</w:t>
      </w:r>
      <w:bookmarkEnd w:id="120"/>
      <w:bookmarkEnd w:id="121"/>
      <w:bookmarkEnd w:id="122"/>
      <w:bookmarkEnd w:id="123"/>
      <w:bookmarkEnd w:id="124"/>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6" w:name="_Toc73521675"/>
      <w:bookmarkStart w:id="127" w:name="_Toc100052409"/>
      <w:bookmarkStart w:id="128" w:name="_Toc73518158"/>
      <w:bookmarkStart w:id="129" w:name="_Toc73517680"/>
      <w:bookmarkStart w:id="130" w:name="_Toc73521587"/>
      <w:r>
        <w:rPr>
          <w:rFonts w:hint="eastAsia" w:ascii="黑体" w:hAnsi="宋体" w:eastAsia="黑体" w:cs="Times New Roman"/>
          <w:sz w:val="24"/>
        </w:rPr>
        <w:t>44．</w:t>
      </w:r>
      <w:bookmarkEnd w:id="126"/>
      <w:bookmarkEnd w:id="127"/>
      <w:bookmarkEnd w:id="128"/>
      <w:bookmarkEnd w:id="129"/>
      <w:bookmarkEnd w:id="130"/>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31" w:name="_Toc100052410"/>
      <w:bookmarkStart w:id="132" w:name="_Toc73521677"/>
      <w:bookmarkStart w:id="133" w:name="_Toc73521589"/>
      <w:bookmarkStart w:id="134" w:name="_Toc73517682"/>
      <w:bookmarkStart w:id="135" w:name="_Toc73518160"/>
      <w:r>
        <w:rPr>
          <w:rFonts w:hint="eastAsia" w:ascii="黑体" w:hAnsi="宋体" w:eastAsia="黑体" w:cs="Times New Roman"/>
          <w:sz w:val="24"/>
        </w:rPr>
        <w:t>45．合同的签订</w:t>
      </w:r>
      <w:bookmarkEnd w:id="131"/>
      <w:bookmarkEnd w:id="132"/>
      <w:bookmarkEnd w:id="133"/>
      <w:bookmarkEnd w:id="134"/>
      <w:bookmarkEnd w:id="135"/>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6" w:name="_Toc73518161"/>
      <w:bookmarkStart w:id="137" w:name="_Toc100052411"/>
      <w:bookmarkStart w:id="138" w:name="_Toc73521678"/>
      <w:bookmarkStart w:id="139" w:name="_Toc73517683"/>
      <w:bookmarkStart w:id="140" w:name="_Toc73521590"/>
      <w:r>
        <w:rPr>
          <w:rFonts w:hint="eastAsia" w:ascii="黑体" w:hAnsi="宋体" w:eastAsia="黑体" w:cs="Times New Roman"/>
          <w:sz w:val="24"/>
        </w:rPr>
        <w:t>46．履约担保</w:t>
      </w:r>
      <w:bookmarkEnd w:id="136"/>
      <w:bookmarkEnd w:id="137"/>
      <w:bookmarkEnd w:id="138"/>
      <w:bookmarkEnd w:id="139"/>
      <w:bookmarkEnd w:id="140"/>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41" w:name="_Hlk72440769"/>
      <w:r>
        <w:rPr>
          <w:rFonts w:hint="eastAsia" w:ascii="宋体" w:hAnsi="宋体" w:eastAsia="宋体" w:cs="Times New Roman"/>
          <w:szCs w:val="21"/>
        </w:rPr>
        <w:t>政府集中采购机构或采购人不予退还其交纳的谈判保证金，情节严重的，并由主管部门</w:t>
      </w:r>
      <w:bookmarkEnd w:id="141"/>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5"/>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2" w:name="_Hlk75374941"/>
      <w:r>
        <w:rPr>
          <w:rFonts w:hint="eastAsia" w:ascii="宋体" w:hAnsi="宋体" w:eastAsia="宋体" w:cs="Times New Roman"/>
          <w:szCs w:val="21"/>
        </w:rPr>
        <w:t>以联合体形式参与的，质疑应当由组成联合体的所有成员共同提出</w:t>
      </w:r>
      <w:bookmarkEnd w:id="142"/>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490416"/>
    <w:rsid w:val="087109F5"/>
    <w:rsid w:val="08AF0DE8"/>
    <w:rsid w:val="090C7C1B"/>
    <w:rsid w:val="0929095D"/>
    <w:rsid w:val="09470514"/>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EB327B9"/>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F507A92"/>
    <w:rsid w:val="1F863DE6"/>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EE3E21"/>
    <w:rsid w:val="285E29E0"/>
    <w:rsid w:val="286C3B37"/>
    <w:rsid w:val="289002C6"/>
    <w:rsid w:val="28B86003"/>
    <w:rsid w:val="28C71A6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EF5542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695158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C9B089B"/>
    <w:rsid w:val="7D1B52B4"/>
    <w:rsid w:val="7D3744CD"/>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68</Pages>
  <Words>51274</Words>
  <Characters>53467</Characters>
  <Lines>368</Lines>
  <Paragraphs>103</Paragraphs>
  <TotalTime>1</TotalTime>
  <ScaleCrop>false</ScaleCrop>
  <LinksUpToDate>false</LinksUpToDate>
  <CharactersWithSpaces>57175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2025-11-30T23:52:00Z</cp:lastPrinted>
  <dcterms:modified xsi:type="dcterms:W3CDTF">2025-12-03T10:03:19Z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1656366C08AE485E8396A7F331E6CD54_13</vt:lpwstr>
  </property>
  <property fmtid="{D5CDD505-2E9C-101B-9397-08002B2CF9AE}" pid="4" name="KSOTemplateDocerSaveRecord">
    <vt:lpwstr>eyJoZGlkIjoiNWMyOTMyNTQ1MWRmNGI0N2FlNmM4NDMxM2EyYTMzOGMiLCJ1c2VySWQiOiIxMTc1MzY1NzI0In0=</vt:lpwstr>
  </property>
</Properties>
</file>