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DPZXCG-2025-00062</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ascii="宋体" w:hAnsi="宋体" w:cs="宋体"/>
                <w:kern w:val="0"/>
                <w:sz w:val="30"/>
                <w:szCs w:val="30"/>
                <w:lang w:eastAsia="zh-CN" w:bidi="ar"/>
              </w:rPr>
              <w:t>中国儿童生长发育智能评估与检测系统</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1"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2" w:name="OLE_LINK1"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3.71</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bookmarkEnd w:id="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bookmarkStart w:id="3" w:name="OLE_LINK2" w:colFirst="4" w:colLast="4"/>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（4）方案不合理、无针对性、无可操作性，评审为差的，加0分。</w:t>
            </w:r>
          </w:p>
        </w:tc>
      </w:tr>
      <w:bookmarkEnd w:id="3"/>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4</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1"/>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4"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4"/>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5"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6" w:name="_Hlk71994379"/>
      <w:r>
        <w:rPr>
          <w:rFonts w:hint="eastAsia" w:ascii="宋体" w:hAnsi="宋体"/>
          <w:szCs w:val="21"/>
        </w:rPr>
        <w:t>对通用条款的补充内容及其他关键信息</w:t>
      </w:r>
      <w:bookmarkEnd w:id="6"/>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5"/>
    <w:p>
      <w:pPr>
        <w:pStyle w:val="2"/>
        <w:rPr>
          <w:color w:val="FF0000"/>
          <w:sz w:val="24"/>
        </w:rPr>
      </w:pPr>
      <w:bookmarkStart w:id="7" w:name="bt商务标投标文件格式"/>
      <w:bookmarkEnd w:id="7"/>
      <w:bookmarkStart w:id="8" w:name="bt合同条款"/>
      <w:bookmarkEnd w:id="8"/>
      <w:bookmarkStart w:id="9" w:name="bt技术标投标文件格式"/>
      <w:bookmarkEnd w:id="9"/>
      <w:bookmarkStart w:id="10" w:name="bt本工程承诺书"/>
      <w:bookmarkEnd w:id="10"/>
      <w:bookmarkStart w:id="11" w:name="bt合同格式"/>
      <w:bookmarkEnd w:id="11"/>
      <w:bookmarkStart w:id="12" w:name="bt合同条款及格式"/>
      <w:bookmarkEnd w:id="12"/>
      <w:bookmarkStart w:id="13" w:name="bt投标报价汇总表"/>
      <w:bookmarkEnd w:id="13"/>
      <w:bookmarkStart w:id="14" w:name="bt投标人情况介绍"/>
      <w:bookmarkEnd w:id="14"/>
      <w:bookmarkStart w:id="15" w:name="bt其他资料2"/>
      <w:bookmarkEnd w:id="15"/>
      <w:bookmarkStart w:id="16" w:name="bt项目管理班子配备情况"/>
      <w:bookmarkEnd w:id="16"/>
      <w:bookmarkStart w:id="17" w:name="bt投标文件签署授权委托书"/>
      <w:bookmarkEnd w:id="17"/>
      <w:bookmarkStart w:id="18" w:name="bt投标人须知"/>
      <w:bookmarkEnd w:id="18"/>
      <w:bookmarkStart w:id="19" w:name="bt投标函"/>
      <w:bookmarkEnd w:id="19"/>
      <w:bookmarkStart w:id="20" w:name="bt说明"/>
      <w:bookmarkEnd w:id="20"/>
      <w:bookmarkStart w:id="21" w:name="合同格式"/>
      <w:bookmarkEnd w:id="21"/>
      <w:bookmarkStart w:id="22" w:name="bt开标一览表"/>
      <w:bookmarkEnd w:id="22"/>
      <w:bookmarkStart w:id="23" w:name="bt其他资料由投标人自定"/>
      <w:bookmarkEnd w:id="23"/>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4"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4"/>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5" w:name="_Hlk71926094"/>
      <w:r>
        <w:rPr>
          <w:rFonts w:hint="eastAsia"/>
          <w:sz w:val="28"/>
          <w:szCs w:val="28"/>
        </w:rPr>
        <w:t>对通用条款的补充内容及其他关键信息</w:t>
      </w:r>
      <w:bookmarkEnd w:id="25"/>
    </w:p>
    <w:p>
      <w:pPr>
        <w:pStyle w:val="5"/>
        <w:spacing w:before="120" w:beforeLines="50" w:after="120" w:afterLines="50"/>
        <w:rPr>
          <w:szCs w:val="24"/>
        </w:rPr>
      </w:pPr>
      <w:bookmarkStart w:id="26" w:name="_Toc100052364"/>
      <w:bookmarkStart w:id="27" w:name="_Toc73517639"/>
      <w:bookmarkStart w:id="28" w:name="_Toc60560625"/>
      <w:bookmarkStart w:id="29" w:name="_Toc73521635"/>
      <w:bookmarkStart w:id="30" w:name="_Toc73518117"/>
      <w:bookmarkStart w:id="31" w:name="_Toc101074876"/>
      <w:bookmarkStart w:id="32" w:name="_Toc60631620"/>
      <w:bookmarkStart w:id="33" w:name="_Toc73521547"/>
      <w:r>
        <w:rPr>
          <w:rFonts w:hint="eastAsia"/>
          <w:szCs w:val="24"/>
        </w:rPr>
        <w:t>一、对通用条款的补充内容</w:t>
      </w:r>
    </w:p>
    <w:bookmarkEnd w:id="26"/>
    <w:bookmarkEnd w:id="27"/>
    <w:bookmarkEnd w:id="28"/>
    <w:bookmarkEnd w:id="29"/>
    <w:bookmarkEnd w:id="30"/>
    <w:bookmarkEnd w:id="31"/>
    <w:bookmarkEnd w:id="32"/>
    <w:bookmarkEnd w:id="33"/>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4"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5" w:name="_Hlk71664860"/>
            <w:r>
              <w:rPr>
                <w:rFonts w:hint="eastAsia" w:ascii="宋体" w:hAnsi="宋体"/>
              </w:rPr>
              <w:t>样品、现场演示、方案讲解</w:t>
            </w:r>
            <w:bookmarkEnd w:id="35"/>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合同总额5%的履约保证金，详见商务要求</w:t>
            </w:r>
          </w:p>
        </w:tc>
      </w:tr>
    </w:tbl>
    <w:p>
      <w:pPr>
        <w:rPr>
          <w:b/>
        </w:rPr>
      </w:pPr>
      <w:r>
        <w:rPr>
          <w:rFonts w:hint="eastAsia"/>
          <w:szCs w:val="21"/>
        </w:rPr>
        <w:t>备注：本表是通用条款相关条款的补充和明确，如与通用条款内容相冲突的，以本表为准。</w:t>
      </w:r>
    </w:p>
    <w:bookmarkEnd w:id="34"/>
    <w:p>
      <w:pPr>
        <w:pStyle w:val="5"/>
        <w:spacing w:before="120" w:beforeLines="50" w:after="120" w:afterLines="50"/>
        <w:rPr>
          <w:szCs w:val="24"/>
        </w:rPr>
      </w:pPr>
      <w:bookmarkStart w:id="36" w:name="_Hlk72218117"/>
      <w:r>
        <w:rPr>
          <w:rFonts w:hint="eastAsia"/>
          <w:szCs w:val="24"/>
        </w:rPr>
        <w:t>二、其他关键信息</w:t>
      </w:r>
    </w:p>
    <w:p>
      <w:pPr>
        <w:ind w:firstLine="422" w:firstLineChars="200"/>
        <w:rPr>
          <w:b/>
          <w:bCs/>
        </w:rPr>
      </w:pPr>
      <w:bookmarkStart w:id="37"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7"/>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8"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8"/>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6"/>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中国儿童生长发育智能评估与检测系统</w:t>
            </w:r>
          </w:p>
        </w:tc>
        <w:tc>
          <w:tcPr>
            <w:tcW w:w="1986" w:type="pct"/>
            <w:vAlign w:val="center"/>
          </w:tcPr>
          <w:p>
            <w:pPr>
              <w:jc w:val="center"/>
              <w:rPr>
                <w:bCs/>
                <w:color w:val="FF0000"/>
                <w:szCs w:val="21"/>
              </w:rPr>
            </w:pPr>
            <w:r>
              <w:rPr>
                <w:rFonts w:hint="eastAsia" w:ascii="仿宋" w:hAnsi="仿宋" w:eastAsia="仿宋"/>
                <w:sz w:val="24"/>
                <w:szCs w:val="24"/>
              </w:rPr>
              <w:t>107700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9" w:name="_Hlk72258617"/>
      <w:r>
        <w:rPr>
          <w:rFonts w:hint="eastAsia"/>
          <w:szCs w:val="24"/>
        </w:rPr>
        <w:t>二、</w:t>
      </w:r>
      <w:bookmarkStart w:id="40" w:name="_Hlk72073432"/>
      <w:r>
        <w:rPr>
          <w:rFonts w:hint="eastAsia"/>
          <w:szCs w:val="24"/>
        </w:rPr>
        <w:t>货物</w:t>
      </w:r>
      <w:r>
        <w:rPr>
          <w:rFonts w:hint="eastAsia"/>
          <w:szCs w:val="24"/>
          <w:lang w:val="en-US" w:eastAsia="zh-CN"/>
        </w:rPr>
        <w:t>清单</w:t>
      </w:r>
      <w:r>
        <w:rPr>
          <w:rFonts w:hint="eastAsia"/>
          <w:szCs w:val="24"/>
        </w:rPr>
        <w:t>明细</w:t>
      </w:r>
      <w:bookmarkEnd w:id="40"/>
    </w:p>
    <w:tbl>
      <w:tblPr>
        <w:tblStyle w:val="44"/>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5"/>
        <w:gridCol w:w="825"/>
        <w:gridCol w:w="750"/>
        <w:gridCol w:w="1395"/>
        <w:gridCol w:w="138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36" w:type="pct"/>
            <w:vAlign w:val="center"/>
          </w:tcPr>
          <w:p>
            <w:pPr>
              <w:jc w:val="center"/>
              <w:rPr>
                <w:bCs/>
                <w:szCs w:val="21"/>
              </w:rPr>
            </w:pPr>
            <w:r>
              <w:rPr>
                <w:rFonts w:hint="eastAsia"/>
                <w:bCs/>
                <w:szCs w:val="21"/>
              </w:rPr>
              <w:t>序号</w:t>
            </w:r>
          </w:p>
        </w:tc>
        <w:tc>
          <w:tcPr>
            <w:tcW w:w="1210" w:type="pct"/>
            <w:vAlign w:val="center"/>
          </w:tcPr>
          <w:p>
            <w:pPr>
              <w:jc w:val="center"/>
              <w:rPr>
                <w:bCs/>
                <w:szCs w:val="21"/>
              </w:rPr>
            </w:pPr>
            <w:r>
              <w:rPr>
                <w:rFonts w:hint="eastAsia"/>
                <w:bCs/>
                <w:szCs w:val="21"/>
              </w:rPr>
              <w:t>货物名称（标的名称）</w:t>
            </w:r>
          </w:p>
        </w:tc>
        <w:tc>
          <w:tcPr>
            <w:tcW w:w="486" w:type="pct"/>
            <w:vAlign w:val="center"/>
          </w:tcPr>
          <w:p>
            <w:pPr>
              <w:jc w:val="center"/>
              <w:rPr>
                <w:bCs/>
                <w:szCs w:val="21"/>
              </w:rPr>
            </w:pPr>
            <w:r>
              <w:rPr>
                <w:rFonts w:hint="eastAsia"/>
                <w:bCs/>
                <w:szCs w:val="21"/>
              </w:rPr>
              <w:t>数量</w:t>
            </w:r>
          </w:p>
        </w:tc>
        <w:tc>
          <w:tcPr>
            <w:tcW w:w="441" w:type="pct"/>
            <w:vAlign w:val="center"/>
          </w:tcPr>
          <w:p>
            <w:pPr>
              <w:jc w:val="center"/>
              <w:rPr>
                <w:bCs/>
                <w:szCs w:val="21"/>
              </w:rPr>
            </w:pPr>
            <w:r>
              <w:rPr>
                <w:rFonts w:hint="eastAsia"/>
                <w:bCs/>
                <w:szCs w:val="21"/>
              </w:rPr>
              <w:t>单位</w:t>
            </w:r>
          </w:p>
        </w:tc>
        <w:tc>
          <w:tcPr>
            <w:tcW w:w="821"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813"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889"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6" w:type="pct"/>
            <w:vAlign w:val="center"/>
          </w:tcPr>
          <w:p>
            <w:pPr>
              <w:jc w:val="center"/>
              <w:rPr>
                <w:bCs/>
                <w:szCs w:val="21"/>
              </w:rPr>
            </w:pPr>
            <w:r>
              <w:rPr>
                <w:rFonts w:hint="eastAsia"/>
                <w:bCs/>
                <w:szCs w:val="21"/>
              </w:rPr>
              <w:t>1</w:t>
            </w:r>
          </w:p>
        </w:tc>
        <w:tc>
          <w:tcPr>
            <w:tcW w:w="1210" w:type="pct"/>
            <w:vAlign w:val="center"/>
          </w:tcPr>
          <w:p>
            <w:pPr>
              <w:jc w:val="center"/>
              <w:rPr>
                <w:rFonts w:hint="eastAsia" w:eastAsia="宋体"/>
                <w:bCs/>
                <w:szCs w:val="21"/>
                <w:lang w:eastAsia="zh-CN"/>
              </w:rPr>
            </w:pPr>
            <w:r>
              <w:rPr>
                <w:rFonts w:hint="eastAsia"/>
                <w:bCs/>
                <w:szCs w:val="21"/>
                <w:lang w:eastAsia="zh-CN"/>
              </w:rPr>
              <w:t>中国儿童生长发育智能评估与检测系统</w:t>
            </w:r>
          </w:p>
        </w:tc>
        <w:tc>
          <w:tcPr>
            <w:tcW w:w="486" w:type="pct"/>
            <w:vAlign w:val="center"/>
          </w:tcPr>
          <w:p>
            <w:pPr>
              <w:jc w:val="center"/>
              <w:rPr>
                <w:rFonts w:hint="eastAsia" w:ascii="仿宋" w:hAnsi="仿宋" w:eastAsia="仿宋" w:cs="Times New Roman"/>
                <w:bCs/>
                <w:kern w:val="2"/>
                <w:sz w:val="24"/>
                <w:szCs w:val="24"/>
                <w:lang w:val="en-US" w:eastAsia="zh-CN" w:bidi="ar-SA"/>
              </w:rPr>
            </w:pPr>
            <w:r>
              <w:rPr>
                <w:rFonts w:hint="eastAsia" w:ascii="仿宋" w:hAnsi="仿宋" w:eastAsia="仿宋"/>
                <w:bCs/>
                <w:sz w:val="24"/>
                <w:szCs w:val="24"/>
              </w:rPr>
              <w:t>1</w:t>
            </w:r>
          </w:p>
        </w:tc>
        <w:tc>
          <w:tcPr>
            <w:tcW w:w="441" w:type="pct"/>
            <w:vAlign w:val="center"/>
          </w:tcPr>
          <w:p>
            <w:pPr>
              <w:jc w:val="center"/>
              <w:rPr>
                <w:rFonts w:hint="eastAsia" w:ascii="仿宋" w:hAnsi="仿宋" w:eastAsia="仿宋" w:cs="Times New Roman"/>
                <w:bCs/>
                <w:kern w:val="2"/>
                <w:sz w:val="24"/>
                <w:szCs w:val="24"/>
                <w:lang w:val="en-US" w:eastAsia="zh-CN" w:bidi="ar-SA"/>
              </w:rPr>
            </w:pPr>
            <w:r>
              <w:rPr>
                <w:rFonts w:hint="eastAsia" w:ascii="仿宋" w:hAnsi="仿宋" w:eastAsia="仿宋"/>
                <w:bCs/>
                <w:sz w:val="24"/>
                <w:szCs w:val="24"/>
                <w:lang w:val="en-US" w:eastAsia="zh-CN"/>
              </w:rPr>
              <w:t>台/</w:t>
            </w:r>
            <w:r>
              <w:rPr>
                <w:rFonts w:hint="eastAsia" w:ascii="仿宋" w:hAnsi="仿宋" w:eastAsia="仿宋"/>
                <w:bCs/>
                <w:sz w:val="24"/>
                <w:szCs w:val="24"/>
              </w:rPr>
              <w:t>套</w:t>
            </w:r>
          </w:p>
        </w:tc>
        <w:tc>
          <w:tcPr>
            <w:tcW w:w="821" w:type="pct"/>
            <w:vAlign w:val="center"/>
          </w:tcPr>
          <w:p>
            <w:pPr>
              <w:jc w:val="center"/>
              <w:rPr>
                <w:rFonts w:hint="eastAsia" w:eastAsia="宋体"/>
                <w:b/>
                <w:bCs/>
                <w:color w:val="FF0000"/>
                <w:szCs w:val="21"/>
                <w:lang w:val="en-US" w:eastAsia="zh-CN"/>
              </w:rPr>
            </w:pPr>
            <w:r>
              <w:rPr>
                <w:rFonts w:hint="eastAsia" w:ascii="宋体" w:hAnsi="宋体"/>
                <w:b/>
                <w:color w:val="FF0000"/>
                <w:szCs w:val="21"/>
              </w:rPr>
              <w:t>拒绝进口</w:t>
            </w:r>
          </w:p>
        </w:tc>
        <w:tc>
          <w:tcPr>
            <w:tcW w:w="813"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889"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工业</w:t>
            </w:r>
          </w:p>
        </w:tc>
      </w:tr>
    </w:tbl>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w:t>
      </w:r>
      <w:r>
        <w:rPr>
          <w:rFonts w:hint="eastAsia" w:ascii="宋体" w:hAnsi="宋体"/>
          <w:b/>
          <w:color w:val="FF0000"/>
          <w:szCs w:val="21"/>
          <w:u w:val="single"/>
          <w:lang w:eastAsia="zh-CN"/>
        </w:rPr>
        <w:t>中国儿童生长发育智能评估与检测系统</w:t>
      </w:r>
      <w:r>
        <w:rPr>
          <w:rFonts w:hint="eastAsia" w:ascii="宋体" w:hAnsi="宋体"/>
          <w:b/>
          <w:color w:val="FF0000"/>
          <w:szCs w:val="21"/>
          <w:u w:val="single"/>
        </w:rPr>
        <w:t xml:space="preserve">   </w:t>
      </w:r>
      <w:r>
        <w:rPr>
          <w:rFonts w:hint="eastAsia" w:ascii="宋体" w:hAnsi="宋体"/>
          <w:b/>
          <w:color w:val="FF0000"/>
          <w:szCs w:val="21"/>
        </w:rPr>
        <w:t>。</w:t>
      </w:r>
    </w:p>
    <w:bookmarkEnd w:id="39"/>
    <w:p>
      <w:pPr>
        <w:rPr>
          <w:rFonts w:ascii="宋体" w:hAnsi="宋体"/>
          <w:b/>
          <w:color w:val="FF0000"/>
          <w:szCs w:val="21"/>
        </w:rPr>
      </w:pPr>
    </w:p>
    <w:p>
      <w:pPr>
        <w:pStyle w:val="8"/>
      </w:pPr>
    </w:p>
    <w:p>
      <w:pPr>
        <w:pStyle w:val="5"/>
        <w:spacing w:before="120" w:beforeLines="50" w:after="120" w:afterLines="50"/>
        <w:rPr>
          <w:sz w:val="28"/>
          <w:szCs w:val="28"/>
        </w:rPr>
      </w:pPr>
      <w:bookmarkStart w:id="41" w:name="_Toc128884461"/>
      <w:r>
        <w:rPr>
          <w:rFonts w:hint="eastAsia"/>
          <w:sz w:val="28"/>
          <w:szCs w:val="28"/>
        </w:rPr>
        <w:t>三、实质性条款</w:t>
      </w:r>
    </w:p>
    <w:tbl>
      <w:tblPr>
        <w:tblStyle w:val="44"/>
        <w:tblW w:w="8409"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40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7404" w:type="dxa"/>
            <w:vAlign w:val="center"/>
          </w:tcPr>
          <w:p>
            <w:pPr>
              <w:adjustRightInd w:val="0"/>
              <w:snapToGrid w:val="0"/>
              <w:spacing w:line="240" w:lineRule="auto"/>
              <w:jc w:val="left"/>
              <w:rPr>
                <w:rFonts w:hint="eastAsia" w:ascii="宋体" w:hAnsi="宋体"/>
                <w:b w:val="0"/>
                <w:bCs w:val="0"/>
                <w:color w:val="auto"/>
                <w:kern w:val="0"/>
                <w:szCs w:val="21"/>
              </w:rPr>
            </w:pPr>
            <w:r>
              <w:rPr>
                <w:rFonts w:hint="eastAsia" w:ascii="宋体" w:hAnsi="宋体" w:eastAsia="宋体" w:cs="宋体"/>
                <w:b w:val="0"/>
                <w:bCs w:val="0"/>
                <w:color w:val="auto"/>
                <w:szCs w:val="21"/>
              </w:rPr>
              <w:t>★2. 骨龄准确率≥93%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pPr>
              <w:adjustRightInd w:val="0"/>
              <w:snapToGrid w:val="0"/>
              <w:spacing w:line="360" w:lineRule="auto"/>
              <w:jc w:val="center"/>
              <w:rPr>
                <w:rFonts w:hint="eastAsia" w:ascii="宋体" w:hAnsi="宋体" w:eastAsia="宋体"/>
                <w:kern w:val="0"/>
                <w:szCs w:val="21"/>
                <w:lang w:eastAsia="zh-CN"/>
              </w:rPr>
            </w:pPr>
            <w:r>
              <w:rPr>
                <w:rFonts w:hint="eastAsia" w:ascii="宋体" w:hAnsi="宋体"/>
                <w:kern w:val="0"/>
                <w:szCs w:val="21"/>
                <w:lang w:val="en-US" w:eastAsia="zh-CN"/>
              </w:rPr>
              <w:t>2</w:t>
            </w:r>
          </w:p>
        </w:tc>
        <w:tc>
          <w:tcPr>
            <w:tcW w:w="740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740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740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adjustRightInd w:val="0"/>
              <w:snapToGrid w:val="0"/>
              <w:spacing w:line="360" w:lineRule="auto"/>
              <w:jc w:val="center"/>
              <w:rPr>
                <w:rFonts w:hint="default" w:ascii="宋体" w:hAnsi="宋体"/>
                <w:kern w:val="0"/>
                <w:szCs w:val="21"/>
                <w:lang w:val="en-US" w:eastAsia="zh-CN"/>
              </w:rPr>
            </w:pPr>
            <w:r>
              <w:rPr>
                <w:rFonts w:hint="eastAsia" w:ascii="宋体" w:hAnsi="宋体"/>
                <w:kern w:val="0"/>
                <w:szCs w:val="21"/>
                <w:lang w:val="en-US" w:eastAsia="zh-CN"/>
              </w:rPr>
              <w:t>5</w:t>
            </w:r>
          </w:p>
        </w:tc>
        <w:tc>
          <w:tcPr>
            <w:tcW w:w="740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rPr>
            </w:pPr>
            <w:r>
              <w:rPr>
                <w:rFonts w:hint="eastAsia" w:ascii="宋体" w:hAnsi="宋体" w:eastAsia="宋体" w:cs="宋体"/>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41"/>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2"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2"/>
    <w:tbl>
      <w:tblPr>
        <w:tblStyle w:val="44"/>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89" w:type="dxa"/>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587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389" w:type="dxa"/>
            <w:vMerge w:val="restart"/>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中国儿童生长发育智能评估与检测系统</w:t>
            </w:r>
          </w:p>
        </w:tc>
        <w:tc>
          <w:tcPr>
            <w:tcW w:w="5876" w:type="dxa"/>
          </w:tcPr>
          <w:p>
            <w:pPr>
              <w:pStyle w:val="75"/>
              <w:numPr>
                <w:ilvl w:val="0"/>
                <w:numId w:val="0"/>
              </w:numPr>
              <w:ind w:left="0" w:firstLineChars="0"/>
              <w:rPr>
                <w:rFonts w:hint="eastAsia" w:ascii="宋体" w:hAnsi="宋体" w:eastAsia="宋体" w:cs="宋体"/>
                <w:sz w:val="21"/>
                <w:szCs w:val="21"/>
              </w:rPr>
            </w:pPr>
            <w:r>
              <w:rPr>
                <w:rFonts w:hint="default" w:cs="宋体" w:asciiTheme="minorHAnsi" w:hAnsiTheme="minorHAnsi" w:eastAsiaTheme="minorEastAsia"/>
                <w:color w:val="000000"/>
                <w:kern w:val="2"/>
                <w:sz w:val="21"/>
                <w:szCs w:val="21"/>
                <w:lang w:val="en-US" w:eastAsia="zh-CN" w:bidi="ar-SA"/>
              </w:rPr>
              <w:t>1.</w:t>
            </w:r>
            <w:r>
              <w:rPr>
                <w:rFonts w:hint="eastAsia" w:ascii="宋体" w:hAnsi="宋体" w:eastAsia="宋体" w:cs="宋体"/>
                <w:color w:val="000000"/>
                <w:szCs w:val="21"/>
              </w:rPr>
              <w:t>多种骨龄标准:《中国青少年儿童手腕骨成熟度及评价方法》TY/T3001-2006骨龄标准（RUS-CHN、TW3-C RUS、TW3-C Carpal），同时支持TW3标准（TW3-RUS、TW3-Carpal）和G-P骨龄标准。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★2. 骨龄准确率≥93%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3.至少包含</w:t>
            </w:r>
            <w:r>
              <w:rPr>
                <w:rFonts w:hint="eastAsia" w:ascii="宋体" w:hAnsi="宋体" w:eastAsia="宋体" w:cs="宋体"/>
                <w:color w:val="000000"/>
                <w:szCs w:val="21"/>
              </w:rPr>
              <w:t xml:space="preserve"> 12张生长学图表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color w:val="000000"/>
                <w:szCs w:val="21"/>
              </w:rPr>
              <w:t xml:space="preserve"> 身高预测:中华-05身高预测，TW3身高预测，特纳综合征身高预测，按年龄的投射法，按骨龄的投射法，软骨发育不全成年身高预测法，特发性矮身高儿童身高预测法。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color w:val="000000"/>
                <w:szCs w:val="21"/>
              </w:rPr>
              <w:t xml:space="preserve"> 身高评价、体型评价、腰围、腰围身高比:《中国0-18岁儿童青少年身高、体重标准化生长曲线》</w:t>
            </w:r>
            <w:r>
              <w:rPr>
                <w:rFonts w:hint="eastAsia" w:ascii="宋体" w:hAnsi="宋体" w:eastAsia="宋体" w:cs="宋体"/>
                <w:color w:val="000000"/>
                <w:szCs w:val="21"/>
              </w:rPr>
              <w:br w:type="textWrapping"/>
            </w:r>
            <w:r>
              <w:rPr>
                <w:rFonts w:hint="eastAsia" w:ascii="宋体" w:hAnsi="宋体" w:eastAsia="宋体" w:cs="宋体"/>
                <w:color w:val="000000"/>
                <w:szCs w:val="21"/>
              </w:rPr>
              <w:t>《7 岁以下儿童生长标准》WS/T 423</w:t>
            </w:r>
            <w:r>
              <w:rPr>
                <w:rFonts w:hint="eastAsia" w:ascii="宋体" w:hAnsi="宋体" w:eastAsia="宋体" w:cs="宋体"/>
                <w:color w:val="000000"/>
                <w:szCs w:val="21"/>
              </w:rPr>
              <w:br w:type="textWrapping"/>
            </w:r>
            <w:r>
              <w:rPr>
                <w:rFonts w:hint="eastAsia" w:ascii="宋体" w:hAnsi="宋体" w:eastAsia="宋体" w:cs="宋体"/>
                <w:color w:val="000000"/>
                <w:szCs w:val="21"/>
              </w:rPr>
              <w:t>《学龄儿童青少年超重与肥胖筛查》WS/T 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 xml:space="preserve">6. 生长发育评价：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color w:val="000000"/>
                <w:szCs w:val="21"/>
              </w:rPr>
              <w:t xml:space="preserve"> 报告解读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cs="宋体"/>
                <w:color w:val="000000"/>
                <w:szCs w:val="21"/>
                <w:lang w:val="en-US" w:eastAsia="zh-CN"/>
              </w:rPr>
              <w:t>8</w:t>
            </w:r>
            <w:r>
              <w:rPr>
                <w:rFonts w:hint="eastAsia" w:ascii="宋体" w:hAnsi="宋体" w:eastAsia="宋体" w:cs="宋体"/>
                <w:color w:val="000000"/>
                <w:szCs w:val="21"/>
              </w:rPr>
              <w:t>. 智能诊断提醒:对存在生长发育异常，系统会自动提醒选择合适的预测身高方法。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Cs w:val="21"/>
              </w:rPr>
              <w:t xml:space="preserve"> </w:t>
            </w:r>
            <w:r>
              <w:rPr>
                <w:rFonts w:hint="eastAsia" w:ascii="宋体" w:hAnsi="宋体" w:eastAsia="宋体" w:cs="宋体"/>
                <w:color w:val="000000"/>
                <w:szCs w:val="21"/>
              </w:rPr>
              <w:t>基于调用知识库，结合患者诊断数据，生成个性化的身高管理方案。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cs="宋体"/>
                <w:szCs w:val="21"/>
                <w:lang w:val="en-US" w:eastAsia="zh-CN"/>
              </w:rPr>
              <w:t>10</w:t>
            </w:r>
            <w:r>
              <w:rPr>
                <w:rFonts w:hint="eastAsia" w:ascii="宋体" w:hAnsi="宋体" w:eastAsia="宋体" w:cs="宋体"/>
                <w:szCs w:val="21"/>
              </w:rPr>
              <w:t xml:space="preserve">. </w:t>
            </w:r>
            <w:r>
              <w:rPr>
                <w:rFonts w:hint="eastAsia" w:ascii="宋体" w:hAnsi="宋体" w:eastAsia="宋体" w:cs="宋体"/>
                <w:color w:val="000000"/>
                <w:szCs w:val="21"/>
              </w:rPr>
              <w:t>体重管理目标及方案：根据BMI和WHtR自动规划体重管理目标，给出维持体重、减重等建议，自动计算体重的减少量、热量的缺口、基础代谢、减重的周期及每日活动能量消耗，并开具建议。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rPr>
                <w:rFonts w:hint="eastAsia" w:ascii="宋体" w:hAnsi="宋体" w:eastAsia="宋体" w:cs="宋体"/>
                <w:color w:val="000000"/>
                <w:szCs w:val="21"/>
              </w:rPr>
            </w:pPr>
            <w:r>
              <w:rPr>
                <w:rFonts w:hint="eastAsia" w:ascii="宋体" w:hAnsi="宋体" w:eastAsia="宋体" w:cs="宋体"/>
                <w:szCs w:val="21"/>
              </w:rPr>
              <w:t>1</w:t>
            </w:r>
            <w:r>
              <w:rPr>
                <w:rFonts w:hint="eastAsia" w:ascii="宋体" w:hAnsi="宋体" w:cs="宋体"/>
                <w:szCs w:val="21"/>
                <w:lang w:val="en-US" w:eastAsia="zh-CN"/>
              </w:rPr>
              <w:t>1</w:t>
            </w:r>
            <w:r>
              <w:rPr>
                <w:rFonts w:hint="eastAsia" w:ascii="宋体" w:hAnsi="宋体" w:eastAsia="宋体" w:cs="宋体"/>
                <w:szCs w:val="21"/>
              </w:rPr>
              <w:t>. 至少包含</w:t>
            </w:r>
            <w:r>
              <w:rPr>
                <w:rFonts w:hint="eastAsia" w:ascii="宋体" w:hAnsi="宋体" w:eastAsia="宋体" w:cs="宋体"/>
                <w:color w:val="000000"/>
                <w:szCs w:val="21"/>
              </w:rPr>
              <w:t xml:space="preserve">十九张发育行为量表: </w:t>
            </w:r>
          </w:p>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0-6岁儿童发育行为评估量表(儿心量表-Ⅱ)</w:t>
            </w:r>
            <w:r>
              <w:rPr>
                <w:rFonts w:hint="eastAsia" w:ascii="宋体" w:hAnsi="宋体" w:eastAsia="宋体" w:cs="宋体"/>
                <w:color w:val="000000"/>
                <w:szCs w:val="21"/>
              </w:rPr>
              <w:br w:type="textWrapping"/>
            </w:r>
            <w:r>
              <w:rPr>
                <w:rFonts w:hint="eastAsia" w:ascii="宋体" w:hAnsi="宋体" w:eastAsia="宋体" w:cs="宋体"/>
                <w:color w:val="000000"/>
                <w:szCs w:val="21"/>
              </w:rPr>
              <w:t>改良孤独症筛查量表(M-CHAT中文修订版)</w:t>
            </w:r>
            <w:r>
              <w:rPr>
                <w:rFonts w:hint="eastAsia" w:ascii="宋体" w:hAnsi="宋体" w:eastAsia="宋体" w:cs="宋体"/>
                <w:color w:val="000000"/>
                <w:szCs w:val="21"/>
              </w:rPr>
              <w:br w:type="textWrapping"/>
            </w:r>
            <w:r>
              <w:rPr>
                <w:rFonts w:hint="eastAsia" w:ascii="宋体" w:hAnsi="宋体" w:eastAsia="宋体" w:cs="宋体"/>
                <w:color w:val="000000"/>
                <w:szCs w:val="21"/>
              </w:rPr>
              <w:t>孤独症行为量表(ABC)</w:t>
            </w:r>
            <w:r>
              <w:rPr>
                <w:rFonts w:hint="eastAsia" w:ascii="宋体" w:hAnsi="宋体" w:eastAsia="宋体" w:cs="宋体"/>
                <w:color w:val="000000"/>
                <w:szCs w:val="21"/>
              </w:rPr>
              <w:br w:type="textWrapping"/>
            </w:r>
            <w:r>
              <w:rPr>
                <w:rFonts w:hint="eastAsia" w:ascii="宋体" w:hAnsi="宋体" w:eastAsia="宋体" w:cs="宋体"/>
                <w:color w:val="000000"/>
                <w:szCs w:val="21"/>
              </w:rPr>
              <w:t>丹佛发育筛查(DDST)</w:t>
            </w:r>
            <w:r>
              <w:rPr>
                <w:rFonts w:hint="eastAsia" w:ascii="宋体" w:hAnsi="宋体" w:eastAsia="宋体" w:cs="宋体"/>
                <w:color w:val="000000"/>
                <w:szCs w:val="21"/>
              </w:rPr>
              <w:br w:type="textWrapping"/>
            </w:r>
            <w:r>
              <w:rPr>
                <w:rFonts w:hint="eastAsia" w:ascii="宋体" w:hAnsi="宋体" w:eastAsia="宋体" w:cs="宋体"/>
                <w:color w:val="000000"/>
                <w:szCs w:val="21"/>
              </w:rPr>
              <w:t>婴儿-初中学生社会生活能力量表S-M</w:t>
            </w:r>
            <w:r>
              <w:rPr>
                <w:rFonts w:hint="eastAsia" w:ascii="宋体" w:hAnsi="宋体" w:eastAsia="宋体" w:cs="宋体"/>
                <w:color w:val="000000"/>
                <w:szCs w:val="21"/>
              </w:rPr>
              <w:br w:type="textWrapping"/>
            </w:r>
            <w:r>
              <w:rPr>
                <w:rFonts w:hint="eastAsia" w:ascii="宋体" w:hAnsi="宋体" w:eastAsia="宋体" w:cs="宋体"/>
                <w:color w:val="000000"/>
                <w:szCs w:val="21"/>
              </w:rPr>
              <w:t>SNAP-IV父母及教师评定量表(26项)</w:t>
            </w:r>
            <w:r>
              <w:rPr>
                <w:rFonts w:hint="eastAsia" w:ascii="宋体" w:hAnsi="宋体" w:eastAsia="宋体" w:cs="宋体"/>
                <w:color w:val="000000"/>
                <w:szCs w:val="21"/>
              </w:rPr>
              <w:br w:type="textWrapping"/>
            </w:r>
            <w:r>
              <w:rPr>
                <w:rFonts w:hint="eastAsia" w:ascii="宋体" w:hAnsi="宋体" w:eastAsia="宋体" w:cs="宋体"/>
                <w:color w:val="000000"/>
                <w:szCs w:val="21"/>
              </w:rPr>
              <w:t>修订的幼儿孤独症量表(CHAT-23)</w:t>
            </w:r>
            <w:r>
              <w:rPr>
                <w:rFonts w:hint="eastAsia" w:ascii="宋体" w:hAnsi="宋体" w:eastAsia="宋体" w:cs="宋体"/>
                <w:color w:val="000000"/>
                <w:szCs w:val="21"/>
              </w:rPr>
              <w:br w:type="textWrapping"/>
            </w:r>
            <w:r>
              <w:rPr>
                <w:rFonts w:hint="eastAsia" w:ascii="宋体" w:hAnsi="宋体" w:eastAsia="宋体" w:cs="宋体"/>
                <w:color w:val="000000"/>
                <w:szCs w:val="21"/>
              </w:rPr>
              <w:t>儿童心理行为发育预警征象筛查问卷(WSCMBD)</w:t>
            </w:r>
            <w:r>
              <w:rPr>
                <w:rFonts w:hint="eastAsia" w:ascii="宋体" w:hAnsi="宋体" w:eastAsia="宋体" w:cs="宋体"/>
                <w:color w:val="000000"/>
                <w:szCs w:val="21"/>
              </w:rPr>
              <w:br w:type="textWrapping"/>
            </w:r>
            <w:r>
              <w:rPr>
                <w:rFonts w:hint="eastAsia" w:ascii="宋体" w:hAnsi="宋体" w:eastAsia="宋体" w:cs="宋体"/>
                <w:color w:val="000000"/>
                <w:szCs w:val="21"/>
              </w:rPr>
              <w:t>新生儿20项行为神经评分法(NBNA)</w:t>
            </w:r>
            <w:r>
              <w:rPr>
                <w:rFonts w:hint="eastAsia" w:ascii="宋体" w:hAnsi="宋体" w:eastAsia="宋体" w:cs="宋体"/>
                <w:color w:val="000000"/>
                <w:szCs w:val="21"/>
              </w:rPr>
              <w:br w:type="textWrapping"/>
            </w:r>
            <w:r>
              <w:rPr>
                <w:rFonts w:hint="eastAsia" w:ascii="宋体" w:hAnsi="宋体" w:eastAsia="宋体" w:cs="宋体"/>
                <w:color w:val="000000"/>
                <w:szCs w:val="21"/>
              </w:rPr>
              <w:t>Conners父母症状问卷(PSQ)</w:t>
            </w:r>
            <w:r>
              <w:rPr>
                <w:rFonts w:hint="eastAsia" w:ascii="宋体" w:hAnsi="宋体" w:eastAsia="宋体" w:cs="宋体"/>
                <w:color w:val="000000"/>
                <w:szCs w:val="21"/>
              </w:rPr>
              <w:br w:type="textWrapping"/>
            </w:r>
            <w:r>
              <w:rPr>
                <w:rFonts w:hint="eastAsia" w:ascii="宋体" w:hAnsi="宋体" w:eastAsia="宋体" w:cs="宋体"/>
                <w:color w:val="000000"/>
                <w:szCs w:val="21"/>
              </w:rPr>
              <w:t>耶鲁综合抽动严重程度量表(YGTSS)</w:t>
            </w:r>
            <w:r>
              <w:rPr>
                <w:rFonts w:hint="eastAsia" w:ascii="宋体" w:hAnsi="宋体" w:eastAsia="宋体" w:cs="宋体"/>
                <w:color w:val="000000"/>
                <w:szCs w:val="21"/>
              </w:rPr>
              <w:br w:type="textWrapping"/>
            </w:r>
            <w:r>
              <w:rPr>
                <w:rFonts w:hint="eastAsia" w:ascii="宋体" w:hAnsi="宋体" w:eastAsia="宋体" w:cs="宋体"/>
                <w:color w:val="000000"/>
                <w:szCs w:val="21"/>
              </w:rPr>
              <w:t>0~1神经运动检查20项（INMA）</w:t>
            </w:r>
            <w:r>
              <w:rPr>
                <w:rFonts w:hint="eastAsia" w:ascii="宋体" w:hAnsi="宋体" w:eastAsia="宋体" w:cs="宋体"/>
                <w:color w:val="000000"/>
                <w:szCs w:val="21"/>
              </w:rPr>
              <w:br w:type="textWrapping"/>
            </w:r>
            <w:r>
              <w:rPr>
                <w:rFonts w:hint="eastAsia" w:ascii="宋体" w:hAnsi="宋体" w:eastAsia="宋体" w:cs="宋体"/>
                <w:color w:val="000000"/>
                <w:szCs w:val="21"/>
              </w:rPr>
              <w:t>中国4~8个月婴儿气质量表（CITS）</w:t>
            </w:r>
            <w:r>
              <w:rPr>
                <w:rFonts w:hint="eastAsia" w:ascii="宋体" w:hAnsi="宋体" w:eastAsia="宋体" w:cs="宋体"/>
                <w:color w:val="000000"/>
                <w:szCs w:val="21"/>
              </w:rPr>
              <w:br w:type="textWrapping"/>
            </w:r>
            <w:r>
              <w:rPr>
                <w:rFonts w:hint="eastAsia" w:ascii="宋体" w:hAnsi="宋体" w:eastAsia="宋体" w:cs="宋体"/>
                <w:color w:val="000000"/>
                <w:szCs w:val="21"/>
              </w:rPr>
              <w:t>1~3岁幼儿气质量表（CTTS）</w:t>
            </w:r>
            <w:r>
              <w:rPr>
                <w:rFonts w:hint="eastAsia" w:ascii="宋体" w:hAnsi="宋体" w:eastAsia="宋体" w:cs="宋体"/>
                <w:color w:val="000000"/>
                <w:szCs w:val="21"/>
              </w:rPr>
              <w:br w:type="textWrapping"/>
            </w:r>
            <w:r>
              <w:rPr>
                <w:rFonts w:hint="eastAsia" w:ascii="宋体" w:hAnsi="宋体" w:eastAsia="宋体" w:cs="宋体"/>
                <w:color w:val="000000"/>
                <w:szCs w:val="21"/>
              </w:rPr>
              <w:t xml:space="preserve">0～6岁儿童发育筛查量表（DST） </w:t>
            </w:r>
            <w:r>
              <w:rPr>
                <w:rFonts w:hint="eastAsia" w:ascii="宋体" w:hAnsi="宋体" w:eastAsia="宋体" w:cs="宋体"/>
                <w:color w:val="000000"/>
                <w:szCs w:val="21"/>
              </w:rPr>
              <w:br w:type="textWrapping"/>
            </w:r>
            <w:r>
              <w:rPr>
                <w:rFonts w:hint="eastAsia" w:ascii="宋体" w:hAnsi="宋体" w:eastAsia="宋体" w:cs="宋体"/>
                <w:color w:val="000000"/>
                <w:szCs w:val="21"/>
              </w:rPr>
              <w:t>儿童孤独症评定量表（CARS）</w:t>
            </w:r>
            <w:r>
              <w:rPr>
                <w:rFonts w:hint="eastAsia" w:ascii="宋体" w:hAnsi="宋体" w:eastAsia="宋体" w:cs="宋体"/>
                <w:color w:val="000000"/>
                <w:szCs w:val="21"/>
              </w:rPr>
              <w:br w:type="textWrapping"/>
            </w:r>
            <w:r>
              <w:rPr>
                <w:rFonts w:hint="eastAsia" w:ascii="宋体" w:hAnsi="宋体" w:eastAsia="宋体" w:cs="宋体"/>
                <w:color w:val="000000"/>
                <w:szCs w:val="21"/>
              </w:rPr>
              <w:t>修订版孤独症筛查量表（M-CHAT）</w:t>
            </w:r>
            <w:r>
              <w:rPr>
                <w:rFonts w:hint="eastAsia" w:ascii="宋体" w:hAnsi="宋体" w:eastAsia="宋体" w:cs="宋体"/>
                <w:color w:val="000000"/>
                <w:szCs w:val="21"/>
              </w:rPr>
              <w:br w:type="textWrapping"/>
            </w:r>
            <w:r>
              <w:rPr>
                <w:rFonts w:hint="eastAsia" w:ascii="宋体" w:hAnsi="宋体" w:eastAsia="宋体" w:cs="宋体"/>
                <w:color w:val="000000"/>
                <w:szCs w:val="21"/>
              </w:rPr>
              <w:t>早期语言发育进程量表（EIMS）</w:t>
            </w:r>
            <w:r>
              <w:rPr>
                <w:rFonts w:hint="eastAsia" w:ascii="宋体" w:hAnsi="宋体" w:eastAsia="宋体" w:cs="宋体"/>
                <w:color w:val="000000"/>
                <w:szCs w:val="21"/>
              </w:rPr>
              <w:br w:type="textWrapping"/>
            </w:r>
            <w:r>
              <w:rPr>
                <w:rFonts w:hint="eastAsia" w:ascii="宋体" w:hAnsi="宋体" w:eastAsia="宋体" w:cs="宋体"/>
                <w:color w:val="000000"/>
                <w:szCs w:val="21"/>
              </w:rPr>
              <w:t>格塞尔发育诊断量表（Gesell）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Cs w:val="21"/>
              </w:rPr>
              <w:t>1</w:t>
            </w:r>
            <w:r>
              <w:rPr>
                <w:rFonts w:hint="eastAsia" w:ascii="宋体" w:hAnsi="宋体" w:cs="宋体"/>
                <w:szCs w:val="21"/>
                <w:lang w:val="en-US" w:eastAsia="zh-CN"/>
              </w:rPr>
              <w:t>2</w:t>
            </w:r>
            <w:r>
              <w:rPr>
                <w:rFonts w:hint="eastAsia" w:ascii="宋体" w:hAnsi="宋体" w:eastAsia="宋体" w:cs="宋体"/>
                <w:szCs w:val="21"/>
              </w:rPr>
              <w:t xml:space="preserve">. </w:t>
            </w:r>
            <w:r>
              <w:rPr>
                <w:rFonts w:hint="eastAsia" w:ascii="宋体" w:hAnsi="宋体" w:eastAsia="宋体" w:cs="宋体"/>
                <w:color w:val="000000"/>
                <w:szCs w:val="21"/>
              </w:rPr>
              <w:t>智能诊断意见和方案:智能生成诊断意见。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color w:val="000000"/>
                <w:szCs w:val="21"/>
              </w:rPr>
              <w:t xml:space="preserve"> 患者管理自动打标签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color w:val="000000"/>
                <w:szCs w:val="21"/>
              </w:rPr>
              <w:t xml:space="preserve"> 定期复诊提醒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Cs w:val="21"/>
              </w:rPr>
              <w:t xml:space="preserve"> 家庭端监测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1</w:t>
            </w:r>
            <w:r>
              <w:rPr>
                <w:rFonts w:hint="eastAsia" w:ascii="宋体" w:hAnsi="宋体" w:cs="宋体"/>
                <w:color w:val="000000"/>
                <w:szCs w:val="21"/>
                <w:lang w:val="en-US" w:eastAsia="zh-CN"/>
              </w:rPr>
              <w:t>6</w:t>
            </w:r>
            <w:r>
              <w:rPr>
                <w:rFonts w:hint="eastAsia" w:ascii="宋体" w:hAnsi="宋体" w:eastAsia="宋体" w:cs="宋体"/>
                <w:color w:val="000000"/>
                <w:szCs w:val="21"/>
              </w:rPr>
              <w:t>. 医院生成专属筛查二维码。家长扫码并提交信息后，可通过手机端即时查看筛查结果，便于及时发现儿童生长发育偏离；医生则可通过电脑端同步调阅筛查数据，实现信息的双端互联互通。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color w:val="000000"/>
                <w:szCs w:val="21"/>
              </w:rPr>
              <w:t xml:space="preserve"> 可提供义诊报名通道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color w:val="000000"/>
                <w:szCs w:val="21"/>
              </w:rPr>
              <w:t xml:space="preserve"> 可提供预问诊通道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cs="宋体"/>
                <w:color w:val="000000"/>
                <w:szCs w:val="21"/>
                <w:lang w:val="en-US" w:eastAsia="zh-CN"/>
              </w:rPr>
              <w:t>19</w:t>
            </w:r>
            <w:r>
              <w:rPr>
                <w:rFonts w:hint="eastAsia" w:ascii="宋体" w:hAnsi="宋体" w:eastAsia="宋体" w:cs="宋体"/>
                <w:color w:val="000000"/>
                <w:szCs w:val="21"/>
              </w:rPr>
              <w:t>. 一键发送消息:支持给批量给家长发送小程序消息，消息内容可自定义。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color w:val="000000"/>
                <w:szCs w:val="21"/>
              </w:rPr>
              <w:t xml:space="preserve"> 筛查分析:可统计科室和机构的筛查档案数、筛查报告量、年龄分布、身高百分位分布、体型分布、遗传潜力分布、导致疾病的可能原因、需要干预的原因。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2</w:t>
            </w:r>
            <w:r>
              <w:rPr>
                <w:rFonts w:hint="eastAsia" w:ascii="宋体" w:hAnsi="宋体" w:cs="宋体"/>
                <w:color w:val="000000"/>
                <w:szCs w:val="21"/>
                <w:lang w:val="en-US" w:eastAsia="zh-CN"/>
              </w:rPr>
              <w:t>1</w:t>
            </w:r>
            <w:r>
              <w:rPr>
                <w:rFonts w:hint="eastAsia" w:ascii="宋体" w:hAnsi="宋体" w:eastAsia="宋体" w:cs="宋体"/>
                <w:color w:val="000000"/>
                <w:szCs w:val="21"/>
              </w:rPr>
              <w:t>. 支持自定义时间按月、季度、年查看报告数量，可统计复诊间隔分布；可统计门诊复诊人数、复诊率、身高管理有效率；支持统计患者的年龄段分布、标签分布、身高百分位分布、发育类型分布、体型分布。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2</w:t>
            </w:r>
            <w:r>
              <w:rPr>
                <w:rFonts w:hint="eastAsia" w:ascii="宋体" w:hAnsi="宋体" w:cs="宋体"/>
                <w:color w:val="000000"/>
                <w:szCs w:val="21"/>
                <w:lang w:val="en-US" w:eastAsia="zh-CN"/>
              </w:rPr>
              <w:t>2</w:t>
            </w:r>
            <w:r>
              <w:rPr>
                <w:rFonts w:hint="eastAsia" w:ascii="宋体" w:hAnsi="宋体" w:eastAsia="宋体" w:cs="宋体"/>
                <w:color w:val="000000"/>
                <w:szCs w:val="21"/>
              </w:rPr>
              <w:t>. 数据导出:所有统计支持图和表查看以及导出。可按字段导出数据。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color w:val="000000"/>
                <w:szCs w:val="21"/>
              </w:rPr>
              <w:t xml:space="preserve"> 可自定义测定结果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2</w:t>
            </w:r>
            <w:r>
              <w:rPr>
                <w:rFonts w:hint="eastAsia" w:ascii="宋体" w:hAnsi="宋体" w:cs="宋体"/>
                <w:color w:val="000000"/>
                <w:szCs w:val="21"/>
                <w:lang w:val="en-US" w:eastAsia="zh-CN"/>
              </w:rPr>
              <w:t>4</w:t>
            </w:r>
            <w:r>
              <w:rPr>
                <w:rFonts w:hint="eastAsia" w:ascii="宋体" w:hAnsi="宋体" w:eastAsia="宋体" w:cs="宋体"/>
                <w:color w:val="000000"/>
                <w:szCs w:val="21"/>
              </w:rPr>
              <w:t>. 电子签名及打印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Cs w:val="21"/>
              </w:rPr>
              <w:t xml:space="preserve"> 骨龄学习:支持RUS-CHN、TW3-C RUS和TW3-C Carpal法的骨发育等级定义图文查看。平台内置不少于220张以上X光片及有经验者的答案，练习完成后自动计算准确率。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color w:val="000000"/>
                <w:szCs w:val="21"/>
              </w:rPr>
              <w:t xml:space="preserve"> 使用账户及年限:可建立多个使用账户(6组)，便于用户管理。智能读片</w:t>
            </w:r>
            <w:r>
              <w:rPr>
                <w:rFonts w:hint="eastAsia" w:ascii="宋体" w:hAnsi="宋体" w:eastAsia="宋体" w:cs="宋体"/>
                <w:color w:val="000000"/>
                <w:szCs w:val="21"/>
                <w:lang w:eastAsia="zh-CN"/>
              </w:rPr>
              <w:t>不少于</w:t>
            </w:r>
            <w:r>
              <w:rPr>
                <w:rFonts w:hint="eastAsia" w:ascii="宋体" w:hAnsi="宋体" w:eastAsia="宋体" w:cs="宋体"/>
                <w:color w:val="000000"/>
                <w:szCs w:val="21"/>
              </w:rPr>
              <w:t>5000份，使用年限不少于10年。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color w:val="000000"/>
                <w:szCs w:val="21"/>
              </w:rPr>
              <w:t xml:space="preserve"> 手机端读片:提供免费小程序读片。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sz w:val="21"/>
                <w:szCs w:val="21"/>
              </w:rPr>
            </w:pPr>
          </w:p>
        </w:tc>
        <w:tc>
          <w:tcPr>
            <w:tcW w:w="1389" w:type="dxa"/>
            <w:vMerge w:val="continue"/>
            <w:vAlign w:val="center"/>
          </w:tcPr>
          <w:p>
            <w:pPr>
              <w:jc w:val="center"/>
              <w:rPr>
                <w:rFonts w:hint="eastAsia" w:ascii="宋体" w:hAnsi="宋体" w:eastAsia="宋体" w:cs="宋体"/>
                <w:sz w:val="21"/>
                <w:szCs w:val="21"/>
              </w:rPr>
            </w:pPr>
          </w:p>
        </w:tc>
        <w:tc>
          <w:tcPr>
            <w:tcW w:w="5876"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color w:val="000000"/>
                <w:szCs w:val="21"/>
              </w:rPr>
              <w:t xml:space="preserve"> 安全性:符合以下标准：</w:t>
            </w:r>
            <w:r>
              <w:rPr>
                <w:rFonts w:hint="eastAsia" w:ascii="宋体" w:hAnsi="宋体" w:eastAsia="宋体" w:cs="宋体"/>
                <w:color w:val="000000"/>
                <w:szCs w:val="21"/>
              </w:rPr>
              <w:br w:type="textWrapping"/>
            </w:r>
            <w:r>
              <w:rPr>
                <w:rFonts w:hint="eastAsia" w:ascii="宋体" w:hAnsi="宋体" w:eastAsia="宋体" w:cs="宋体"/>
                <w:color w:val="000000"/>
                <w:szCs w:val="21"/>
              </w:rPr>
              <w:t>GB/T 22080-2016《信息技术 安全技术 信息安全管理体系要求》</w:t>
            </w:r>
            <w:r>
              <w:rPr>
                <w:rFonts w:hint="eastAsia" w:ascii="宋体" w:hAnsi="宋体" w:eastAsia="宋体" w:cs="宋体"/>
                <w:color w:val="000000"/>
                <w:szCs w:val="21"/>
              </w:rPr>
              <w:br w:type="textWrapping"/>
            </w:r>
            <w:r>
              <w:rPr>
                <w:rFonts w:hint="eastAsia" w:ascii="宋体" w:hAnsi="宋体" w:eastAsia="宋体" w:cs="宋体"/>
                <w:color w:val="000000"/>
                <w:szCs w:val="21"/>
              </w:rPr>
              <w:t>GB/T 22239-2019《信息安全技术 网络安全等级保护基本要求》</w:t>
            </w:r>
            <w:r>
              <w:rPr>
                <w:rFonts w:hint="eastAsia" w:ascii="宋体" w:hAnsi="宋体" w:eastAsia="宋体" w:cs="宋体"/>
                <w:color w:val="000000"/>
                <w:szCs w:val="21"/>
              </w:rPr>
              <w:br w:type="textWrapping"/>
            </w:r>
            <w:r>
              <w:rPr>
                <w:rFonts w:hint="eastAsia" w:ascii="宋体" w:hAnsi="宋体" w:eastAsia="宋体" w:cs="宋体"/>
                <w:color w:val="000000"/>
                <w:szCs w:val="21"/>
              </w:rPr>
              <w:t>GB/T 25058-2019《信息安全技术 网络安全等级保护实施指南》</w:t>
            </w:r>
            <w:r>
              <w:rPr>
                <w:rFonts w:hint="eastAsia" w:ascii="宋体" w:hAnsi="宋体" w:eastAsia="宋体" w:cs="宋体"/>
                <w:color w:val="000000"/>
                <w:szCs w:val="21"/>
              </w:rPr>
              <w:br w:type="textWrapping"/>
            </w:r>
            <w:r>
              <w:rPr>
                <w:rFonts w:hint="eastAsia" w:ascii="宋体" w:hAnsi="宋体" w:eastAsia="宋体" w:cs="宋体"/>
                <w:color w:val="000000"/>
                <w:szCs w:val="21"/>
              </w:rPr>
              <w:t>GB/T 22240-2020《信息安全技术 网络安全等级保护定级指南》</w:t>
            </w:r>
            <w:r>
              <w:rPr>
                <w:rFonts w:hint="eastAsia" w:ascii="宋体" w:hAnsi="宋体" w:eastAsia="宋体" w:cs="宋体"/>
                <w:color w:val="000000"/>
                <w:szCs w:val="21"/>
              </w:rPr>
              <w:br w:type="textWrapping"/>
            </w:r>
            <w:r>
              <w:rPr>
                <w:rFonts w:hint="eastAsia" w:ascii="宋体" w:hAnsi="宋体" w:eastAsia="宋体" w:cs="宋体"/>
                <w:color w:val="000000"/>
                <w:szCs w:val="21"/>
              </w:rPr>
              <w:t>GB/T 28448-2019《信息安全技术 网络安全等级保护测评要求》</w:t>
            </w:r>
            <w:r>
              <w:rPr>
                <w:rFonts w:hint="eastAsia" w:ascii="宋体" w:hAnsi="宋体" w:eastAsia="宋体" w:cs="宋体"/>
                <w:color w:val="000000"/>
                <w:szCs w:val="21"/>
              </w:rPr>
              <w:br w:type="textWrapping"/>
            </w:r>
            <w:r>
              <w:rPr>
                <w:rFonts w:hint="eastAsia" w:ascii="宋体" w:hAnsi="宋体" w:eastAsia="宋体" w:cs="宋体"/>
                <w:color w:val="000000"/>
                <w:szCs w:val="21"/>
              </w:rPr>
              <w:t>GB/T 28449-2018《信息安全技术 网络安全等级保护测评过程指南》</w:t>
            </w:r>
            <w:r>
              <w:rPr>
                <w:rFonts w:hint="eastAsia" w:ascii="宋体" w:hAnsi="宋体" w:eastAsia="宋体" w:cs="宋体"/>
                <w:color w:val="000000"/>
                <w:szCs w:val="21"/>
              </w:rPr>
              <w:br w:type="textWrapping"/>
            </w:r>
            <w:r>
              <w:rPr>
                <w:rFonts w:hint="eastAsia" w:ascii="宋体" w:hAnsi="宋体" w:eastAsia="宋体" w:cs="宋体"/>
                <w:color w:val="000000"/>
                <w:szCs w:val="21"/>
              </w:rPr>
              <w:t>GB/T 20984-2022《信息安全技术 信息安全风险评估方法》</w:t>
            </w:r>
            <w:r>
              <w:rPr>
                <w:rFonts w:hint="eastAsia" w:ascii="宋体" w:hAnsi="宋体" w:eastAsia="宋体" w:cs="宋体"/>
                <w:color w:val="000000"/>
                <w:szCs w:val="21"/>
              </w:rPr>
              <w:br w:type="textWrapping"/>
            </w:r>
            <w:r>
              <w:rPr>
                <w:rFonts w:hint="eastAsia" w:ascii="宋体" w:hAnsi="宋体" w:eastAsia="宋体" w:cs="宋体"/>
                <w:color w:val="000000"/>
                <w:szCs w:val="21"/>
              </w:rPr>
              <w:t>T/ISEAA 001-2020《网络安全等级保护测评高风险判定指引》</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501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3"/>
        <w:gridCol w:w="83"/>
        <w:gridCol w:w="1390"/>
        <w:gridCol w:w="202"/>
        <w:gridCol w:w="5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525"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6"/>
                <w:kern w:val="0"/>
                <w:sz w:val="21"/>
                <w:szCs w:val="21"/>
              </w:rPr>
              <w:t>序号</w:t>
            </w:r>
          </w:p>
        </w:tc>
        <w:tc>
          <w:tcPr>
            <w:tcW w:w="83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4"/>
                <w:kern w:val="0"/>
                <w:sz w:val="21"/>
                <w:szCs w:val="21"/>
              </w:rPr>
              <w:t>目录</w:t>
            </w:r>
          </w:p>
        </w:tc>
        <w:tc>
          <w:tcPr>
            <w:tcW w:w="3641"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position w:val="-1"/>
                <w:sz w:val="21"/>
                <w:szCs w:val="21"/>
              </w:rPr>
              <w:t>1</w:t>
            </w:r>
          </w:p>
        </w:tc>
        <w:tc>
          <w:tcPr>
            <w:tcW w:w="100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维修及维护服务</w:t>
            </w: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lang w:eastAsia="zh-CN"/>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9"/>
                <w:kern w:val="0"/>
                <w:sz w:val="21"/>
                <w:szCs w:val="21"/>
                <w:lang w:eastAsia="zh-CN"/>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1.2由生产厂家提供售后服务，4 小时内响应，24小时维修到位。消耗品和零配件供应及时，特殊情况下可提供备用机。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position w:val="-1"/>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w:t>
            </w:r>
            <w:r>
              <w:rPr>
                <w:rFonts w:hint="eastAsia" w:ascii="宋体" w:hAnsi="宋体" w:cs="宋体"/>
                <w:spacing w:val="9"/>
                <w:kern w:val="0"/>
                <w:szCs w:val="21"/>
              </w:rPr>
              <w:t>信息化：具备网络接口和联网功能，可接入医院信息管理系统，做好双向数据传输接口。（投标人承诺中标后负责接入，所需费用由投标人自行承担）</w:t>
            </w:r>
            <w:r>
              <w:rPr>
                <w:rFonts w:hint="eastAsia" w:ascii="宋体" w:hAnsi="宋体" w:eastAsia="宋体" w:cs="宋体"/>
                <w:spacing w:val="9"/>
                <w:kern w:val="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0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kern w:val="0"/>
                <w:sz w:val="21"/>
                <w:szCs w:val="21"/>
              </w:rPr>
            </w:pPr>
            <w:r>
              <w:rPr>
                <w:rFonts w:hint="eastAsia" w:ascii="宋体" w:hAnsi="宋体" w:eastAsia="宋体" w:cs="宋体"/>
                <w:spacing w:val="9"/>
                <w:kern w:val="0"/>
                <w:sz w:val="21"/>
                <w:szCs w:val="21"/>
              </w:rPr>
              <w:t>维修服务和优惠</w:t>
            </w:r>
            <w:r>
              <w:rPr>
                <w:rFonts w:hint="eastAsia" w:ascii="宋体" w:hAnsi="宋体" w:eastAsia="宋体" w:cs="宋体"/>
                <w:spacing w:val="6"/>
                <w:kern w:val="0"/>
                <w:sz w:val="21"/>
                <w:szCs w:val="21"/>
              </w:rPr>
              <w:t>价格</w:t>
            </w: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1.1由生产厂家提供售后服务，  4 小时内响应，  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宋体" w:hAnsi="宋体" w:eastAsia="宋体" w:cs="宋体"/>
                <w:spacing w:val="9"/>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9"/>
                <w:kern w:val="0"/>
                <w:sz w:val="21"/>
                <w:szCs w:val="21"/>
              </w:rPr>
            </w:pPr>
            <w:r>
              <w:rPr>
                <w:rFonts w:hint="eastAsia" w:ascii="宋体" w:hAnsi="宋体" w:eastAsia="宋体" w:cs="宋体"/>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0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8"/>
                <w:kern w:val="0"/>
                <w:sz w:val="21"/>
                <w:szCs w:val="21"/>
              </w:rPr>
              <w:t>交货要求</w:t>
            </w: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b/>
                <w:bCs/>
                <w:color w:val="FF0000"/>
                <w:spacing w:val="9"/>
                <w:kern w:val="0"/>
                <w:sz w:val="21"/>
                <w:szCs w:val="21"/>
              </w:rPr>
              <w:t>★</w:t>
            </w:r>
            <w:r>
              <w:rPr>
                <w:rFonts w:hint="eastAsia" w:ascii="宋体" w:hAnsi="宋体" w:eastAsia="宋体" w:cs="宋体"/>
                <w:b/>
                <w:bCs/>
                <w:spacing w:val="8"/>
                <w:kern w:val="0"/>
                <w:sz w:val="21"/>
                <w:szCs w:val="21"/>
              </w:rPr>
              <w:t>1.1投标人在签订合同之日起</w:t>
            </w:r>
            <w:r>
              <w:rPr>
                <w:rFonts w:hint="eastAsia" w:ascii="宋体" w:hAnsi="宋体" w:eastAsia="宋体" w:cs="宋体"/>
                <w:b/>
                <w:bCs/>
                <w:spacing w:val="8"/>
                <w:kern w:val="0"/>
                <w:sz w:val="21"/>
                <w:szCs w:val="21"/>
                <w:lang w:val="en-US" w:eastAsia="zh-CN"/>
              </w:rPr>
              <w:t>30</w:t>
            </w:r>
            <w:r>
              <w:rPr>
                <w:rFonts w:hint="eastAsia" w:ascii="宋体" w:hAnsi="宋体" w:eastAsia="宋体" w:cs="宋体"/>
                <w:b/>
                <w:bCs/>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0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3"/>
                <w:kern w:val="0"/>
                <w:sz w:val="21"/>
                <w:szCs w:val="21"/>
              </w:rPr>
              <w:t>运输、安装和验收</w:t>
            </w: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2.6由投标人代表、厂家代表和采购人组成验收小组对产品进行验收。验收标准按照产品技术参数要求和合同约定执行。经检验设备正常运作后签署验收报告，产品保修期自验收合格之日起算。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00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付款方式</w:t>
            </w: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将货物运至指定地点、完成安装调试、设备运行合格并通过验收后，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val="en-US" w:eastAsia="zh-CN" w:bidi="ar-SA"/>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00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3"/>
                <w:kern w:val="0"/>
                <w:sz w:val="21"/>
                <w:szCs w:val="21"/>
                <w:highlight w:val="none"/>
                <w:lang w:val="en-US" w:eastAsia="zh-CN"/>
              </w:rPr>
            </w:pPr>
            <w:r>
              <w:rPr>
                <w:rFonts w:hint="eastAsia" w:ascii="宋体" w:hAnsi="宋体" w:eastAsia="宋体" w:cs="宋体"/>
                <w:spacing w:val="3"/>
                <w:kern w:val="0"/>
                <w:sz w:val="21"/>
                <w:szCs w:val="21"/>
                <w:highlight w:val="none"/>
                <w:lang w:val="en-US" w:eastAsia="zh-CN"/>
              </w:rPr>
              <w:t>履约保证金</w:t>
            </w: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val="en-US" w:eastAsia="zh-CN" w:bidi="ar-SA"/>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7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004"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5"/>
                <w:kern w:val="0"/>
                <w:sz w:val="21"/>
                <w:szCs w:val="21"/>
              </w:rPr>
              <w:t>培训</w:t>
            </w:r>
          </w:p>
        </w:tc>
        <w:tc>
          <w:tcPr>
            <w:tcW w:w="3519"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0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知识产权</w:t>
            </w: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7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19"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jc w:val="center"/>
        </w:trPr>
        <w:tc>
          <w:tcPr>
            <w:tcW w:w="47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004" w:type="pct"/>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r>
              <w:rPr>
                <w:rFonts w:hint="eastAsia" w:ascii="宋体" w:hAnsi="宋体" w:eastAsia="宋体" w:cs="宋体"/>
                <w:spacing w:val="7"/>
                <w:kern w:val="0"/>
                <w:sz w:val="21"/>
                <w:szCs w:val="21"/>
              </w:rPr>
              <w:t>其他</w:t>
            </w:r>
          </w:p>
        </w:tc>
        <w:tc>
          <w:tcPr>
            <w:tcW w:w="3519" w:type="pct"/>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8"/>
                <w:kern w:val="0"/>
                <w:sz w:val="21"/>
                <w:szCs w:val="21"/>
              </w:rPr>
            </w:pPr>
            <w:r>
              <w:rPr>
                <w:rFonts w:hint="eastAsia" w:ascii="宋体" w:hAnsi="宋体" w:eastAsia="宋体" w:cs="宋体"/>
                <w:spacing w:val="8"/>
                <w:kern w:val="0"/>
                <w:sz w:val="21"/>
                <w:szCs w:val="21"/>
              </w:rPr>
              <w:t>5.1投标人应按其投标文件中的承诺，进行其他售后服务工作。</w:t>
            </w:r>
          </w:p>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spacing w:val="8"/>
                <w:kern w:val="0"/>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5"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19"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w:t>
            </w:r>
            <w:r>
              <w:rPr>
                <w:rFonts w:hint="eastAsia" w:ascii="宋体" w:hAnsi="宋体" w:cs="宋体"/>
                <w:b/>
                <w:bCs/>
                <w:color w:val="FF0000"/>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75"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kern w:val="0"/>
                <w:sz w:val="21"/>
                <w:szCs w:val="21"/>
              </w:rPr>
            </w:pPr>
          </w:p>
        </w:tc>
        <w:tc>
          <w:tcPr>
            <w:tcW w:w="1004" w:type="pct"/>
            <w:gridSpan w:val="3"/>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eastAsia="宋体" w:cs="宋体"/>
                <w:spacing w:val="7"/>
                <w:kern w:val="0"/>
                <w:sz w:val="21"/>
                <w:szCs w:val="21"/>
              </w:rPr>
            </w:pPr>
          </w:p>
        </w:tc>
        <w:tc>
          <w:tcPr>
            <w:tcW w:w="3519"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宋体" w:hAnsi="宋体" w:eastAsia="宋体" w:cs="宋体"/>
                <w:b/>
                <w:bCs/>
                <w:color w:val="FF0000"/>
                <w:spacing w:val="9"/>
                <w:kern w:val="0"/>
                <w:sz w:val="21"/>
                <w:szCs w:val="21"/>
              </w:rPr>
            </w:pPr>
            <w:r>
              <w:rPr>
                <w:rFonts w:hint="eastAsia" w:ascii="宋体" w:hAnsi="宋体" w:eastAsia="宋体" w:cs="宋体"/>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w:t>
      </w:r>
      <w:bookmarkStart w:id="47" w:name="OLE_LINK3"/>
      <w:r>
        <w:rPr>
          <w:rFonts w:hint="eastAsia"/>
          <w:szCs w:val="21"/>
        </w:rPr>
        <w:t>项目详细报价</w:t>
      </w:r>
      <w:bookmarkEnd w:id="47"/>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48" w:name="OLE_LINK4"/>
      <w:r>
        <w:rPr>
          <w:rFonts w:hint="eastAsia"/>
          <w:szCs w:val="21"/>
        </w:rPr>
        <w:t>项目实施方案</w:t>
      </w:r>
      <w:bookmarkEnd w:id="48"/>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w:t>
      </w:r>
      <w:bookmarkStart w:id="49" w:name="OLE_LINK5"/>
      <w:r>
        <w:rPr>
          <w:rFonts w:hint="eastAsia"/>
          <w:szCs w:val="21"/>
        </w:rPr>
        <w:t>免费保修期时长</w:t>
      </w:r>
      <w:bookmarkEnd w:id="49"/>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w:t>
      </w:r>
      <w:bookmarkStart w:id="50" w:name="OLE_LINK6"/>
      <w:r>
        <w:rPr>
          <w:rFonts w:hint="eastAsia"/>
          <w:szCs w:val="21"/>
        </w:rPr>
        <w:t>同类业绩</w:t>
      </w:r>
      <w:bookmarkEnd w:id="50"/>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144" w:name="_GoBack"/>
      <w:bookmarkStart w:id="51" w:name="OLE_LINK7"/>
      <w:r>
        <w:rPr>
          <w:rFonts w:hint="eastAsia"/>
          <w:szCs w:val="21"/>
        </w:rPr>
        <w:t>投标人认为需要加以说明的其他内容</w:t>
      </w:r>
      <w:bookmarkEnd w:id="51"/>
      <w:bookmarkEnd w:id="144"/>
    </w:p>
    <w:bookmarkEnd w:id="43"/>
    <w:p>
      <w:pPr>
        <w:ind w:left="718" w:leftChars="342" w:firstLine="1417" w:firstLineChars="675"/>
        <w:rPr>
          <w:szCs w:val="21"/>
        </w:rPr>
      </w:pPr>
    </w:p>
    <w:p>
      <w:pPr>
        <w:ind w:firstLine="426" w:firstLineChars="202"/>
        <w:rPr>
          <w:rFonts w:ascii="宋体" w:hAnsi="宋体"/>
          <w:b/>
          <w:szCs w:val="21"/>
        </w:rPr>
      </w:pPr>
      <w:bookmarkStart w:id="52"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53" w:name="_Hlk72263559"/>
      <w:r>
        <w:rPr>
          <w:rFonts w:hint="eastAsia" w:ascii="宋体" w:hAnsi="宋体"/>
          <w:b/>
          <w:szCs w:val="21"/>
        </w:rPr>
        <w:t>2.关于填写“开标一览表”的说明：“开标一览表”中除“投标总价”外，其他信息不作评审依据。</w:t>
      </w:r>
      <w:bookmarkEnd w:id="52"/>
      <w:bookmarkEnd w:id="53"/>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4"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5"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6" w:name="_Hlk72263588"/>
      <w:r>
        <w:rPr>
          <w:rFonts w:hint="eastAsia"/>
          <w:szCs w:val="21"/>
        </w:rPr>
        <w:t>愿意按照招标文件要求承包上述项目并修补其任何缺陷。</w:t>
      </w:r>
      <w:bookmarkEnd w:id="56"/>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7"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7"/>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5"/>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4"/>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8"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9" w:name="_Hlk72587269"/>
      <w:bookmarkStart w:id="60"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9"/>
      <w:r>
        <w:rPr>
          <w:rFonts w:hint="eastAsia" w:ascii="宋体" w:hAnsi="宋体"/>
          <w:szCs w:val="21"/>
        </w:rPr>
        <w:t>。</w:t>
      </w:r>
    </w:p>
    <w:bookmarkEnd w:id="60"/>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8"/>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61"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62" w:name="_Hlk72257908"/>
      <w:r>
        <w:rPr>
          <w:rFonts w:hint="eastAsia" w:ascii="黑体" w:hAnsi="宋体" w:eastAsia="黑体"/>
          <w:bCs/>
          <w:kern w:val="0"/>
          <w:sz w:val="24"/>
          <w:szCs w:val="32"/>
        </w:rPr>
        <w:t>（二）中小企业声明函、残疾人福利性单位声明函及监狱企业声明函</w:t>
      </w:r>
    </w:p>
    <w:bookmarkEnd w:id="61"/>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3"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3"/>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4" w:name="_Hlk73562331"/>
      <w:bookmarkStart w:id="65"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4"/>
    </w:p>
    <w:bookmarkEnd w:id="65"/>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62"/>
    </w:p>
    <w:p>
      <w:pPr>
        <w:pStyle w:val="3"/>
        <w:jc w:val="center"/>
        <w:rPr>
          <w:rFonts w:ascii="黑体" w:eastAsia="黑体"/>
          <w:b w:val="0"/>
          <w:sz w:val="24"/>
          <w:szCs w:val="24"/>
        </w:rPr>
      </w:pPr>
      <w:bookmarkStart w:id="66"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852"/>
        <w:gridCol w:w="852"/>
        <w:gridCol w:w="852"/>
        <w:gridCol w:w="852"/>
        <w:gridCol w:w="852"/>
        <w:gridCol w:w="852"/>
        <w:gridCol w:w="852"/>
        <w:gridCol w:w="852"/>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trPr>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5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5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5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5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5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中国儿童生长发育智能评估与检测系统</w:t>
            </w:r>
          </w:p>
        </w:tc>
        <w:tc>
          <w:tcPr>
            <w:tcW w:w="500" w:type="pct"/>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0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0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0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0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50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0"/>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合计（即投标总价；币种：人民币；单位：元） 小写：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大写：</w:t>
            </w:r>
          </w:p>
        </w:tc>
      </w:tr>
    </w:tbl>
    <w:p>
      <w:pPr>
        <w:ind w:firstLine="482" w:firstLineChars="200"/>
        <w:rPr>
          <w:rFonts w:hint="eastAsia" w:ascii="宋体" w:hAnsi="宋体"/>
          <w:b/>
          <w:sz w:val="24"/>
        </w:rPr>
      </w:pPr>
    </w:p>
    <w:p>
      <w:pPr>
        <w:ind w:firstLine="482" w:firstLineChars="200"/>
        <w:rPr>
          <w:rFonts w:hint="eastAsia" w:ascii="宋体" w:hAnsi="宋体"/>
          <w:b/>
          <w:sz w:val="24"/>
        </w:rPr>
      </w:pPr>
    </w:p>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7"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7"/>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8" w:name="_Hlk72073235"/>
      <w:r>
        <w:rPr>
          <w:rFonts w:hint="eastAsia"/>
          <w:b/>
          <w:sz w:val="24"/>
        </w:rPr>
        <w:t>投标人认为需要涉及的其他内容报价清单</w:t>
      </w:r>
      <w:bookmarkEnd w:id="68"/>
    </w:p>
    <w:p>
      <w:pPr>
        <w:rPr>
          <w:b/>
          <w:bCs/>
        </w:rPr>
      </w:pPr>
    </w:p>
    <w:bookmarkEnd w:id="66"/>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9"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70" w:name="_Hlk72092499"/>
      <w:r>
        <w:rPr>
          <w:rFonts w:hint="eastAsia" w:ascii="黑体" w:eastAsia="黑体"/>
          <w:b w:val="0"/>
          <w:sz w:val="24"/>
        </w:rPr>
        <w:t>法定代表人（负责人）证明书</w:t>
      </w:r>
      <w:bookmarkEnd w:id="70"/>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71" w:name="_Hlk72092634"/>
      <w:r>
        <w:rPr>
          <w:rFonts w:hint="eastAsia" w:ascii="黑体" w:eastAsia="黑体"/>
          <w:b w:val="0"/>
          <w:kern w:val="0"/>
          <w:sz w:val="24"/>
          <w:szCs w:val="24"/>
        </w:rPr>
        <w:t>实质性条款响应情况表</w:t>
      </w:r>
      <w:bookmarkEnd w:id="71"/>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240" w:lineRule="auto"/>
              <w:jc w:val="center"/>
              <w:rPr>
                <w:rFonts w:ascii="宋体" w:hAnsi="宋体"/>
                <w:b w:val="0"/>
                <w:bCs w:val="0"/>
                <w:color w:val="auto"/>
                <w:kern w:val="0"/>
                <w:szCs w:val="21"/>
              </w:rPr>
            </w:pPr>
            <w:bookmarkStart w:id="72" w:name="_Hlk72092651"/>
            <w:r>
              <w:rPr>
                <w:rFonts w:hint="eastAsia" w:ascii="宋体" w:hAnsi="宋体"/>
                <w:b w:val="0"/>
                <w:bCs w:val="0"/>
                <w:color w:val="auto"/>
                <w:kern w:val="0"/>
                <w:szCs w:val="21"/>
              </w:rPr>
              <w:t>序号</w:t>
            </w:r>
          </w:p>
        </w:tc>
        <w:tc>
          <w:tcPr>
            <w:tcW w:w="2664" w:type="dxa"/>
            <w:vAlign w:val="center"/>
          </w:tcPr>
          <w:p>
            <w:pPr>
              <w:adjustRightInd w:val="0"/>
              <w:snapToGrid w:val="0"/>
              <w:spacing w:line="240" w:lineRule="auto"/>
              <w:jc w:val="center"/>
              <w:rPr>
                <w:rFonts w:ascii="宋体" w:hAnsi="宋体"/>
                <w:b w:val="0"/>
                <w:bCs w:val="0"/>
                <w:color w:val="auto"/>
                <w:kern w:val="0"/>
                <w:szCs w:val="21"/>
              </w:rPr>
            </w:pPr>
            <w:r>
              <w:rPr>
                <w:rFonts w:hint="eastAsia" w:ascii="宋体" w:hAnsi="宋体"/>
                <w:b w:val="0"/>
                <w:bCs w:val="0"/>
                <w:color w:val="auto"/>
                <w:kern w:val="0"/>
                <w:szCs w:val="21"/>
              </w:rPr>
              <w:t>实质性条款具体内容</w:t>
            </w:r>
          </w:p>
        </w:tc>
        <w:tc>
          <w:tcPr>
            <w:tcW w:w="158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投标响应</w:t>
            </w:r>
          </w:p>
        </w:tc>
        <w:tc>
          <w:tcPr>
            <w:tcW w:w="1842"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偏离情况</w:t>
            </w:r>
          </w:p>
        </w:tc>
        <w:tc>
          <w:tcPr>
            <w:tcW w:w="141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说明</w:t>
            </w:r>
          </w:p>
        </w:tc>
      </w:tr>
      <w:bookmark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1</w:t>
            </w:r>
          </w:p>
        </w:tc>
        <w:tc>
          <w:tcPr>
            <w:tcW w:w="2664" w:type="dxa"/>
            <w:vAlign w:val="center"/>
          </w:tcPr>
          <w:p>
            <w:pPr>
              <w:adjustRightInd w:val="0"/>
              <w:snapToGrid w:val="0"/>
              <w:spacing w:line="240" w:lineRule="auto"/>
              <w:jc w:val="left"/>
              <w:rPr>
                <w:rFonts w:hint="eastAsia" w:ascii="宋体" w:hAnsi="宋体" w:eastAsia="宋体" w:cs="Times New Roman"/>
                <w:b w:val="0"/>
                <w:bCs w:val="0"/>
                <w:color w:val="auto"/>
                <w:kern w:val="0"/>
                <w:sz w:val="21"/>
                <w:szCs w:val="21"/>
                <w:lang w:val="en-US" w:eastAsia="zh-CN" w:bidi="ar-SA"/>
              </w:rPr>
            </w:pPr>
            <w:r>
              <w:rPr>
                <w:rFonts w:hint="eastAsia" w:ascii="宋体" w:hAnsi="宋体" w:eastAsia="宋体" w:cs="宋体"/>
                <w:b w:val="0"/>
                <w:bCs w:val="0"/>
                <w:color w:val="auto"/>
                <w:szCs w:val="21"/>
              </w:rPr>
              <w:t>★2. 骨龄准确率≥93%</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2</w:t>
            </w:r>
          </w:p>
        </w:tc>
        <w:tc>
          <w:tcPr>
            <w:tcW w:w="266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 w:val="21"/>
                <w:szCs w:val="21"/>
                <w:lang w:eastAsia="zh-CN"/>
              </w:rPr>
              <w:t>1.1提供主机及配件免费保修期5年，保修期以验收合格，双方代表签署“验收报告”之日起计算。</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3</w:t>
            </w:r>
          </w:p>
        </w:tc>
        <w:tc>
          <w:tcPr>
            <w:tcW w:w="266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rPr>
              <w:t>1.1投标人在签订合同之日起</w:t>
            </w:r>
            <w:r>
              <w:rPr>
                <w:rFonts w:hint="eastAsia" w:ascii="宋体" w:hAnsi="宋体" w:eastAsia="宋体" w:cs="宋体"/>
                <w:b w:val="0"/>
                <w:bCs w:val="0"/>
                <w:color w:val="auto"/>
                <w:spacing w:val="8"/>
                <w:kern w:val="0"/>
                <w:sz w:val="21"/>
                <w:szCs w:val="21"/>
                <w:lang w:val="en-US" w:eastAsia="zh-CN"/>
              </w:rPr>
              <w:t>30</w:t>
            </w:r>
            <w:r>
              <w:rPr>
                <w:rFonts w:hint="eastAsia" w:ascii="宋体" w:hAnsi="宋体" w:eastAsia="宋体" w:cs="宋体"/>
                <w:b w:val="0"/>
                <w:bCs w:val="0"/>
                <w:color w:val="auto"/>
                <w:spacing w:val="8"/>
                <w:kern w:val="0"/>
                <w:sz w:val="21"/>
                <w:szCs w:val="21"/>
              </w:rPr>
              <w:t xml:space="preserve"> 天（日历日）内交货。</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cs="宋体"/>
                <w:b w:val="0"/>
                <w:bCs w:val="0"/>
                <w:color w:val="auto"/>
                <w:spacing w:val="9"/>
                <w:kern w:val="0"/>
                <w:sz w:val="21"/>
                <w:szCs w:val="21"/>
                <w:lang w:val="en-US" w:eastAsia="zh-CN"/>
              </w:rPr>
              <w:t>4</w:t>
            </w:r>
          </w:p>
        </w:tc>
        <w:tc>
          <w:tcPr>
            <w:tcW w:w="266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cs="宋体"/>
                <w:b w:val="0"/>
                <w:bCs w:val="0"/>
                <w:color w:val="auto"/>
                <w:spacing w:val="9"/>
                <w:kern w:val="0"/>
                <w:szCs w:val="21"/>
              </w:rPr>
              <w:t>所提供产品或服务满足国家网络安全管理要求，遵守医疗行业和医院网络安全管理规范，保护医院和患者信息安全。医疗设备自带软件（如有）具备合格的软件功能及安全测评报告、源代码安全审计报告和网络及数据接口说明等。</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default" w:ascii="宋体" w:hAnsi="宋体" w:cs="宋体"/>
                <w:b w:val="0"/>
                <w:bCs w:val="0"/>
                <w:color w:val="auto"/>
                <w:spacing w:val="9"/>
                <w:kern w:val="0"/>
                <w:sz w:val="21"/>
                <w:szCs w:val="21"/>
                <w:lang w:val="en-US" w:eastAsia="zh-CN"/>
              </w:rPr>
            </w:pPr>
            <w:r>
              <w:rPr>
                <w:rFonts w:hint="eastAsia" w:ascii="宋体" w:hAnsi="宋体" w:cs="宋体"/>
                <w:b w:val="0"/>
                <w:bCs w:val="0"/>
                <w:color w:val="auto"/>
                <w:spacing w:val="9"/>
                <w:kern w:val="0"/>
                <w:sz w:val="21"/>
                <w:szCs w:val="21"/>
                <w:lang w:val="en-US" w:eastAsia="zh-CN"/>
              </w:rPr>
              <w:t>5</w:t>
            </w:r>
          </w:p>
        </w:tc>
        <w:tc>
          <w:tcPr>
            <w:tcW w:w="2664" w:type="dxa"/>
            <w:vAlign w:val="center"/>
          </w:tcPr>
          <w:p>
            <w:pPr>
              <w:pStyle w:val="54"/>
              <w:rPr>
                <w:rFonts w:hint="eastAsia" w:ascii="宋体" w:hAnsi="宋体" w:eastAsia="宋体" w:cs="宋体"/>
                <w:b w:val="0"/>
                <w:bCs w:val="0"/>
                <w:color w:val="auto"/>
                <w:spacing w:val="9"/>
                <w:kern w:val="0"/>
                <w:sz w:val="21"/>
                <w:szCs w:val="21"/>
              </w:rPr>
            </w:pPr>
            <w:r>
              <w:rPr>
                <w:rFonts w:hint="eastAsia" w:ascii="宋体" w:hAnsi="宋体" w:eastAsia="宋体" w:cs="宋体"/>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bl>
    <w:p>
      <w:pPr>
        <w:ind w:firstLine="482" w:firstLineChars="200"/>
        <w:rPr>
          <w:b/>
          <w:sz w:val="24"/>
          <w:szCs w:val="22"/>
        </w:rPr>
      </w:pPr>
    </w:p>
    <w:p>
      <w:pPr>
        <w:ind w:firstLine="482" w:firstLineChars="200"/>
        <w:rPr>
          <w:b/>
          <w:sz w:val="24"/>
          <w:szCs w:val="22"/>
        </w:rPr>
      </w:pPr>
    </w:p>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9"/>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89"/>
        <w:gridCol w:w="2119"/>
        <w:gridCol w:w="1652"/>
        <w:gridCol w:w="152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521" w:type="pct"/>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241"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招标技术要求</w:t>
            </w:r>
          </w:p>
        </w:tc>
        <w:tc>
          <w:tcPr>
            <w:tcW w:w="967" w:type="pct"/>
            <w:vAlign w:val="center"/>
          </w:tcPr>
          <w:p>
            <w:pPr>
              <w:adjustRightInd w:val="0"/>
              <w:snapToGrid w:val="0"/>
              <w:spacing w:line="360" w:lineRule="auto"/>
              <w:jc w:val="center"/>
              <w:rPr>
                <w:rFonts w:hint="eastAsia" w:ascii="宋体" w:hAnsi="宋体" w:eastAsia="宋体" w:cs="Times New Roman"/>
                <w:kern w:val="0"/>
                <w:sz w:val="21"/>
                <w:szCs w:val="21"/>
                <w:lang w:val="en-US" w:eastAsia="zh-CN" w:bidi="ar-SA"/>
              </w:rPr>
            </w:pPr>
            <w:r>
              <w:rPr>
                <w:rFonts w:hint="eastAsia"/>
              </w:rPr>
              <w:t>投标响应</w:t>
            </w:r>
          </w:p>
        </w:tc>
        <w:tc>
          <w:tcPr>
            <w:tcW w:w="890" w:type="pct"/>
            <w:vAlign w:val="center"/>
          </w:tcPr>
          <w:p>
            <w:pPr>
              <w:adjustRightInd w:val="0"/>
              <w:snapToGrid w:val="0"/>
              <w:spacing w:line="360" w:lineRule="auto"/>
              <w:jc w:val="center"/>
              <w:rPr>
                <w:rFonts w:hint="eastAsia" w:ascii="宋体" w:hAnsi="宋体" w:eastAsia="宋体" w:cs="Times New Roman"/>
                <w:kern w:val="0"/>
                <w:sz w:val="21"/>
                <w:szCs w:val="21"/>
                <w:lang w:val="en-US" w:eastAsia="zh-CN" w:bidi="ar-SA"/>
              </w:rPr>
            </w:pPr>
            <w:r>
              <w:rPr>
                <w:rFonts w:hint="eastAsia"/>
              </w:rPr>
              <w:t>偏离情况</w:t>
            </w:r>
          </w:p>
        </w:tc>
        <w:tc>
          <w:tcPr>
            <w:tcW w:w="1124" w:type="pct"/>
            <w:vAlign w:val="center"/>
          </w:tcPr>
          <w:p>
            <w:pPr>
              <w:adjustRightInd w:val="0"/>
              <w:snapToGrid w:val="0"/>
              <w:spacing w:line="360" w:lineRule="auto"/>
              <w:jc w:val="center"/>
              <w:rPr>
                <w:rFonts w:hint="eastAsia" w:ascii="宋体" w:hAnsi="宋体" w:eastAsia="宋体" w:cs="Times New Roman"/>
                <w:kern w:val="0"/>
                <w:sz w:val="21"/>
                <w:szCs w:val="21"/>
                <w:lang w:val="en-US" w:eastAsia="zh-CN" w:bidi="ar-SA"/>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521" w:type="pct"/>
            <w:vMerge w:val="restart"/>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中国儿童生长发育智能评估与检测系统</w:t>
            </w:r>
          </w:p>
        </w:tc>
        <w:tc>
          <w:tcPr>
            <w:tcW w:w="1241" w:type="pct"/>
          </w:tcPr>
          <w:p>
            <w:pPr>
              <w:widowControl/>
              <w:jc w:val="left"/>
              <w:textAlignment w:val="center"/>
              <w:rPr>
                <w:rFonts w:hint="eastAsia" w:ascii="宋体" w:hAnsi="宋体" w:eastAsia="宋体" w:cs="宋体"/>
                <w:sz w:val="21"/>
                <w:szCs w:val="21"/>
              </w:rPr>
            </w:pPr>
            <w:r>
              <w:rPr>
                <w:rFonts w:hint="eastAsia" w:ascii="宋体" w:hAnsi="宋体" w:cs="宋体"/>
                <w:szCs w:val="21"/>
                <w:lang w:val="en-US" w:eastAsia="zh-CN"/>
              </w:rPr>
              <w:t>1.</w:t>
            </w:r>
            <w:r>
              <w:rPr>
                <w:rFonts w:hint="eastAsia" w:ascii="宋体" w:hAnsi="宋体" w:eastAsia="宋体" w:cs="宋体"/>
                <w:szCs w:val="21"/>
              </w:rPr>
              <w:t>多种骨龄标准:《中国青少年儿童手腕骨成熟度及评价方法》TY/T3001-2006骨龄标准（RUS-CHN、TW3-C RUS、TW3-C Carpal），同时支持TW3标准（TW3-RUS、TW3-Carpal）和G-P骨龄标准。</w:t>
            </w:r>
          </w:p>
        </w:tc>
        <w:tc>
          <w:tcPr>
            <w:tcW w:w="967" w:type="pct"/>
          </w:tcPr>
          <w:p>
            <w:pPr>
              <w:pStyle w:val="75"/>
              <w:numPr>
                <w:ilvl w:val="0"/>
                <w:numId w:val="0"/>
              </w:numPr>
              <w:ind w:left="360" w:hanging="360" w:firstLineChars="0"/>
              <w:rPr>
                <w:rFonts w:hint="eastAsia" w:ascii="宋体" w:hAnsi="宋体" w:eastAsia="宋体" w:cs="宋体"/>
                <w:color w:val="000000"/>
                <w:szCs w:val="21"/>
              </w:rPr>
            </w:pPr>
          </w:p>
        </w:tc>
        <w:tc>
          <w:tcPr>
            <w:tcW w:w="890" w:type="pct"/>
          </w:tcPr>
          <w:p>
            <w:pPr>
              <w:pStyle w:val="75"/>
              <w:numPr>
                <w:ilvl w:val="0"/>
                <w:numId w:val="0"/>
              </w:numPr>
              <w:ind w:left="360" w:hanging="360" w:firstLineChars="0"/>
              <w:rPr>
                <w:rFonts w:hint="eastAsia" w:ascii="宋体" w:hAnsi="宋体" w:eastAsia="宋体" w:cs="宋体"/>
                <w:color w:val="000000"/>
                <w:szCs w:val="21"/>
              </w:rPr>
            </w:pPr>
          </w:p>
        </w:tc>
        <w:tc>
          <w:tcPr>
            <w:tcW w:w="1124" w:type="pct"/>
          </w:tcPr>
          <w:p>
            <w:pPr>
              <w:pStyle w:val="75"/>
              <w:numPr>
                <w:ilvl w:val="-1"/>
                <w:numId w:val="0"/>
              </w:numPr>
              <w:ind w:left="0" w:firstLine="0" w:firstLineChars="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Cs w:val="21"/>
              </w:rPr>
              <w:t>★2. 骨龄准确率≥93%</w:t>
            </w:r>
          </w:p>
        </w:tc>
        <w:tc>
          <w:tcPr>
            <w:tcW w:w="967" w:type="pct"/>
            <w:vAlign w:val="center"/>
          </w:tcPr>
          <w:p>
            <w:pPr>
              <w:widowControl/>
              <w:jc w:val="left"/>
              <w:textAlignment w:val="center"/>
              <w:rPr>
                <w:rFonts w:hint="eastAsia" w:ascii="宋体" w:hAnsi="宋体" w:eastAsia="宋体" w:cs="宋体"/>
                <w:color w:val="000000"/>
                <w:szCs w:val="21"/>
              </w:rPr>
            </w:pPr>
          </w:p>
        </w:tc>
        <w:tc>
          <w:tcPr>
            <w:tcW w:w="890" w:type="pct"/>
            <w:vAlign w:val="center"/>
          </w:tcPr>
          <w:p>
            <w:pPr>
              <w:widowControl/>
              <w:jc w:val="left"/>
              <w:textAlignment w:val="center"/>
              <w:rPr>
                <w:rFonts w:hint="eastAsia" w:ascii="宋体" w:hAnsi="宋体" w:eastAsia="宋体" w:cs="宋体"/>
                <w:color w:val="000000"/>
                <w:szCs w:val="21"/>
              </w:rPr>
            </w:pPr>
          </w:p>
        </w:tc>
        <w:tc>
          <w:tcPr>
            <w:tcW w:w="1124" w:type="pct"/>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3.至少包含</w:t>
            </w:r>
            <w:r>
              <w:rPr>
                <w:rFonts w:hint="eastAsia" w:ascii="宋体" w:hAnsi="宋体" w:eastAsia="宋体" w:cs="宋体"/>
                <w:color w:val="000000"/>
                <w:szCs w:val="21"/>
              </w:rPr>
              <w:t xml:space="preserve"> 12张生长学图表</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color w:val="000000"/>
                <w:szCs w:val="21"/>
              </w:rPr>
              <w:t xml:space="preserve"> 身高预测:中华-05身高预测，TW3身高预测，特纳综合征身高预测，按年龄的投射法，按骨龄的投射法，软骨发育不全成年身高预测法，特发性矮身高儿童身高预测法。</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color w:val="000000"/>
                <w:szCs w:val="21"/>
              </w:rPr>
              <w:t xml:space="preserve"> 身高评价、体型评价、腰围、腰围身高比:《中国0-18岁儿童青少年身高、体重标准化生长曲线》</w:t>
            </w:r>
            <w:r>
              <w:rPr>
                <w:rFonts w:hint="eastAsia" w:ascii="宋体" w:hAnsi="宋体" w:eastAsia="宋体" w:cs="宋体"/>
                <w:color w:val="000000"/>
                <w:szCs w:val="21"/>
              </w:rPr>
              <w:br w:type="textWrapping"/>
            </w:r>
            <w:r>
              <w:rPr>
                <w:rFonts w:hint="eastAsia" w:ascii="宋体" w:hAnsi="宋体" w:eastAsia="宋体" w:cs="宋体"/>
                <w:color w:val="000000"/>
                <w:szCs w:val="21"/>
              </w:rPr>
              <w:t>《7 岁以下儿童生长标准》WS/T 423</w:t>
            </w:r>
            <w:r>
              <w:rPr>
                <w:rFonts w:hint="eastAsia" w:ascii="宋体" w:hAnsi="宋体" w:eastAsia="宋体" w:cs="宋体"/>
                <w:color w:val="000000"/>
                <w:szCs w:val="21"/>
              </w:rPr>
              <w:br w:type="textWrapping"/>
            </w:r>
            <w:r>
              <w:rPr>
                <w:rFonts w:hint="eastAsia" w:ascii="宋体" w:hAnsi="宋体" w:eastAsia="宋体" w:cs="宋体"/>
                <w:color w:val="000000"/>
                <w:szCs w:val="21"/>
              </w:rPr>
              <w:t>《学龄儿童青少年超重与肥胖筛查》WS/T 586</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 xml:space="preserve">6. 生长发育评价： </w:t>
            </w:r>
          </w:p>
        </w:tc>
        <w:tc>
          <w:tcPr>
            <w:tcW w:w="967" w:type="pct"/>
            <w:vAlign w:val="center"/>
          </w:tcPr>
          <w:p>
            <w:pPr>
              <w:widowControl/>
              <w:jc w:val="left"/>
              <w:textAlignment w:val="center"/>
              <w:rPr>
                <w:rFonts w:hint="eastAsia" w:ascii="宋体" w:hAnsi="宋体" w:eastAsia="宋体" w:cs="宋体"/>
                <w:color w:val="000000"/>
                <w:szCs w:val="21"/>
              </w:rPr>
            </w:pPr>
          </w:p>
        </w:tc>
        <w:tc>
          <w:tcPr>
            <w:tcW w:w="890" w:type="pct"/>
            <w:vAlign w:val="center"/>
          </w:tcPr>
          <w:p>
            <w:pPr>
              <w:widowControl/>
              <w:jc w:val="left"/>
              <w:textAlignment w:val="center"/>
              <w:rPr>
                <w:rFonts w:hint="eastAsia" w:ascii="宋体" w:hAnsi="宋体" w:eastAsia="宋体" w:cs="宋体"/>
                <w:color w:val="000000"/>
                <w:szCs w:val="21"/>
              </w:rPr>
            </w:pPr>
          </w:p>
        </w:tc>
        <w:tc>
          <w:tcPr>
            <w:tcW w:w="1124" w:type="pct"/>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color w:val="000000"/>
                <w:szCs w:val="21"/>
              </w:rPr>
              <w:t xml:space="preserve"> 报告解读</w:t>
            </w:r>
          </w:p>
        </w:tc>
        <w:tc>
          <w:tcPr>
            <w:tcW w:w="967" w:type="pct"/>
            <w:vAlign w:val="center"/>
          </w:tcPr>
          <w:p>
            <w:pPr>
              <w:widowControl/>
              <w:jc w:val="left"/>
              <w:textAlignment w:val="center"/>
              <w:rPr>
                <w:rFonts w:hint="eastAsia" w:ascii="宋体" w:hAnsi="宋体" w:cs="宋体"/>
                <w:sz w:val="21"/>
                <w:szCs w:val="21"/>
                <w:lang w:val="en-US" w:eastAsia="zh-CN"/>
              </w:rPr>
            </w:pPr>
          </w:p>
        </w:tc>
        <w:tc>
          <w:tcPr>
            <w:tcW w:w="890" w:type="pct"/>
            <w:vAlign w:val="center"/>
          </w:tcPr>
          <w:p>
            <w:pPr>
              <w:widowControl/>
              <w:jc w:val="left"/>
              <w:textAlignment w:val="center"/>
              <w:rPr>
                <w:rFonts w:hint="eastAsia" w:ascii="宋体" w:hAnsi="宋体" w:cs="宋体"/>
                <w:sz w:val="21"/>
                <w:szCs w:val="21"/>
                <w:lang w:val="en-US" w:eastAsia="zh-CN"/>
              </w:rPr>
            </w:pPr>
          </w:p>
        </w:tc>
        <w:tc>
          <w:tcPr>
            <w:tcW w:w="1124" w:type="pct"/>
            <w:vAlign w:val="center"/>
          </w:tcPr>
          <w:p>
            <w:pPr>
              <w:widowControl/>
              <w:jc w:val="left"/>
              <w:textAlignment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cs="宋体"/>
                <w:color w:val="000000"/>
                <w:szCs w:val="21"/>
                <w:lang w:val="en-US" w:eastAsia="zh-CN"/>
              </w:rPr>
              <w:t>8</w:t>
            </w:r>
            <w:r>
              <w:rPr>
                <w:rFonts w:hint="eastAsia" w:ascii="宋体" w:hAnsi="宋体" w:eastAsia="宋体" w:cs="宋体"/>
                <w:color w:val="000000"/>
                <w:szCs w:val="21"/>
              </w:rPr>
              <w:t>. 智能诊断提醒:对存在生长发育异常，系统会自动提醒选择合适的预测身高方法。</w:t>
            </w:r>
          </w:p>
        </w:tc>
        <w:tc>
          <w:tcPr>
            <w:tcW w:w="967" w:type="pct"/>
            <w:vAlign w:val="center"/>
          </w:tcPr>
          <w:p>
            <w:pPr>
              <w:widowControl/>
              <w:jc w:val="left"/>
              <w:textAlignment w:val="center"/>
              <w:rPr>
                <w:rFonts w:hint="eastAsia" w:ascii="宋体" w:hAnsi="宋体" w:cs="宋体"/>
                <w:color w:val="000000"/>
                <w:szCs w:val="21"/>
                <w:lang w:val="en-US" w:eastAsia="zh-CN"/>
              </w:rPr>
            </w:pPr>
          </w:p>
        </w:tc>
        <w:tc>
          <w:tcPr>
            <w:tcW w:w="890" w:type="pct"/>
            <w:vAlign w:val="center"/>
          </w:tcPr>
          <w:p>
            <w:pPr>
              <w:widowControl/>
              <w:jc w:val="left"/>
              <w:textAlignment w:val="center"/>
              <w:rPr>
                <w:rFonts w:hint="eastAsia" w:ascii="宋体" w:hAnsi="宋体" w:cs="宋体"/>
                <w:color w:val="000000"/>
                <w:szCs w:val="21"/>
                <w:lang w:val="en-US" w:eastAsia="zh-CN"/>
              </w:rPr>
            </w:pPr>
          </w:p>
        </w:tc>
        <w:tc>
          <w:tcPr>
            <w:tcW w:w="1124" w:type="pct"/>
            <w:vAlign w:val="center"/>
          </w:tcPr>
          <w:p>
            <w:pPr>
              <w:widowControl/>
              <w:jc w:val="left"/>
              <w:textAlignment w:val="center"/>
              <w:rPr>
                <w:rFonts w:hint="eastAsia" w:ascii="宋体" w:hAnsi="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Cs w:val="21"/>
              </w:rPr>
              <w:t xml:space="preserve"> </w:t>
            </w:r>
            <w:r>
              <w:rPr>
                <w:rFonts w:hint="eastAsia" w:ascii="宋体" w:hAnsi="宋体" w:eastAsia="宋体" w:cs="宋体"/>
                <w:color w:val="000000"/>
                <w:szCs w:val="21"/>
              </w:rPr>
              <w:t>基于调用知识库，结合患者诊断数据，生成个性化的身高管理方案。</w:t>
            </w:r>
          </w:p>
        </w:tc>
        <w:tc>
          <w:tcPr>
            <w:tcW w:w="967" w:type="pct"/>
            <w:vAlign w:val="center"/>
          </w:tcPr>
          <w:p>
            <w:pPr>
              <w:widowControl/>
              <w:jc w:val="left"/>
              <w:textAlignment w:val="center"/>
              <w:rPr>
                <w:rFonts w:hint="eastAsia" w:ascii="宋体" w:hAnsi="宋体" w:cs="宋体"/>
                <w:sz w:val="21"/>
                <w:szCs w:val="21"/>
                <w:lang w:val="en-US" w:eastAsia="zh-CN"/>
              </w:rPr>
            </w:pPr>
          </w:p>
        </w:tc>
        <w:tc>
          <w:tcPr>
            <w:tcW w:w="890" w:type="pct"/>
            <w:vAlign w:val="center"/>
          </w:tcPr>
          <w:p>
            <w:pPr>
              <w:widowControl/>
              <w:jc w:val="left"/>
              <w:textAlignment w:val="center"/>
              <w:rPr>
                <w:rFonts w:hint="eastAsia" w:ascii="宋体" w:hAnsi="宋体" w:cs="宋体"/>
                <w:sz w:val="21"/>
                <w:szCs w:val="21"/>
                <w:lang w:val="en-US" w:eastAsia="zh-CN"/>
              </w:rPr>
            </w:pPr>
          </w:p>
        </w:tc>
        <w:tc>
          <w:tcPr>
            <w:tcW w:w="1124" w:type="pct"/>
            <w:vAlign w:val="center"/>
          </w:tcPr>
          <w:p>
            <w:pPr>
              <w:widowControl/>
              <w:jc w:val="left"/>
              <w:textAlignment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cs="宋体"/>
                <w:szCs w:val="21"/>
                <w:lang w:val="en-US" w:eastAsia="zh-CN"/>
              </w:rPr>
              <w:t>10</w:t>
            </w:r>
            <w:r>
              <w:rPr>
                <w:rFonts w:hint="eastAsia" w:ascii="宋体" w:hAnsi="宋体" w:eastAsia="宋体" w:cs="宋体"/>
                <w:szCs w:val="21"/>
              </w:rPr>
              <w:t xml:space="preserve">. </w:t>
            </w:r>
            <w:r>
              <w:rPr>
                <w:rFonts w:hint="eastAsia" w:ascii="宋体" w:hAnsi="宋体" w:eastAsia="宋体" w:cs="宋体"/>
                <w:color w:val="000000"/>
                <w:szCs w:val="21"/>
              </w:rPr>
              <w:t>体重管理目标及方案：根据BMI和WHtR自动规划体重管理目标，给出维持体重、减重等建议，自动计算体重的减少量、热量的缺口、基础代谢、减重的周期及每日活动能量消耗，并开具建议。</w:t>
            </w:r>
          </w:p>
        </w:tc>
        <w:tc>
          <w:tcPr>
            <w:tcW w:w="967" w:type="pct"/>
            <w:vAlign w:val="center"/>
          </w:tcPr>
          <w:p>
            <w:pPr>
              <w:widowControl/>
              <w:jc w:val="left"/>
              <w:textAlignment w:val="center"/>
              <w:rPr>
                <w:rFonts w:hint="eastAsia" w:ascii="宋体" w:hAnsi="宋体" w:cs="宋体"/>
                <w:szCs w:val="21"/>
                <w:lang w:val="en-US" w:eastAsia="zh-CN"/>
              </w:rPr>
            </w:pPr>
          </w:p>
        </w:tc>
        <w:tc>
          <w:tcPr>
            <w:tcW w:w="890" w:type="pct"/>
            <w:vAlign w:val="center"/>
          </w:tcPr>
          <w:p>
            <w:pPr>
              <w:widowControl/>
              <w:jc w:val="left"/>
              <w:textAlignment w:val="center"/>
              <w:rPr>
                <w:rFonts w:hint="eastAsia" w:ascii="宋体" w:hAnsi="宋体" w:cs="宋体"/>
                <w:szCs w:val="21"/>
                <w:lang w:val="en-US" w:eastAsia="zh-CN"/>
              </w:rPr>
            </w:pPr>
          </w:p>
        </w:tc>
        <w:tc>
          <w:tcPr>
            <w:tcW w:w="1124" w:type="pct"/>
            <w:vAlign w:val="center"/>
          </w:tcPr>
          <w:p>
            <w:pPr>
              <w:widowControl/>
              <w:jc w:val="left"/>
              <w:textAlignment w:val="center"/>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rPr>
                <w:rFonts w:hint="eastAsia" w:ascii="宋体" w:hAnsi="宋体" w:eastAsia="宋体" w:cs="宋体"/>
                <w:color w:val="000000"/>
                <w:szCs w:val="21"/>
              </w:rPr>
            </w:pPr>
            <w:r>
              <w:rPr>
                <w:rFonts w:hint="eastAsia" w:ascii="宋体" w:hAnsi="宋体" w:eastAsia="宋体" w:cs="宋体"/>
                <w:szCs w:val="21"/>
              </w:rPr>
              <w:t>1</w:t>
            </w:r>
            <w:r>
              <w:rPr>
                <w:rFonts w:hint="eastAsia" w:ascii="宋体" w:hAnsi="宋体" w:cs="宋体"/>
                <w:szCs w:val="21"/>
                <w:lang w:val="en-US" w:eastAsia="zh-CN"/>
              </w:rPr>
              <w:t>1</w:t>
            </w:r>
            <w:r>
              <w:rPr>
                <w:rFonts w:hint="eastAsia" w:ascii="宋体" w:hAnsi="宋体" w:eastAsia="宋体" w:cs="宋体"/>
                <w:szCs w:val="21"/>
              </w:rPr>
              <w:t>. 至少包含</w:t>
            </w:r>
            <w:r>
              <w:rPr>
                <w:rFonts w:hint="eastAsia" w:ascii="宋体" w:hAnsi="宋体" w:eastAsia="宋体" w:cs="宋体"/>
                <w:color w:val="000000"/>
                <w:szCs w:val="21"/>
              </w:rPr>
              <w:t xml:space="preserve">十九张发育行为量表: </w:t>
            </w:r>
          </w:p>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0-6岁儿童发育行为评估量表(儿心量表-Ⅱ)</w:t>
            </w:r>
            <w:r>
              <w:rPr>
                <w:rFonts w:hint="eastAsia" w:ascii="宋体" w:hAnsi="宋体" w:eastAsia="宋体" w:cs="宋体"/>
                <w:color w:val="000000"/>
                <w:szCs w:val="21"/>
              </w:rPr>
              <w:br w:type="textWrapping"/>
            </w:r>
            <w:r>
              <w:rPr>
                <w:rFonts w:hint="eastAsia" w:ascii="宋体" w:hAnsi="宋体" w:eastAsia="宋体" w:cs="宋体"/>
                <w:color w:val="000000"/>
                <w:szCs w:val="21"/>
              </w:rPr>
              <w:t>改良孤独症筛查量表(M-CHAT中文修订版)</w:t>
            </w:r>
            <w:r>
              <w:rPr>
                <w:rFonts w:hint="eastAsia" w:ascii="宋体" w:hAnsi="宋体" w:eastAsia="宋体" w:cs="宋体"/>
                <w:color w:val="000000"/>
                <w:szCs w:val="21"/>
              </w:rPr>
              <w:br w:type="textWrapping"/>
            </w:r>
            <w:r>
              <w:rPr>
                <w:rFonts w:hint="eastAsia" w:ascii="宋体" w:hAnsi="宋体" w:eastAsia="宋体" w:cs="宋体"/>
                <w:color w:val="000000"/>
                <w:szCs w:val="21"/>
              </w:rPr>
              <w:t>孤独症行为量表(ABC)</w:t>
            </w:r>
            <w:r>
              <w:rPr>
                <w:rFonts w:hint="eastAsia" w:ascii="宋体" w:hAnsi="宋体" w:eastAsia="宋体" w:cs="宋体"/>
                <w:color w:val="000000"/>
                <w:szCs w:val="21"/>
              </w:rPr>
              <w:br w:type="textWrapping"/>
            </w:r>
            <w:r>
              <w:rPr>
                <w:rFonts w:hint="eastAsia" w:ascii="宋体" w:hAnsi="宋体" w:eastAsia="宋体" w:cs="宋体"/>
                <w:color w:val="000000"/>
                <w:szCs w:val="21"/>
              </w:rPr>
              <w:t>丹佛发育筛查(DDST)</w:t>
            </w:r>
            <w:r>
              <w:rPr>
                <w:rFonts w:hint="eastAsia" w:ascii="宋体" w:hAnsi="宋体" w:eastAsia="宋体" w:cs="宋体"/>
                <w:color w:val="000000"/>
                <w:szCs w:val="21"/>
              </w:rPr>
              <w:br w:type="textWrapping"/>
            </w:r>
            <w:r>
              <w:rPr>
                <w:rFonts w:hint="eastAsia" w:ascii="宋体" w:hAnsi="宋体" w:eastAsia="宋体" w:cs="宋体"/>
                <w:color w:val="000000"/>
                <w:szCs w:val="21"/>
              </w:rPr>
              <w:t>婴儿-初中学生社会生活能力量表S-M</w:t>
            </w:r>
            <w:r>
              <w:rPr>
                <w:rFonts w:hint="eastAsia" w:ascii="宋体" w:hAnsi="宋体" w:eastAsia="宋体" w:cs="宋体"/>
                <w:color w:val="000000"/>
                <w:szCs w:val="21"/>
              </w:rPr>
              <w:br w:type="textWrapping"/>
            </w:r>
            <w:r>
              <w:rPr>
                <w:rFonts w:hint="eastAsia" w:ascii="宋体" w:hAnsi="宋体" w:eastAsia="宋体" w:cs="宋体"/>
                <w:color w:val="000000"/>
                <w:szCs w:val="21"/>
              </w:rPr>
              <w:t>SNAP-IV父母及教师评定量表(26项)</w:t>
            </w:r>
            <w:r>
              <w:rPr>
                <w:rFonts w:hint="eastAsia" w:ascii="宋体" w:hAnsi="宋体" w:eastAsia="宋体" w:cs="宋体"/>
                <w:color w:val="000000"/>
                <w:szCs w:val="21"/>
              </w:rPr>
              <w:br w:type="textWrapping"/>
            </w:r>
            <w:r>
              <w:rPr>
                <w:rFonts w:hint="eastAsia" w:ascii="宋体" w:hAnsi="宋体" w:eastAsia="宋体" w:cs="宋体"/>
                <w:color w:val="000000"/>
                <w:szCs w:val="21"/>
              </w:rPr>
              <w:t>修订的幼儿孤独症量表(CHAT-23)</w:t>
            </w:r>
            <w:r>
              <w:rPr>
                <w:rFonts w:hint="eastAsia" w:ascii="宋体" w:hAnsi="宋体" w:eastAsia="宋体" w:cs="宋体"/>
                <w:color w:val="000000"/>
                <w:szCs w:val="21"/>
              </w:rPr>
              <w:br w:type="textWrapping"/>
            </w:r>
            <w:r>
              <w:rPr>
                <w:rFonts w:hint="eastAsia" w:ascii="宋体" w:hAnsi="宋体" w:eastAsia="宋体" w:cs="宋体"/>
                <w:color w:val="000000"/>
                <w:szCs w:val="21"/>
              </w:rPr>
              <w:t>儿童心理行为发育预警征象筛查问卷(WSCMBD)</w:t>
            </w:r>
            <w:r>
              <w:rPr>
                <w:rFonts w:hint="eastAsia" w:ascii="宋体" w:hAnsi="宋体" w:eastAsia="宋体" w:cs="宋体"/>
                <w:color w:val="000000"/>
                <w:szCs w:val="21"/>
              </w:rPr>
              <w:br w:type="textWrapping"/>
            </w:r>
            <w:r>
              <w:rPr>
                <w:rFonts w:hint="eastAsia" w:ascii="宋体" w:hAnsi="宋体" w:eastAsia="宋体" w:cs="宋体"/>
                <w:color w:val="000000"/>
                <w:szCs w:val="21"/>
              </w:rPr>
              <w:t>新生儿20项行为神经评分法(NBNA)</w:t>
            </w:r>
            <w:r>
              <w:rPr>
                <w:rFonts w:hint="eastAsia" w:ascii="宋体" w:hAnsi="宋体" w:eastAsia="宋体" w:cs="宋体"/>
                <w:color w:val="000000"/>
                <w:szCs w:val="21"/>
              </w:rPr>
              <w:br w:type="textWrapping"/>
            </w:r>
            <w:r>
              <w:rPr>
                <w:rFonts w:hint="eastAsia" w:ascii="宋体" w:hAnsi="宋体" w:eastAsia="宋体" w:cs="宋体"/>
                <w:color w:val="000000"/>
                <w:szCs w:val="21"/>
              </w:rPr>
              <w:t>Conners父母症状问卷(PSQ)</w:t>
            </w:r>
            <w:r>
              <w:rPr>
                <w:rFonts w:hint="eastAsia" w:ascii="宋体" w:hAnsi="宋体" w:eastAsia="宋体" w:cs="宋体"/>
                <w:color w:val="000000"/>
                <w:szCs w:val="21"/>
              </w:rPr>
              <w:br w:type="textWrapping"/>
            </w:r>
            <w:r>
              <w:rPr>
                <w:rFonts w:hint="eastAsia" w:ascii="宋体" w:hAnsi="宋体" w:eastAsia="宋体" w:cs="宋体"/>
                <w:color w:val="000000"/>
                <w:szCs w:val="21"/>
              </w:rPr>
              <w:t>耶鲁综合抽动严重程度量表(YGTSS)</w:t>
            </w:r>
            <w:r>
              <w:rPr>
                <w:rFonts w:hint="eastAsia" w:ascii="宋体" w:hAnsi="宋体" w:eastAsia="宋体" w:cs="宋体"/>
                <w:color w:val="000000"/>
                <w:szCs w:val="21"/>
              </w:rPr>
              <w:br w:type="textWrapping"/>
            </w:r>
            <w:r>
              <w:rPr>
                <w:rFonts w:hint="eastAsia" w:ascii="宋体" w:hAnsi="宋体" w:eastAsia="宋体" w:cs="宋体"/>
                <w:color w:val="000000"/>
                <w:szCs w:val="21"/>
              </w:rPr>
              <w:t>0~1神经运动检查20项（INMA）</w:t>
            </w:r>
            <w:r>
              <w:rPr>
                <w:rFonts w:hint="eastAsia" w:ascii="宋体" w:hAnsi="宋体" w:eastAsia="宋体" w:cs="宋体"/>
                <w:color w:val="000000"/>
                <w:szCs w:val="21"/>
              </w:rPr>
              <w:br w:type="textWrapping"/>
            </w:r>
            <w:r>
              <w:rPr>
                <w:rFonts w:hint="eastAsia" w:ascii="宋体" w:hAnsi="宋体" w:eastAsia="宋体" w:cs="宋体"/>
                <w:color w:val="000000"/>
                <w:szCs w:val="21"/>
              </w:rPr>
              <w:t>中国4~8个月婴儿气质量表（CITS）</w:t>
            </w:r>
            <w:r>
              <w:rPr>
                <w:rFonts w:hint="eastAsia" w:ascii="宋体" w:hAnsi="宋体" w:eastAsia="宋体" w:cs="宋体"/>
                <w:color w:val="000000"/>
                <w:szCs w:val="21"/>
              </w:rPr>
              <w:br w:type="textWrapping"/>
            </w:r>
            <w:r>
              <w:rPr>
                <w:rFonts w:hint="eastAsia" w:ascii="宋体" w:hAnsi="宋体" w:eastAsia="宋体" w:cs="宋体"/>
                <w:color w:val="000000"/>
                <w:szCs w:val="21"/>
              </w:rPr>
              <w:t>1~3岁幼儿气质量表（CTTS）</w:t>
            </w:r>
            <w:r>
              <w:rPr>
                <w:rFonts w:hint="eastAsia" w:ascii="宋体" w:hAnsi="宋体" w:eastAsia="宋体" w:cs="宋体"/>
                <w:color w:val="000000"/>
                <w:szCs w:val="21"/>
              </w:rPr>
              <w:br w:type="textWrapping"/>
            </w:r>
            <w:r>
              <w:rPr>
                <w:rFonts w:hint="eastAsia" w:ascii="宋体" w:hAnsi="宋体" w:eastAsia="宋体" w:cs="宋体"/>
                <w:color w:val="000000"/>
                <w:szCs w:val="21"/>
              </w:rPr>
              <w:t xml:space="preserve">0～6岁儿童发育筛查量表（DST） </w:t>
            </w:r>
            <w:r>
              <w:rPr>
                <w:rFonts w:hint="eastAsia" w:ascii="宋体" w:hAnsi="宋体" w:eastAsia="宋体" w:cs="宋体"/>
                <w:color w:val="000000"/>
                <w:szCs w:val="21"/>
              </w:rPr>
              <w:br w:type="textWrapping"/>
            </w:r>
            <w:r>
              <w:rPr>
                <w:rFonts w:hint="eastAsia" w:ascii="宋体" w:hAnsi="宋体" w:eastAsia="宋体" w:cs="宋体"/>
                <w:color w:val="000000"/>
                <w:szCs w:val="21"/>
              </w:rPr>
              <w:t>儿童孤独症评定量表（CARS）</w:t>
            </w:r>
            <w:r>
              <w:rPr>
                <w:rFonts w:hint="eastAsia" w:ascii="宋体" w:hAnsi="宋体" w:eastAsia="宋体" w:cs="宋体"/>
                <w:color w:val="000000"/>
                <w:szCs w:val="21"/>
              </w:rPr>
              <w:br w:type="textWrapping"/>
            </w:r>
            <w:r>
              <w:rPr>
                <w:rFonts w:hint="eastAsia" w:ascii="宋体" w:hAnsi="宋体" w:eastAsia="宋体" w:cs="宋体"/>
                <w:color w:val="000000"/>
                <w:szCs w:val="21"/>
              </w:rPr>
              <w:t>修订版孤独症筛查量表（M-CHAT）</w:t>
            </w:r>
            <w:r>
              <w:rPr>
                <w:rFonts w:hint="eastAsia" w:ascii="宋体" w:hAnsi="宋体" w:eastAsia="宋体" w:cs="宋体"/>
                <w:color w:val="000000"/>
                <w:szCs w:val="21"/>
              </w:rPr>
              <w:br w:type="textWrapping"/>
            </w:r>
            <w:r>
              <w:rPr>
                <w:rFonts w:hint="eastAsia" w:ascii="宋体" w:hAnsi="宋体" w:eastAsia="宋体" w:cs="宋体"/>
                <w:color w:val="000000"/>
                <w:szCs w:val="21"/>
              </w:rPr>
              <w:t>早期语言发育进程量表（EIMS）</w:t>
            </w:r>
            <w:r>
              <w:rPr>
                <w:rFonts w:hint="eastAsia" w:ascii="宋体" w:hAnsi="宋体" w:eastAsia="宋体" w:cs="宋体"/>
                <w:color w:val="000000"/>
                <w:szCs w:val="21"/>
              </w:rPr>
              <w:br w:type="textWrapping"/>
            </w:r>
            <w:r>
              <w:rPr>
                <w:rFonts w:hint="eastAsia" w:ascii="宋体" w:hAnsi="宋体" w:eastAsia="宋体" w:cs="宋体"/>
                <w:color w:val="000000"/>
                <w:szCs w:val="21"/>
              </w:rPr>
              <w:t>格塞尔发育诊断量表（Gesell）</w:t>
            </w:r>
          </w:p>
        </w:tc>
        <w:tc>
          <w:tcPr>
            <w:tcW w:w="967" w:type="pct"/>
            <w:vAlign w:val="center"/>
          </w:tcPr>
          <w:p>
            <w:pPr>
              <w:widowControl/>
              <w:jc w:val="left"/>
              <w:textAlignment w:val="center"/>
              <w:rPr>
                <w:rFonts w:hint="eastAsia" w:ascii="宋体" w:hAnsi="宋体" w:eastAsia="宋体" w:cs="宋体"/>
                <w:color w:val="000000"/>
                <w:szCs w:val="21"/>
              </w:rPr>
            </w:pPr>
          </w:p>
        </w:tc>
        <w:tc>
          <w:tcPr>
            <w:tcW w:w="890" w:type="pct"/>
            <w:vAlign w:val="center"/>
          </w:tcPr>
          <w:p>
            <w:pPr>
              <w:widowControl/>
              <w:jc w:val="left"/>
              <w:textAlignment w:val="center"/>
              <w:rPr>
                <w:rFonts w:hint="eastAsia" w:ascii="宋体" w:hAnsi="宋体" w:eastAsia="宋体" w:cs="宋体"/>
                <w:color w:val="000000"/>
                <w:szCs w:val="21"/>
              </w:rPr>
            </w:pPr>
          </w:p>
        </w:tc>
        <w:tc>
          <w:tcPr>
            <w:tcW w:w="1124" w:type="pct"/>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Cs w:val="21"/>
              </w:rPr>
              <w:t>1</w:t>
            </w:r>
            <w:r>
              <w:rPr>
                <w:rFonts w:hint="eastAsia" w:ascii="宋体" w:hAnsi="宋体" w:cs="宋体"/>
                <w:szCs w:val="21"/>
                <w:lang w:val="en-US" w:eastAsia="zh-CN"/>
              </w:rPr>
              <w:t>2</w:t>
            </w:r>
            <w:r>
              <w:rPr>
                <w:rFonts w:hint="eastAsia" w:ascii="宋体" w:hAnsi="宋体" w:eastAsia="宋体" w:cs="宋体"/>
                <w:szCs w:val="21"/>
              </w:rPr>
              <w:t xml:space="preserve">. </w:t>
            </w:r>
            <w:r>
              <w:rPr>
                <w:rFonts w:hint="eastAsia" w:ascii="宋体" w:hAnsi="宋体" w:eastAsia="宋体" w:cs="宋体"/>
                <w:color w:val="000000"/>
                <w:szCs w:val="21"/>
              </w:rPr>
              <w:t>智能诊断意见和方案:智能生成诊断意见。</w:t>
            </w:r>
          </w:p>
        </w:tc>
        <w:tc>
          <w:tcPr>
            <w:tcW w:w="967" w:type="pct"/>
            <w:vAlign w:val="center"/>
          </w:tcPr>
          <w:p>
            <w:pPr>
              <w:widowControl/>
              <w:jc w:val="left"/>
              <w:textAlignment w:val="center"/>
              <w:rPr>
                <w:rFonts w:hint="eastAsia" w:ascii="宋体" w:hAnsi="宋体" w:eastAsia="宋体" w:cs="宋体"/>
                <w:szCs w:val="21"/>
              </w:rPr>
            </w:pPr>
          </w:p>
        </w:tc>
        <w:tc>
          <w:tcPr>
            <w:tcW w:w="890" w:type="pct"/>
            <w:vAlign w:val="center"/>
          </w:tcPr>
          <w:p>
            <w:pPr>
              <w:widowControl/>
              <w:jc w:val="left"/>
              <w:textAlignment w:val="center"/>
              <w:rPr>
                <w:rFonts w:hint="eastAsia" w:ascii="宋体" w:hAnsi="宋体" w:eastAsia="宋体" w:cs="宋体"/>
                <w:szCs w:val="21"/>
              </w:rPr>
            </w:pPr>
          </w:p>
        </w:tc>
        <w:tc>
          <w:tcPr>
            <w:tcW w:w="1124" w:type="pct"/>
            <w:vAlign w:val="center"/>
          </w:tcPr>
          <w:p>
            <w:pPr>
              <w:widowControl/>
              <w:jc w:val="left"/>
              <w:textAlignment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color w:val="000000"/>
                <w:szCs w:val="21"/>
              </w:rPr>
              <w:t xml:space="preserve"> 患者管理自动打标签</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sz w:val="21"/>
                <w:szCs w:val="21"/>
              </w:rPr>
            </w:pPr>
          </w:p>
        </w:tc>
        <w:tc>
          <w:tcPr>
            <w:tcW w:w="521" w:type="pct"/>
            <w:vMerge w:val="restart"/>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color w:val="000000"/>
                <w:szCs w:val="21"/>
              </w:rPr>
              <w:t xml:space="preserve"> 定期复诊提醒</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Cs w:val="21"/>
              </w:rPr>
              <w:t xml:space="preserve"> 家庭端监测</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1</w:t>
            </w:r>
            <w:r>
              <w:rPr>
                <w:rFonts w:hint="eastAsia" w:ascii="宋体" w:hAnsi="宋体" w:cs="宋体"/>
                <w:color w:val="000000"/>
                <w:szCs w:val="21"/>
                <w:lang w:val="en-US" w:eastAsia="zh-CN"/>
              </w:rPr>
              <w:t>6</w:t>
            </w:r>
            <w:r>
              <w:rPr>
                <w:rFonts w:hint="eastAsia" w:ascii="宋体" w:hAnsi="宋体" w:eastAsia="宋体" w:cs="宋体"/>
                <w:color w:val="000000"/>
                <w:szCs w:val="21"/>
              </w:rPr>
              <w:t>. 医院生成专属筛查二维码。家长扫码并提交信息后，可通过手机端即时查看筛查结果，便于及时发现儿童生长发育偏离；医生则可通过电脑端同步调阅筛查数据，实现信息的双端互联互通。</w:t>
            </w:r>
          </w:p>
        </w:tc>
        <w:tc>
          <w:tcPr>
            <w:tcW w:w="967" w:type="pct"/>
            <w:vAlign w:val="center"/>
          </w:tcPr>
          <w:p>
            <w:pPr>
              <w:widowControl/>
              <w:jc w:val="left"/>
              <w:textAlignment w:val="center"/>
              <w:rPr>
                <w:rFonts w:hint="eastAsia" w:ascii="宋体" w:hAnsi="宋体" w:eastAsia="宋体" w:cs="宋体"/>
                <w:color w:val="000000"/>
                <w:szCs w:val="21"/>
              </w:rPr>
            </w:pPr>
          </w:p>
        </w:tc>
        <w:tc>
          <w:tcPr>
            <w:tcW w:w="890" w:type="pct"/>
            <w:vAlign w:val="center"/>
          </w:tcPr>
          <w:p>
            <w:pPr>
              <w:widowControl/>
              <w:jc w:val="left"/>
              <w:textAlignment w:val="center"/>
              <w:rPr>
                <w:rFonts w:hint="eastAsia" w:ascii="宋体" w:hAnsi="宋体" w:eastAsia="宋体" w:cs="宋体"/>
                <w:color w:val="000000"/>
                <w:szCs w:val="21"/>
              </w:rPr>
            </w:pPr>
          </w:p>
        </w:tc>
        <w:tc>
          <w:tcPr>
            <w:tcW w:w="1124" w:type="pct"/>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color w:val="000000"/>
                <w:szCs w:val="21"/>
              </w:rPr>
              <w:t xml:space="preserve"> 可提供义诊报名通道</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color w:val="000000"/>
                <w:szCs w:val="21"/>
              </w:rPr>
              <w:t xml:space="preserve"> 可提供预问诊通道</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cs="宋体"/>
                <w:color w:val="000000"/>
                <w:szCs w:val="21"/>
                <w:lang w:val="en-US" w:eastAsia="zh-CN"/>
              </w:rPr>
              <w:t>19</w:t>
            </w:r>
            <w:r>
              <w:rPr>
                <w:rFonts w:hint="eastAsia" w:ascii="宋体" w:hAnsi="宋体" w:eastAsia="宋体" w:cs="宋体"/>
                <w:color w:val="000000"/>
                <w:szCs w:val="21"/>
              </w:rPr>
              <w:t>. 一键发送消息:支持给批量给家长发送小程序消息，消息内容可自定义。</w:t>
            </w:r>
          </w:p>
        </w:tc>
        <w:tc>
          <w:tcPr>
            <w:tcW w:w="967" w:type="pct"/>
            <w:vAlign w:val="center"/>
          </w:tcPr>
          <w:p>
            <w:pPr>
              <w:widowControl/>
              <w:jc w:val="left"/>
              <w:textAlignment w:val="center"/>
              <w:rPr>
                <w:rFonts w:hint="eastAsia" w:ascii="宋体" w:hAnsi="宋体" w:cs="宋体"/>
                <w:color w:val="000000"/>
                <w:szCs w:val="21"/>
                <w:lang w:val="en-US" w:eastAsia="zh-CN"/>
              </w:rPr>
            </w:pPr>
          </w:p>
        </w:tc>
        <w:tc>
          <w:tcPr>
            <w:tcW w:w="890" w:type="pct"/>
            <w:vAlign w:val="center"/>
          </w:tcPr>
          <w:p>
            <w:pPr>
              <w:widowControl/>
              <w:jc w:val="left"/>
              <w:textAlignment w:val="center"/>
              <w:rPr>
                <w:rFonts w:hint="eastAsia" w:ascii="宋体" w:hAnsi="宋体" w:cs="宋体"/>
                <w:color w:val="000000"/>
                <w:szCs w:val="21"/>
                <w:lang w:val="en-US" w:eastAsia="zh-CN"/>
              </w:rPr>
            </w:pPr>
          </w:p>
        </w:tc>
        <w:tc>
          <w:tcPr>
            <w:tcW w:w="1124" w:type="pct"/>
            <w:vAlign w:val="center"/>
          </w:tcPr>
          <w:p>
            <w:pPr>
              <w:widowControl/>
              <w:jc w:val="left"/>
              <w:textAlignment w:val="center"/>
              <w:rPr>
                <w:rFonts w:hint="eastAsia" w:ascii="宋体" w:hAnsi="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color w:val="000000"/>
                <w:szCs w:val="21"/>
              </w:rPr>
              <w:t xml:space="preserve"> 筛查分析:可统计科室和机构的筛查档案数、筛查报告量、年龄分布、身高百分位分布、体型分布、遗传潜力分布、导致疾病的可能原因、需要干预的原因。</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2</w:t>
            </w:r>
            <w:r>
              <w:rPr>
                <w:rFonts w:hint="eastAsia" w:ascii="宋体" w:hAnsi="宋体" w:cs="宋体"/>
                <w:color w:val="000000"/>
                <w:szCs w:val="21"/>
                <w:lang w:val="en-US" w:eastAsia="zh-CN"/>
              </w:rPr>
              <w:t>1</w:t>
            </w:r>
            <w:r>
              <w:rPr>
                <w:rFonts w:hint="eastAsia" w:ascii="宋体" w:hAnsi="宋体" w:eastAsia="宋体" w:cs="宋体"/>
                <w:color w:val="000000"/>
                <w:szCs w:val="21"/>
              </w:rPr>
              <w:t>. 支持自定义时间按月、季度、年查看报告数量，可统计复诊间隔分布；可统计门诊复诊人数、复诊率、身高管理有效率；支持统计患者的年龄段分布、标签分布、身高百分位分布、发育类型分布、体型分布。</w:t>
            </w:r>
          </w:p>
        </w:tc>
        <w:tc>
          <w:tcPr>
            <w:tcW w:w="967" w:type="pct"/>
            <w:vAlign w:val="center"/>
          </w:tcPr>
          <w:p>
            <w:pPr>
              <w:widowControl/>
              <w:jc w:val="left"/>
              <w:textAlignment w:val="center"/>
              <w:rPr>
                <w:rFonts w:hint="eastAsia" w:ascii="宋体" w:hAnsi="宋体" w:eastAsia="宋体" w:cs="宋体"/>
                <w:color w:val="000000"/>
                <w:szCs w:val="21"/>
              </w:rPr>
            </w:pPr>
          </w:p>
        </w:tc>
        <w:tc>
          <w:tcPr>
            <w:tcW w:w="890" w:type="pct"/>
            <w:vAlign w:val="center"/>
          </w:tcPr>
          <w:p>
            <w:pPr>
              <w:widowControl/>
              <w:jc w:val="left"/>
              <w:textAlignment w:val="center"/>
              <w:rPr>
                <w:rFonts w:hint="eastAsia" w:ascii="宋体" w:hAnsi="宋体" w:eastAsia="宋体" w:cs="宋体"/>
                <w:color w:val="000000"/>
                <w:szCs w:val="21"/>
              </w:rPr>
            </w:pPr>
          </w:p>
        </w:tc>
        <w:tc>
          <w:tcPr>
            <w:tcW w:w="1124" w:type="pct"/>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2</w:t>
            </w:r>
            <w:r>
              <w:rPr>
                <w:rFonts w:hint="eastAsia" w:ascii="宋体" w:hAnsi="宋体" w:cs="宋体"/>
                <w:color w:val="000000"/>
                <w:szCs w:val="21"/>
                <w:lang w:val="en-US" w:eastAsia="zh-CN"/>
              </w:rPr>
              <w:t>2</w:t>
            </w:r>
            <w:r>
              <w:rPr>
                <w:rFonts w:hint="eastAsia" w:ascii="宋体" w:hAnsi="宋体" w:eastAsia="宋体" w:cs="宋体"/>
                <w:color w:val="000000"/>
                <w:szCs w:val="21"/>
              </w:rPr>
              <w:t>. 数据导出:所有统计支持图和表查看以及导出。可按字段导出数据。</w:t>
            </w:r>
          </w:p>
        </w:tc>
        <w:tc>
          <w:tcPr>
            <w:tcW w:w="967" w:type="pct"/>
            <w:vAlign w:val="center"/>
          </w:tcPr>
          <w:p>
            <w:pPr>
              <w:widowControl/>
              <w:jc w:val="left"/>
              <w:textAlignment w:val="center"/>
              <w:rPr>
                <w:rFonts w:hint="eastAsia" w:ascii="宋体" w:hAnsi="宋体" w:eastAsia="宋体" w:cs="宋体"/>
                <w:color w:val="000000"/>
                <w:szCs w:val="21"/>
              </w:rPr>
            </w:pPr>
          </w:p>
        </w:tc>
        <w:tc>
          <w:tcPr>
            <w:tcW w:w="890" w:type="pct"/>
            <w:vAlign w:val="center"/>
          </w:tcPr>
          <w:p>
            <w:pPr>
              <w:widowControl/>
              <w:jc w:val="left"/>
              <w:textAlignment w:val="center"/>
              <w:rPr>
                <w:rFonts w:hint="eastAsia" w:ascii="宋体" w:hAnsi="宋体" w:eastAsia="宋体" w:cs="宋体"/>
                <w:color w:val="000000"/>
                <w:szCs w:val="21"/>
              </w:rPr>
            </w:pPr>
          </w:p>
        </w:tc>
        <w:tc>
          <w:tcPr>
            <w:tcW w:w="1124" w:type="pct"/>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color w:val="000000"/>
                <w:szCs w:val="21"/>
              </w:rPr>
              <w:t xml:space="preserve"> 可自定义测定结果</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szCs w:val="21"/>
              </w:rPr>
              <w:t>2</w:t>
            </w:r>
            <w:r>
              <w:rPr>
                <w:rFonts w:hint="eastAsia" w:ascii="宋体" w:hAnsi="宋体" w:cs="宋体"/>
                <w:color w:val="000000"/>
                <w:szCs w:val="21"/>
                <w:lang w:val="en-US" w:eastAsia="zh-CN"/>
              </w:rPr>
              <w:t>4</w:t>
            </w:r>
            <w:r>
              <w:rPr>
                <w:rFonts w:hint="eastAsia" w:ascii="宋体" w:hAnsi="宋体" w:eastAsia="宋体" w:cs="宋体"/>
                <w:color w:val="000000"/>
                <w:szCs w:val="21"/>
              </w:rPr>
              <w:t>. 电子签名及打印</w:t>
            </w:r>
          </w:p>
        </w:tc>
        <w:tc>
          <w:tcPr>
            <w:tcW w:w="967" w:type="pct"/>
            <w:vAlign w:val="center"/>
          </w:tcPr>
          <w:p>
            <w:pPr>
              <w:widowControl/>
              <w:jc w:val="left"/>
              <w:textAlignment w:val="center"/>
              <w:rPr>
                <w:rFonts w:hint="eastAsia" w:ascii="宋体" w:hAnsi="宋体" w:eastAsia="宋体" w:cs="宋体"/>
                <w:color w:val="000000"/>
                <w:szCs w:val="21"/>
              </w:rPr>
            </w:pPr>
          </w:p>
        </w:tc>
        <w:tc>
          <w:tcPr>
            <w:tcW w:w="890" w:type="pct"/>
            <w:vAlign w:val="center"/>
          </w:tcPr>
          <w:p>
            <w:pPr>
              <w:widowControl/>
              <w:jc w:val="left"/>
              <w:textAlignment w:val="center"/>
              <w:rPr>
                <w:rFonts w:hint="eastAsia" w:ascii="宋体" w:hAnsi="宋体" w:eastAsia="宋体" w:cs="宋体"/>
                <w:color w:val="000000"/>
                <w:szCs w:val="21"/>
              </w:rPr>
            </w:pPr>
          </w:p>
        </w:tc>
        <w:tc>
          <w:tcPr>
            <w:tcW w:w="1124" w:type="pct"/>
            <w:vAlign w:val="center"/>
          </w:tcPr>
          <w:p>
            <w:pPr>
              <w:widowControl/>
              <w:jc w:val="left"/>
              <w:textAlignment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Cs w:val="21"/>
              </w:rPr>
              <w:t xml:space="preserve"> 骨龄学习:支持RUS-CHN、TW3-C RUS和TW3-C Carpal法的骨发育等级定义图文查看。平台内置不少于220张以上X光片及有经验者的答案，练习完成后自动计算准确率。</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color w:val="000000"/>
                <w:szCs w:val="21"/>
              </w:rPr>
              <w:t xml:space="preserve"> 使用账户及年限:可建立多个使用账户(6组)，便于用户管理。智能读片</w:t>
            </w:r>
            <w:r>
              <w:rPr>
                <w:rFonts w:hint="eastAsia" w:ascii="宋体" w:hAnsi="宋体" w:eastAsia="宋体" w:cs="宋体"/>
                <w:color w:val="000000"/>
                <w:szCs w:val="21"/>
                <w:lang w:eastAsia="zh-CN"/>
              </w:rPr>
              <w:t>不少于</w:t>
            </w:r>
            <w:r>
              <w:rPr>
                <w:rFonts w:hint="eastAsia" w:ascii="宋体" w:hAnsi="宋体" w:eastAsia="宋体" w:cs="宋体"/>
                <w:color w:val="000000"/>
                <w:szCs w:val="21"/>
              </w:rPr>
              <w:t>5000份，使用年限不少于10年。</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color w:val="000000"/>
                <w:szCs w:val="21"/>
              </w:rPr>
              <w:t xml:space="preserve"> 手机端读片:提供免费小程序读片。</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sz w:val="21"/>
                <w:szCs w:val="21"/>
              </w:rPr>
            </w:pPr>
          </w:p>
        </w:tc>
        <w:tc>
          <w:tcPr>
            <w:tcW w:w="521" w:type="pct"/>
            <w:vMerge w:val="continue"/>
            <w:vAlign w:val="center"/>
          </w:tcPr>
          <w:p>
            <w:pPr>
              <w:jc w:val="center"/>
              <w:rPr>
                <w:rFonts w:hint="eastAsia" w:ascii="宋体" w:hAnsi="宋体" w:eastAsia="宋体" w:cs="宋体"/>
                <w:sz w:val="21"/>
                <w:szCs w:val="21"/>
              </w:rPr>
            </w:pPr>
          </w:p>
        </w:tc>
        <w:tc>
          <w:tcPr>
            <w:tcW w:w="1241" w:type="pct"/>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color w:val="000000"/>
                <w:szCs w:val="21"/>
              </w:rPr>
              <w:t xml:space="preserve"> 安全性:符合以下标准：</w:t>
            </w:r>
            <w:r>
              <w:rPr>
                <w:rFonts w:hint="eastAsia" w:ascii="宋体" w:hAnsi="宋体" w:eastAsia="宋体" w:cs="宋体"/>
                <w:color w:val="000000"/>
                <w:szCs w:val="21"/>
              </w:rPr>
              <w:br w:type="textWrapping"/>
            </w:r>
            <w:r>
              <w:rPr>
                <w:rFonts w:hint="eastAsia" w:ascii="宋体" w:hAnsi="宋体" w:eastAsia="宋体" w:cs="宋体"/>
                <w:color w:val="000000"/>
                <w:szCs w:val="21"/>
              </w:rPr>
              <w:t>GB/T 22080-2016《信息技术 安全技术 信息安全管理体系要求》</w:t>
            </w:r>
            <w:r>
              <w:rPr>
                <w:rFonts w:hint="eastAsia" w:ascii="宋体" w:hAnsi="宋体" w:eastAsia="宋体" w:cs="宋体"/>
                <w:color w:val="000000"/>
                <w:szCs w:val="21"/>
              </w:rPr>
              <w:br w:type="textWrapping"/>
            </w:r>
            <w:r>
              <w:rPr>
                <w:rFonts w:hint="eastAsia" w:ascii="宋体" w:hAnsi="宋体" w:eastAsia="宋体" w:cs="宋体"/>
                <w:color w:val="000000"/>
                <w:szCs w:val="21"/>
              </w:rPr>
              <w:t>GB/T 22239-2019《信息安全技术 网络安全等级保护基本要求》</w:t>
            </w:r>
            <w:r>
              <w:rPr>
                <w:rFonts w:hint="eastAsia" w:ascii="宋体" w:hAnsi="宋体" w:eastAsia="宋体" w:cs="宋体"/>
                <w:color w:val="000000"/>
                <w:szCs w:val="21"/>
              </w:rPr>
              <w:br w:type="textWrapping"/>
            </w:r>
            <w:r>
              <w:rPr>
                <w:rFonts w:hint="eastAsia" w:ascii="宋体" w:hAnsi="宋体" w:eastAsia="宋体" w:cs="宋体"/>
                <w:color w:val="000000"/>
                <w:szCs w:val="21"/>
              </w:rPr>
              <w:t>GB/T 25058-2019《信息安全技术 网络安全等级保护实施指南》</w:t>
            </w:r>
            <w:r>
              <w:rPr>
                <w:rFonts w:hint="eastAsia" w:ascii="宋体" w:hAnsi="宋体" w:eastAsia="宋体" w:cs="宋体"/>
                <w:color w:val="000000"/>
                <w:szCs w:val="21"/>
              </w:rPr>
              <w:br w:type="textWrapping"/>
            </w:r>
            <w:r>
              <w:rPr>
                <w:rFonts w:hint="eastAsia" w:ascii="宋体" w:hAnsi="宋体" w:eastAsia="宋体" w:cs="宋体"/>
                <w:color w:val="000000"/>
                <w:szCs w:val="21"/>
              </w:rPr>
              <w:t>GB/T 22240-2020《信息安全技术 网络安全等级保护定级指南》</w:t>
            </w:r>
            <w:r>
              <w:rPr>
                <w:rFonts w:hint="eastAsia" w:ascii="宋体" w:hAnsi="宋体" w:eastAsia="宋体" w:cs="宋体"/>
                <w:color w:val="000000"/>
                <w:szCs w:val="21"/>
              </w:rPr>
              <w:br w:type="textWrapping"/>
            </w:r>
            <w:r>
              <w:rPr>
                <w:rFonts w:hint="eastAsia" w:ascii="宋体" w:hAnsi="宋体" w:eastAsia="宋体" w:cs="宋体"/>
                <w:color w:val="000000"/>
                <w:szCs w:val="21"/>
              </w:rPr>
              <w:t>GB/T 28448-2019《信息安全技术 网络安全等级保护测评要求》</w:t>
            </w:r>
            <w:r>
              <w:rPr>
                <w:rFonts w:hint="eastAsia" w:ascii="宋体" w:hAnsi="宋体" w:eastAsia="宋体" w:cs="宋体"/>
                <w:color w:val="000000"/>
                <w:szCs w:val="21"/>
              </w:rPr>
              <w:br w:type="textWrapping"/>
            </w:r>
            <w:r>
              <w:rPr>
                <w:rFonts w:hint="eastAsia" w:ascii="宋体" w:hAnsi="宋体" w:eastAsia="宋体" w:cs="宋体"/>
                <w:color w:val="000000"/>
                <w:szCs w:val="21"/>
              </w:rPr>
              <w:t>GB/T 28449-2018《信息安全技术 网络安全等级保护测评过程指南》</w:t>
            </w:r>
            <w:r>
              <w:rPr>
                <w:rFonts w:hint="eastAsia" w:ascii="宋体" w:hAnsi="宋体" w:eastAsia="宋体" w:cs="宋体"/>
                <w:color w:val="000000"/>
                <w:szCs w:val="21"/>
              </w:rPr>
              <w:br w:type="textWrapping"/>
            </w:r>
            <w:r>
              <w:rPr>
                <w:rFonts w:hint="eastAsia" w:ascii="宋体" w:hAnsi="宋体" w:eastAsia="宋体" w:cs="宋体"/>
                <w:color w:val="000000"/>
                <w:szCs w:val="21"/>
              </w:rPr>
              <w:t>GB/T 20984-2022《信息安全技术 信息安全风险评估方法》</w:t>
            </w:r>
            <w:r>
              <w:rPr>
                <w:rFonts w:hint="eastAsia" w:ascii="宋体" w:hAnsi="宋体" w:eastAsia="宋体" w:cs="宋体"/>
                <w:color w:val="000000"/>
                <w:szCs w:val="21"/>
              </w:rPr>
              <w:br w:type="textWrapping"/>
            </w:r>
            <w:r>
              <w:rPr>
                <w:rFonts w:hint="eastAsia" w:ascii="宋体" w:hAnsi="宋体" w:eastAsia="宋体" w:cs="宋体"/>
                <w:color w:val="000000"/>
                <w:szCs w:val="21"/>
              </w:rPr>
              <w:t>T/ISEAA 001-2020《网络安全等级保护测评高风险判定指引》</w:t>
            </w:r>
          </w:p>
        </w:tc>
        <w:tc>
          <w:tcPr>
            <w:tcW w:w="967" w:type="pct"/>
            <w:vAlign w:val="center"/>
          </w:tcPr>
          <w:p>
            <w:pPr>
              <w:widowControl/>
              <w:jc w:val="left"/>
              <w:textAlignment w:val="center"/>
              <w:rPr>
                <w:rFonts w:hint="eastAsia" w:ascii="宋体" w:hAnsi="宋体" w:eastAsia="宋体" w:cs="宋体"/>
                <w:sz w:val="21"/>
                <w:szCs w:val="21"/>
              </w:rPr>
            </w:pPr>
          </w:p>
        </w:tc>
        <w:tc>
          <w:tcPr>
            <w:tcW w:w="890" w:type="pct"/>
            <w:vAlign w:val="center"/>
          </w:tcPr>
          <w:p>
            <w:pPr>
              <w:widowControl/>
              <w:jc w:val="left"/>
              <w:textAlignment w:val="center"/>
              <w:rPr>
                <w:rFonts w:hint="eastAsia" w:ascii="宋体" w:hAnsi="宋体" w:eastAsia="宋体" w:cs="宋体"/>
                <w:sz w:val="21"/>
                <w:szCs w:val="21"/>
              </w:rPr>
            </w:pPr>
          </w:p>
        </w:tc>
        <w:tc>
          <w:tcPr>
            <w:tcW w:w="1124" w:type="pct"/>
            <w:vAlign w:val="center"/>
          </w:tcPr>
          <w:p>
            <w:pPr>
              <w:widowControl/>
              <w:jc w:val="left"/>
              <w:textAlignment w:val="center"/>
              <w:rPr>
                <w:rFonts w:hint="eastAsia" w:ascii="宋体" w:hAnsi="宋体" w:eastAsia="宋体" w:cs="宋体"/>
                <w:sz w:val="21"/>
                <w:szCs w:val="21"/>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3" w:name="_Hlk72095977"/>
      <w:r>
        <w:rPr>
          <w:rFonts w:hint="eastAsia"/>
          <w:sz w:val="21"/>
          <w:szCs w:val="21"/>
        </w:rPr>
        <w:t>证明资料【如有的话，提供的证明资料应统一编号（排序），格式自定】</w:t>
      </w:r>
      <w:bookmarkEnd w:id="73"/>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4" w:name="_Hlk72094407"/>
      <w:r>
        <w:rPr>
          <w:rFonts w:hint="eastAsia"/>
          <w:b w:val="0"/>
          <w:bCs/>
          <w:sz w:val="21"/>
          <w:szCs w:val="21"/>
        </w:rPr>
        <w:t>对应“用户需求书”中的“技术要求”章节</w:t>
      </w:r>
      <w:bookmarkEnd w:id="74"/>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5" w:name="_Hlk72158270"/>
      <w:r>
        <w:rPr>
          <w:rFonts w:hint="eastAsia"/>
          <w:b w:val="0"/>
          <w:bCs/>
          <w:sz w:val="21"/>
          <w:szCs w:val="21"/>
        </w:rPr>
        <w:t>“偏离情况”</w:t>
      </w:r>
      <w:bookmarkEnd w:id="75"/>
      <w:r>
        <w:rPr>
          <w:rFonts w:hint="eastAsia"/>
          <w:b w:val="0"/>
          <w:bCs/>
          <w:sz w:val="21"/>
          <w:szCs w:val="21"/>
        </w:rPr>
        <w:t>一栏填写如实填写“正偏离”、“负偏离”或“无偏离”，其中：</w:t>
      </w:r>
      <w:bookmarkStart w:id="76" w:name="_Hlk72093866"/>
      <w:r>
        <w:rPr>
          <w:rFonts w:hint="eastAsia"/>
          <w:b w:val="0"/>
          <w:bCs/>
          <w:sz w:val="21"/>
          <w:szCs w:val="21"/>
        </w:rPr>
        <w:t>“正偏离”表示“投标响应优于招标技术要求”，“负偏离”表示“投标响应不满足招标技术要求”，“无偏离”表示“投标响应与招标技术要求一致”</w:t>
      </w:r>
      <w:bookmarkEnd w:id="76"/>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7" w:name="_Hlk72096106"/>
      <w:r>
        <w:rPr>
          <w:rFonts w:hint="eastAsia"/>
          <w:b w:val="0"/>
          <w:bCs/>
          <w:sz w:val="21"/>
          <w:szCs w:val="21"/>
        </w:rPr>
        <w:t>证明资料条款响应要求</w:t>
      </w:r>
      <w:bookmarkEnd w:id="77"/>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8"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9" w:name="_Hlk73558164"/>
      <w:r>
        <w:rPr>
          <w:rFonts w:hint="eastAsia"/>
          <w:b w:val="0"/>
          <w:bCs/>
          <w:sz w:val="21"/>
          <w:szCs w:val="21"/>
        </w:rPr>
        <w:t>且投标人在“偏离情况”一栏响应为“正偏离”或“无偏离”的，经评审委员会认定，将判定为负偏离。</w:t>
      </w:r>
      <w:bookmarkEnd w:id="78"/>
      <w:bookmarkEnd w:id="79"/>
    </w:p>
    <w:p>
      <w:pPr>
        <w:ind w:firstLine="420" w:firstLineChars="200"/>
        <w:rPr>
          <w:b w:val="0"/>
          <w:bCs/>
          <w:sz w:val="21"/>
          <w:szCs w:val="21"/>
        </w:rPr>
      </w:pPr>
      <w:r>
        <w:rPr>
          <w:rFonts w:hint="eastAsia"/>
          <w:b w:val="0"/>
          <w:bCs/>
          <w:sz w:val="21"/>
          <w:szCs w:val="21"/>
        </w:rPr>
        <w:t>6、</w:t>
      </w:r>
      <w:bookmarkStart w:id="80" w:name="_Hlk72096137"/>
      <w:r>
        <w:rPr>
          <w:rFonts w:hint="eastAsia"/>
          <w:b w:val="0"/>
          <w:bCs/>
          <w:sz w:val="21"/>
          <w:szCs w:val="21"/>
        </w:rPr>
        <w:t>表后“证明资料”部分内容的编制</w:t>
      </w:r>
      <w:bookmarkEnd w:id="80"/>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1" w:name="_Hlk73558180"/>
      <w:r>
        <w:rPr>
          <w:rFonts w:hint="eastAsia"/>
          <w:b w:val="0"/>
          <w:bCs/>
          <w:sz w:val="21"/>
          <w:szCs w:val="21"/>
        </w:rPr>
        <w:t>未按照招标文件要求在表后放置证明材料的供应商将承担不利后果，经评审委员会认定，相关技术要求将判定为负偏离。</w:t>
      </w:r>
      <w:bookmarkEnd w:id="81"/>
    </w:p>
    <w:p>
      <w:pPr>
        <w:ind w:firstLine="420" w:firstLineChars="200"/>
        <w:rPr>
          <w:b w:val="0"/>
          <w:bCs/>
          <w:sz w:val="21"/>
          <w:szCs w:val="21"/>
        </w:rPr>
      </w:pPr>
      <w:r>
        <w:rPr>
          <w:rFonts w:hint="eastAsia"/>
          <w:b w:val="0"/>
          <w:bCs/>
          <w:sz w:val="21"/>
          <w:szCs w:val="21"/>
        </w:rPr>
        <w:t>7、</w:t>
      </w:r>
      <w:bookmarkStart w:id="82" w:name="_Hlk72096176"/>
      <w:r>
        <w:rPr>
          <w:rFonts w:hint="eastAsia"/>
          <w:b w:val="0"/>
          <w:bCs/>
          <w:sz w:val="21"/>
          <w:szCs w:val="21"/>
        </w:rPr>
        <w:t>证明资料的形式及其它具体要求</w:t>
      </w:r>
      <w:bookmarkEnd w:id="82"/>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3"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3"/>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4"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4"/>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5"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5"/>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6" w:name="_Toc27624"/>
      <w:r>
        <w:rPr>
          <w:rFonts w:hint="eastAsia" w:ascii="黑体" w:hAnsi="黑体" w:eastAsia="黑体" w:cs="Times New Roman"/>
          <w:b w:val="0"/>
          <w:bCs w:val="0"/>
          <w:kern w:val="2"/>
          <w:sz w:val="28"/>
          <w:szCs w:val="28"/>
          <w:lang w:val="en-US" w:eastAsia="zh-CN" w:bidi="ar-SA"/>
        </w:rPr>
        <w:t>第二节 政府采购合同通用条款</w:t>
      </w:r>
      <w:bookmarkEnd w:id="86"/>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7"/>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8"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8"/>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9" w:name="_Hlk72399513"/>
      <w:r>
        <w:rPr>
          <w:rFonts w:hint="eastAsia" w:ascii="宋体" w:hAnsi="宋体" w:eastAsia="宋体" w:cs="Times New Roman"/>
          <w:b/>
          <w:bCs/>
          <w:kern w:val="0"/>
          <w:sz w:val="28"/>
          <w:szCs w:val="28"/>
          <w:lang w:val="en-US" w:eastAsia="zh-CN" w:bidi="ar-SA"/>
        </w:rPr>
        <w:t>总则</w:t>
      </w:r>
    </w:p>
    <w:bookmarkEnd w:id="89"/>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90" w:name="_Hlk72399729"/>
      <w:r>
        <w:rPr>
          <w:rFonts w:hint="eastAsia" w:ascii="宋体" w:hAnsi="宋体" w:eastAsia="宋体" w:cs="Times New Roman"/>
          <w:szCs w:val="21"/>
        </w:rPr>
        <w:t>如有需要，政府集中采购机构可以对通用条款的内容进行补充。</w:t>
      </w:r>
      <w:bookmarkEnd w:id="90"/>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91"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92"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2"/>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91"/>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3"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3"/>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4"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4"/>
    <w:p>
      <w:pPr>
        <w:rPr>
          <w:rFonts w:ascii="黑体" w:hAnsi="宋体" w:eastAsia="黑体" w:cs="Times New Roman"/>
          <w:sz w:val="24"/>
        </w:rPr>
      </w:pPr>
      <w:r>
        <w:rPr>
          <w:rFonts w:hint="eastAsia" w:ascii="黑体" w:hAnsi="宋体" w:eastAsia="黑体" w:cs="Times New Roman"/>
          <w:sz w:val="24"/>
        </w:rPr>
        <w:t>15．</w:t>
      </w:r>
      <w:bookmarkStart w:id="95"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5"/>
    <w:p>
      <w:pPr>
        <w:rPr>
          <w:rFonts w:ascii="黑体" w:hAnsi="宋体" w:eastAsia="黑体" w:cs="Times New Roman"/>
          <w:sz w:val="24"/>
        </w:rPr>
      </w:pPr>
      <w:r>
        <w:rPr>
          <w:rFonts w:hint="eastAsia" w:ascii="黑体" w:hAnsi="宋体" w:eastAsia="黑体" w:cs="Times New Roman"/>
          <w:sz w:val="24"/>
        </w:rPr>
        <w:t>18．</w:t>
      </w:r>
      <w:bookmarkStart w:id="96"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6"/>
    <w:p>
      <w:pPr>
        <w:rPr>
          <w:rFonts w:ascii="黑体" w:hAnsi="宋体" w:eastAsia="黑体" w:cs="Times New Roman"/>
          <w:sz w:val="24"/>
        </w:rPr>
      </w:pPr>
      <w:r>
        <w:rPr>
          <w:rFonts w:hint="eastAsia" w:ascii="黑体" w:hAnsi="宋体" w:eastAsia="黑体" w:cs="Times New Roman"/>
          <w:sz w:val="24"/>
        </w:rPr>
        <w:t>19．</w:t>
      </w:r>
      <w:bookmarkStart w:id="97"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8"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8"/>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7"/>
    <w:p>
      <w:pPr>
        <w:ind w:firstLine="411" w:firstLineChars="196"/>
        <w:rPr>
          <w:rFonts w:ascii="宋体" w:hAnsi="宋体" w:eastAsia="宋体" w:cs="Times New Roman"/>
          <w:szCs w:val="21"/>
        </w:rPr>
      </w:pPr>
      <w:bookmarkStart w:id="99"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9"/>
    <w:p>
      <w:pPr>
        <w:rPr>
          <w:rFonts w:ascii="黑体" w:hAnsi="宋体" w:eastAsia="黑体" w:cs="Times New Roman"/>
          <w:sz w:val="24"/>
        </w:rPr>
      </w:pPr>
      <w:r>
        <w:rPr>
          <w:rFonts w:hint="eastAsia" w:ascii="黑体" w:hAnsi="宋体" w:eastAsia="黑体" w:cs="Times New Roman"/>
          <w:sz w:val="24"/>
        </w:rPr>
        <w:t>21．</w:t>
      </w:r>
      <w:bookmarkStart w:id="100"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0"/>
    <w:p>
      <w:pPr>
        <w:rPr>
          <w:rFonts w:ascii="黑体" w:hAnsi="宋体" w:eastAsia="黑体" w:cs="Times New Roman"/>
          <w:sz w:val="24"/>
        </w:rPr>
      </w:pPr>
      <w:r>
        <w:rPr>
          <w:rFonts w:hint="eastAsia" w:ascii="黑体" w:hAnsi="宋体" w:eastAsia="黑体" w:cs="Times New Roman"/>
          <w:sz w:val="24"/>
        </w:rPr>
        <w:t>23．</w:t>
      </w:r>
      <w:bookmarkStart w:id="101"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101"/>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102"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102"/>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3"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3"/>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4" w:name="_Hlk72436580"/>
      <w:r>
        <w:rPr>
          <w:rFonts w:hint="eastAsia" w:ascii="宋体" w:hAnsi="宋体" w:eastAsia="宋体" w:cs="Times New Roman"/>
        </w:rPr>
        <w:t>评审委员会由采购人代表和评审专家组成。</w:t>
      </w:r>
      <w:bookmarkEnd w:id="104"/>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5"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5"/>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6" w:name="_Toc73521669"/>
      <w:bookmarkStart w:id="107" w:name="_Toc73521581"/>
      <w:bookmarkStart w:id="108" w:name="_Toc100052400"/>
      <w:bookmarkStart w:id="109" w:name="_Toc73517673"/>
      <w:bookmarkStart w:id="110" w:name="_Toc73518151"/>
      <w:r>
        <w:rPr>
          <w:rFonts w:hint="eastAsia" w:ascii="黑体" w:hAnsi="宋体" w:eastAsia="黑体" w:cs="Times New Roman"/>
          <w:sz w:val="24"/>
        </w:rPr>
        <w:t>34．错误的修正</w:t>
      </w:r>
      <w:bookmarkEnd w:id="106"/>
      <w:bookmarkEnd w:id="107"/>
      <w:bookmarkEnd w:id="108"/>
      <w:bookmarkEnd w:id="109"/>
      <w:bookmarkEnd w:id="110"/>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11"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11"/>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12"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3"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3"/>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4"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5"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4"/>
      <w:bookmarkEnd w:id="115"/>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12"/>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6"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6"/>
      <w:bookmarkStart w:id="117"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7"/>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8"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8"/>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9"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9"/>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20" w:name="_Hlk72439043"/>
      <w:r>
        <w:rPr>
          <w:rFonts w:hint="eastAsia" w:ascii="宋体" w:hAnsi="宋体" w:eastAsia="宋体" w:cs="Times New Roman"/>
          <w:b/>
          <w:bCs/>
          <w:kern w:val="0"/>
          <w:sz w:val="28"/>
          <w:szCs w:val="28"/>
          <w:lang w:val="en-US" w:eastAsia="zh-CN" w:bidi="ar-SA"/>
        </w:rPr>
        <w:t>合同的授予与备案</w:t>
      </w:r>
      <w:bookmarkEnd w:id="120"/>
    </w:p>
    <w:p>
      <w:pPr>
        <w:rPr>
          <w:rFonts w:ascii="黑体" w:hAnsi="宋体" w:eastAsia="黑体" w:cs="Times New Roman"/>
          <w:sz w:val="24"/>
        </w:rPr>
      </w:pPr>
      <w:bookmarkStart w:id="121" w:name="_Toc73521674"/>
      <w:bookmarkStart w:id="122" w:name="_Toc73517679"/>
      <w:bookmarkStart w:id="123" w:name="_Toc73521586"/>
      <w:bookmarkStart w:id="124" w:name="_Toc100052408"/>
      <w:bookmarkStart w:id="125" w:name="_Toc73518157"/>
      <w:bookmarkStart w:id="126" w:name="_Hlk72439088"/>
      <w:r>
        <w:rPr>
          <w:rFonts w:hint="eastAsia" w:ascii="黑体" w:hAnsi="宋体" w:eastAsia="黑体" w:cs="Times New Roman"/>
          <w:sz w:val="24"/>
        </w:rPr>
        <w:t>43．合同授予标准</w:t>
      </w:r>
      <w:bookmarkEnd w:id="121"/>
      <w:bookmarkEnd w:id="122"/>
      <w:bookmarkEnd w:id="123"/>
      <w:bookmarkEnd w:id="124"/>
      <w:bookmarkEnd w:id="125"/>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7" w:name="_Toc100052409"/>
      <w:bookmarkStart w:id="128" w:name="_Toc73521675"/>
      <w:bookmarkStart w:id="129" w:name="_Toc73518158"/>
      <w:bookmarkStart w:id="130" w:name="_Toc73521587"/>
      <w:bookmarkStart w:id="131" w:name="_Toc73517680"/>
      <w:r>
        <w:rPr>
          <w:rFonts w:hint="eastAsia" w:ascii="黑体" w:hAnsi="宋体" w:eastAsia="黑体" w:cs="Times New Roman"/>
          <w:sz w:val="24"/>
        </w:rPr>
        <w:t>44．</w:t>
      </w:r>
      <w:bookmarkEnd w:id="127"/>
      <w:bookmarkEnd w:id="128"/>
      <w:bookmarkEnd w:id="129"/>
      <w:bookmarkEnd w:id="130"/>
      <w:bookmarkEnd w:id="131"/>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32" w:name="_Toc73521677"/>
      <w:bookmarkStart w:id="133" w:name="_Toc73521589"/>
      <w:bookmarkStart w:id="134" w:name="_Toc100052410"/>
      <w:bookmarkStart w:id="135" w:name="_Toc73518160"/>
      <w:bookmarkStart w:id="136" w:name="_Toc73517682"/>
      <w:r>
        <w:rPr>
          <w:rFonts w:hint="eastAsia" w:ascii="黑体" w:hAnsi="宋体" w:eastAsia="黑体" w:cs="Times New Roman"/>
          <w:sz w:val="24"/>
        </w:rPr>
        <w:t>45．合同的签订</w:t>
      </w:r>
      <w:bookmarkEnd w:id="132"/>
      <w:bookmarkEnd w:id="133"/>
      <w:bookmarkEnd w:id="134"/>
      <w:bookmarkEnd w:id="135"/>
      <w:bookmarkEnd w:id="136"/>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7" w:name="_Toc73521678"/>
      <w:bookmarkStart w:id="138" w:name="_Toc100052411"/>
      <w:bookmarkStart w:id="139" w:name="_Toc73517683"/>
      <w:bookmarkStart w:id="140" w:name="_Toc73521590"/>
      <w:bookmarkStart w:id="141" w:name="_Toc73518161"/>
      <w:r>
        <w:rPr>
          <w:rFonts w:hint="eastAsia" w:ascii="黑体" w:hAnsi="宋体" w:eastAsia="黑体" w:cs="Times New Roman"/>
          <w:sz w:val="24"/>
        </w:rPr>
        <w:t>46．履约担保</w:t>
      </w:r>
      <w:bookmarkEnd w:id="137"/>
      <w:bookmarkEnd w:id="138"/>
      <w:bookmarkEnd w:id="139"/>
      <w:bookmarkEnd w:id="140"/>
      <w:bookmarkEnd w:id="141"/>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42" w:name="_Hlk72440769"/>
      <w:r>
        <w:rPr>
          <w:rFonts w:hint="eastAsia" w:ascii="宋体" w:hAnsi="宋体" w:eastAsia="宋体" w:cs="Times New Roman"/>
          <w:szCs w:val="21"/>
        </w:rPr>
        <w:t>政府集中采购机构或采购人不予退还其交纳的谈判保证金，情节严重的，并由主管部门</w:t>
      </w:r>
      <w:bookmarkEnd w:id="142"/>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6"/>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3" w:name="_Hlk75374941"/>
      <w:r>
        <w:rPr>
          <w:rFonts w:hint="eastAsia" w:ascii="宋体" w:hAnsi="宋体" w:eastAsia="宋体" w:cs="Times New Roman"/>
          <w:szCs w:val="21"/>
        </w:rPr>
        <w:t>以联合体形式参与的，质疑应当由组成联合体的所有成员共同提出</w:t>
      </w:r>
      <w:bookmarkEnd w:id="143"/>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3E1B6F"/>
    <w:rsid w:val="08435461"/>
    <w:rsid w:val="08435AFA"/>
    <w:rsid w:val="087109F5"/>
    <w:rsid w:val="08AF0DE8"/>
    <w:rsid w:val="090C7C1B"/>
    <w:rsid w:val="0929095D"/>
    <w:rsid w:val="09493091"/>
    <w:rsid w:val="09FF0058"/>
    <w:rsid w:val="0A914C01"/>
    <w:rsid w:val="0AD31787"/>
    <w:rsid w:val="0ADD6816"/>
    <w:rsid w:val="0AF96D6A"/>
    <w:rsid w:val="0B912479"/>
    <w:rsid w:val="0BCC39BB"/>
    <w:rsid w:val="0BE119C4"/>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EC91994"/>
    <w:rsid w:val="1F507A92"/>
    <w:rsid w:val="1FD21930"/>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735D35"/>
    <w:rsid w:val="25784A9C"/>
    <w:rsid w:val="2596668B"/>
    <w:rsid w:val="25B15590"/>
    <w:rsid w:val="25E16A45"/>
    <w:rsid w:val="25F11338"/>
    <w:rsid w:val="25F46AB0"/>
    <w:rsid w:val="27217B54"/>
    <w:rsid w:val="274348DC"/>
    <w:rsid w:val="277D1EE5"/>
    <w:rsid w:val="27A31B59"/>
    <w:rsid w:val="27B87AF2"/>
    <w:rsid w:val="27EE3E21"/>
    <w:rsid w:val="285E29E0"/>
    <w:rsid w:val="286C3B37"/>
    <w:rsid w:val="289002C6"/>
    <w:rsid w:val="28B86003"/>
    <w:rsid w:val="28C71A62"/>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7120E1"/>
    <w:rsid w:val="32807B59"/>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2E3229"/>
    <w:rsid w:val="393D75AA"/>
    <w:rsid w:val="394E75C1"/>
    <w:rsid w:val="39600993"/>
    <w:rsid w:val="398A2C99"/>
    <w:rsid w:val="3999164A"/>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5778A0"/>
    <w:rsid w:val="44AC22B9"/>
    <w:rsid w:val="451275EF"/>
    <w:rsid w:val="459C606B"/>
    <w:rsid w:val="46123E32"/>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3961735"/>
    <w:rsid w:val="74564E86"/>
    <w:rsid w:val="74C434B7"/>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52011</Words>
  <Characters>54802</Characters>
  <Lines>368</Lines>
  <Paragraphs>103</Paragraphs>
  <TotalTime>10</TotalTime>
  <ScaleCrop>false</ScaleCrop>
  <LinksUpToDate>false</LinksUpToDate>
  <CharactersWithSpaces>58606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2021-05-16T11:04:00Z</cp:lastPrinted>
  <dcterms:modified xsi:type="dcterms:W3CDTF">2025-12-03T09:11:41Z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17784158DEBF44939F0F4F0B13500CAD</vt:lpwstr>
  </property>
  <property fmtid="{D5CDD505-2E9C-101B-9397-08002B2CF9AE}" pid="4" name="KSOTemplateDocerSaveRecord">
    <vt:lpwstr>eyJoZGlkIjoiNWMyOTMyNTQ1MWRmNGI0N2FlNmM4NDMxM2EyYTMzOGMiLCJ1c2VySWQiOiIxMTc1MzY1NzI0In0=</vt:lpwstr>
  </property>
</Properties>
</file>