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54" w:firstLineChars="1300"/>
        <w:outlineLvl w:val="1"/>
        <w:rPr>
          <w:rFonts w:ascii="宋体" w:hAnsi="宋体"/>
          <w:color w:val="FF0000"/>
          <w:szCs w:val="21"/>
        </w:rPr>
      </w:pPr>
      <w:bookmarkStart w:id="0" w:name="_Hlk71456902"/>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hint="eastAsia" w:ascii="Times New Roman" w:eastAsia="宋体"/>
          <w:b w:val="0"/>
          <w:bCs/>
          <w:color w:val="FF0000"/>
          <w:sz w:val="20"/>
          <w:szCs w:val="20"/>
          <w:lang w:val="en-US"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Times New Roman" w:eastAsia="宋体"/>
          <w:b w:val="0"/>
          <w:bCs/>
          <w:color w:val="FF0000"/>
          <w:sz w:val="20"/>
          <w:szCs w:val="20"/>
          <w:lang w:val="en-US" w:eastAsia="zh-CN"/>
        </w:rPr>
      </w:pPr>
      <w:r>
        <w:rPr>
          <w:rFonts w:hint="eastAsia" w:ascii="Times New Roman" w:eastAsia="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，请各供应商独立编制、上传投标文件，妥善保管和使用电子秘钥。</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b/>
          <w:color w:val="FF0000"/>
        </w:rPr>
      </w:pPr>
      <w:r>
        <w:rPr>
          <w:rFonts w:hint="eastAsia"/>
          <w:b/>
          <w:color w:val="FF0000"/>
          <w:lang w:val="en-US" w:eastAsia="zh-CN"/>
        </w:rPr>
        <w:t>五</w:t>
      </w:r>
      <w:r>
        <w:rPr>
          <w:rFonts w:hint="eastAsia"/>
          <w:b/>
          <w:color w:val="FF0000"/>
        </w:rPr>
        <w:t>、请投标供应商阅读《政府采购违法行为风险知悉确认书》（内容详见“投标文件附件（信息不公开部分）”中节点“投标人认为需要加以说明的其他内容”），并经各投标供应商负责人签字并加盖单位公章后，扫描上传至投标文件一并提交。</w:t>
      </w:r>
    </w:p>
    <w:p>
      <w:pPr>
        <w:pStyle w:val="62"/>
        <w:outlineLvl w:val="9"/>
        <w:rPr>
          <w:rFonts w:hint="eastAsia"/>
          <w:lang w:val="en-US" w:eastAsia="zh-CN"/>
        </w:rPr>
      </w:pPr>
    </w:p>
    <w:p>
      <w:pPr>
        <w:pStyle w:val="39"/>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jc w:val="both"/>
        <w:textAlignment w:val="auto"/>
        <w:outlineLvl w:val="9"/>
        <w:rPr>
          <w:rFonts w:hint="eastAsia" w:ascii="Times New Roman" w:hAnsi="Times New Roman" w:eastAsia="宋体" w:cs="Times New Roman"/>
          <w:b/>
          <w:color w:val="FF0000"/>
          <w:kern w:val="2"/>
          <w:sz w:val="21"/>
          <w:szCs w:val="24"/>
          <w:lang w:val="en-US" w:eastAsia="zh-CN" w:bidi="ar-SA"/>
        </w:rPr>
      </w:pPr>
      <w:r>
        <w:rPr>
          <w:rFonts w:hint="eastAsia" w:ascii="Times New Roman" w:hAnsi="Times New Roman" w:eastAsia="宋体" w:cs="Times New Roman"/>
          <w:b/>
          <w:color w:val="FF0000"/>
          <w:kern w:val="2"/>
          <w:sz w:val="21"/>
          <w:szCs w:val="24"/>
          <w:lang w:val="en-US" w:eastAsia="zh-CN" w:bidi="ar-SA"/>
        </w:rPr>
        <w:t>注：“特别警示条款”和《政府采购违法行为风险知悉确认书》用于对供应商违法行为的提醒，不作为供应商资格性审查及符合性审查条件。</w:t>
      </w:r>
    </w:p>
    <w:p>
      <w:pPr>
        <w:pStyle w:val="39"/>
        <w:widowControl/>
        <w:jc w:val="center"/>
        <w:outlineLvl w:val="9"/>
        <w:rPr>
          <w:rFonts w:hint="eastAsia" w:ascii="黑体" w:hAnsi="宋体" w:eastAsia="黑体" w:cs="黑体"/>
          <w:sz w:val="40"/>
          <w:szCs w:val="40"/>
        </w:rPr>
      </w:pPr>
    </w:p>
    <w:p>
      <w:pPr>
        <w:pStyle w:val="39"/>
        <w:widowControl/>
        <w:jc w:val="center"/>
        <w:outlineLvl w:val="9"/>
        <w:rPr>
          <w:rFonts w:hint="eastAsia" w:ascii="黑体" w:hAnsi="宋体" w:eastAsia="黑体" w:cs="黑体"/>
          <w:sz w:val="40"/>
          <w:szCs w:val="40"/>
        </w:rPr>
        <w:sectPr>
          <w:headerReference r:id="rId3" w:type="first"/>
          <w:footerReference r:id="rId4" w:type="default"/>
          <w:footerReference r:id="rId5" w:type="even"/>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招标文件信息</w:t>
      </w:r>
    </w:p>
    <w:tbl>
      <w:tblPr>
        <w:tblStyle w:val="44"/>
        <w:tblW w:w="7943" w:type="dxa"/>
        <w:jc w:val="center"/>
        <w:tblCellSpacing w:w="0" w:type="dxa"/>
        <w:tblLayout w:type="fixed"/>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pPr>
              <w:widowControl/>
              <w:jc w:val="left"/>
              <w:rPr>
                <w:sz w:val="30"/>
                <w:szCs w:val="30"/>
              </w:rPr>
            </w:pPr>
            <w:r>
              <w:rPr>
                <w:rFonts w:hint="eastAsia" w:ascii="宋体" w:hAnsi="宋体" w:cs="宋体"/>
                <w:kern w:val="0"/>
                <w:sz w:val="30"/>
                <w:szCs w:val="30"/>
                <w:lang w:bidi="ar"/>
              </w:rPr>
              <w:t>DPCG2025000055</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pPr>
              <w:widowControl/>
              <w:jc w:val="left"/>
              <w:rPr>
                <w:rFonts w:hint="eastAsia" w:eastAsia="宋体"/>
                <w:sz w:val="30"/>
                <w:szCs w:val="30"/>
                <w:lang w:eastAsia="zh-CN"/>
              </w:rPr>
            </w:pPr>
            <w:bookmarkStart w:id="1" w:name="OLE_LINK1"/>
            <w:r>
              <w:rPr>
                <w:rFonts w:hint="eastAsia"/>
                <w:sz w:val="30"/>
                <w:szCs w:val="30"/>
                <w:lang w:eastAsia="zh-CN"/>
              </w:rPr>
              <w:t>功能科设备</w:t>
            </w:r>
            <w:bookmarkEnd w:id="1"/>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号：</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货物类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公开招标</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bookmarkEnd w:id="0"/>
    </w:tbl>
    <w:p>
      <w:pPr>
        <w:pStyle w:val="39"/>
        <w:widowControl/>
        <w:jc w:val="center"/>
        <w:outlineLvl w:val="1"/>
        <w:rPr>
          <w:rFonts w:hint="eastAsia" w:ascii="黑体" w:hAnsi="宋体" w:eastAsia="黑体" w:cs="黑体"/>
          <w:sz w:val="40"/>
          <w:szCs w:val="40"/>
        </w:rPr>
        <w:sectPr>
          <w:pgSz w:w="11907" w:h="16840"/>
          <w:pgMar w:top="1497" w:right="1418" w:bottom="1440" w:left="1531"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pStyle w:val="39"/>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lang w:val="en-US" w:eastAsia="zh-CN"/>
              </w:rPr>
              <w:t>不得</w:t>
            </w:r>
            <w:r>
              <w:rPr>
                <w:rFonts w:hint="eastAsia"/>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分项报价或投标总价</w:t>
            </w:r>
            <w:r>
              <w:rPr>
                <w:rFonts w:hint="eastAsia"/>
                <w:lang w:val="en-US" w:eastAsia="zh-CN"/>
              </w:rPr>
              <w:t>不得</w:t>
            </w:r>
            <w:r>
              <w:rPr>
                <w:rFonts w:hint="eastAsia"/>
              </w:rPr>
              <w:t>高于</w:t>
            </w:r>
            <w:bookmarkStart w:id="2" w:name="_Hlk71832186"/>
            <w:r>
              <w:rPr>
                <w:rFonts w:hint="eastAsia"/>
              </w:rPr>
              <w:t>相应预算金额（或设定的预算金额下的最高限价）</w:t>
            </w:r>
            <w:bookmarkEnd w:id="2"/>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lang w:eastAsia="zh-CN"/>
              </w:rPr>
              <w:t>；</w:t>
            </w:r>
            <w:r>
              <w:rPr>
                <w:rFonts w:hint="eastAsia"/>
                <w:lang w:val="en-US" w:eastAsia="zh-CN"/>
              </w:rPr>
              <w:t>若招标文件未设置实质性条款，不得据此做投标无效处理</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rPr>
            </w:pPr>
            <w:r>
              <w:rPr>
                <w:rFonts w:hint="eastAsia"/>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rPr>
            </w:pPr>
            <w:r>
              <w:rPr>
                <w:rFonts w:hint="eastAsia"/>
                <w:lang w:val="en-US" w:eastAsia="zh-CN"/>
              </w:rPr>
              <w:t>采购标的/所投产品/货物清单/报价等任意一类有缺漏项或响应不全，</w:t>
            </w:r>
            <w:r>
              <w:rPr>
                <w:rFonts w:hint="eastAsia"/>
              </w:rPr>
              <w:t>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投标文件电子文档</w:t>
            </w:r>
            <w:r>
              <w:rPr>
                <w:rFonts w:hint="eastAsia"/>
                <w:lang w:val="en-US" w:eastAsia="zh-CN"/>
              </w:rPr>
              <w:t>不得</w:t>
            </w:r>
            <w:r>
              <w:rPr>
                <w:rFonts w:hint="eastAsia"/>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ascii="宋体" w:hAnsi="宋体" w:eastAsia="宋体" w:cs="宋体"/>
                <w:szCs w:val="24"/>
                <w:lang w:val="en-US" w:eastAsia="zh-CN"/>
              </w:rPr>
            </w:pPr>
            <w:r>
              <w:rPr>
                <w:rFonts w:hint="eastAsia" w:ascii="宋体" w:hAnsi="宋体" w:eastAsia="宋体" w:cs="宋体"/>
                <w:szCs w:val="24"/>
                <w:lang w:val="en-US" w:eastAsia="zh-CN"/>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eastAsia="宋体"/>
                <w:szCs w:val="24"/>
                <w:lang w:eastAsia="zh-CN"/>
              </w:rPr>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ascii="宋体" w:hAnsi="宋体" w:eastAsia="宋体" w:cs="宋体"/>
                <w:szCs w:val="24"/>
                <w:lang w:val="en-US" w:eastAsia="zh-CN"/>
              </w:rPr>
            </w:pPr>
            <w:r>
              <w:rPr>
                <w:rFonts w:hint="eastAsia" w:ascii="宋体" w:hAnsi="宋体" w:eastAsia="宋体" w:cs="宋体"/>
                <w:szCs w:val="24"/>
                <w:lang w:val="en-US" w:eastAsia="zh-CN"/>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eastAsia="宋体"/>
                <w:szCs w:val="24"/>
                <w:lang w:eastAsia="zh-CN"/>
              </w:rPr>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default" w:eastAsia="宋体"/>
                <w:szCs w:val="21"/>
                <w:lang w:val="en-US" w:eastAsia="zh-CN"/>
              </w:rPr>
            </w:pPr>
            <w:r>
              <w:rPr>
                <w:rFonts w:hint="eastAsia" w:ascii="宋体" w:hAnsi="宋体" w:cs="宋体"/>
                <w:kern w:val="0"/>
                <w:szCs w:val="21"/>
                <w:lang w:val="en-US" w:eastAsia="zh-CN"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法律、法规、规章、规范性文件规定的其他情形。</w:t>
            </w:r>
          </w:p>
        </w:tc>
      </w:tr>
    </w:tbl>
    <w:p>
      <w:pPr>
        <w:pStyle w:val="39"/>
        <w:widowControl/>
        <w:jc w:val="center"/>
        <w:outlineLvl w:val="1"/>
        <w:rPr>
          <w:rFonts w:hint="eastAsia" w:ascii="黑体" w:hAnsi="宋体" w:eastAsia="黑体" w:cs="黑体"/>
          <w:sz w:val="40"/>
          <w:szCs w:val="40"/>
        </w:r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44"/>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jc w:val="left"/>
              <w:rPr>
                <w:rFonts w:ascii="宋体"/>
                <w:b/>
                <w:bCs/>
                <w:sz w:val="21"/>
                <w:szCs w:val="21"/>
              </w:rPr>
            </w:pPr>
            <w:r>
              <w:rPr>
                <w:b/>
                <w:bCs/>
                <w:sz w:val="21"/>
                <w:szCs w:val="21"/>
              </w:rPr>
              <w:t>评标方法：</w:t>
            </w:r>
            <w:r>
              <w:rPr>
                <w:b/>
                <w:bCs/>
                <w:sz w:val="21"/>
                <w:szCs w:val="21"/>
                <w:highlight w:val="yellow"/>
              </w:rPr>
              <w:t>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 w:val="21"/>
                <w:szCs w:val="21"/>
                <w:lang w:eastAsia="zh-CN"/>
              </w:rPr>
            </w:pPr>
            <w:r>
              <w:rPr>
                <w:sz w:val="21"/>
                <w:szCs w:val="21"/>
              </w:rPr>
              <w:t>综合评分法，</w:t>
            </w:r>
            <w:r>
              <w:rPr>
                <w:rFonts w:hint="eastAsia"/>
                <w:sz w:val="21"/>
                <w:szCs w:val="21"/>
              </w:rPr>
              <w:t>是指投标文件满足招标文件全部实质性要求，且按照评审因素的量化指标评审得分</w:t>
            </w:r>
            <w:r>
              <w:rPr>
                <w:rFonts w:hint="eastAsia"/>
                <w:sz w:val="21"/>
                <w:szCs w:val="21"/>
                <w:lang w:val="en-US" w:eastAsia="zh-CN"/>
              </w:rPr>
              <w:t>排名前列</w:t>
            </w:r>
            <w:r>
              <w:rPr>
                <w:sz w:val="21"/>
                <w:szCs w:val="21"/>
              </w:rPr>
              <w:t>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采用低价优先法计算，即满足招标文件要求且投标价格最低的投标报价为评标基准价，其价格分为满分。其他投标人的价格分统一按照下列公式计算：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投标报价得分=(评标基准价／投标报价)×100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评标总得分＝F1×A1＋F2×A2＋……＋Fn×An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F1、F2……Fn分别为各项评审因素的得分；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A1、A2、……An 分别为各项评审因素所占的权重(A1＋A2＋……＋An＝1)。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kern w:val="2"/>
                <w:sz w:val="21"/>
                <w:szCs w:val="21"/>
              </w:rPr>
            </w:pPr>
            <w:r>
              <w:rPr>
                <w:kern w:val="2"/>
                <w:sz w:val="21"/>
                <w:szCs w:val="21"/>
              </w:rPr>
              <w:t>评标过程中，不得去掉报价中的最高报价和最低报价。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kern w:val="2"/>
                <w:sz w:val="21"/>
                <w:szCs w:val="21"/>
              </w:rPr>
            </w:pPr>
            <w:r>
              <w:rPr>
                <w:rFonts w:hint="eastAsia"/>
                <w:kern w:val="2"/>
                <w:sz w:val="21"/>
                <w:szCs w:val="21"/>
              </w:rPr>
              <w:t>因落实政府采购政策进行价格调整的，以调整后的价格计算评标基准价和投标报价。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bookmarkStart w:id="3" w:name="_Hlk72360569"/>
            <w:r>
              <w:rPr>
                <w:rFonts w:ascii="宋体" w:hAnsi="宋体" w:cs="宋体"/>
                <w:b/>
                <w:bCs/>
                <w:kern w:val="0"/>
                <w:sz w:val="21"/>
                <w:szCs w:val="21"/>
                <w:lang w:bidi="ar"/>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1</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价格</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2</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技术部分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所投产品一般性参数响应情况评价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50</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eastAsia="宋体" w:cs="宋体"/>
                <w:sz w:val="21"/>
                <w:szCs w:val="21"/>
              </w:rPr>
            </w:pPr>
            <w:r>
              <w:rPr>
                <w:rFonts w:hint="eastAsia" w:ascii="宋体" w:hAnsi="宋体" w:eastAsia="宋体" w:cs="宋体"/>
                <w:sz w:val="21"/>
                <w:szCs w:val="21"/>
              </w:rPr>
              <w:t>（一）评分内容：</w:t>
            </w:r>
          </w:p>
          <w:p>
            <w:pPr>
              <w:widowControl/>
              <w:jc w:val="left"/>
              <w:rPr>
                <w:rFonts w:hint="eastAsia" w:ascii="宋体" w:hAnsi="宋体" w:eastAsia="宋体" w:cs="宋体"/>
                <w:sz w:val="21"/>
                <w:szCs w:val="21"/>
              </w:rPr>
            </w:pPr>
            <w:r>
              <w:rPr>
                <w:rFonts w:hint="eastAsia" w:ascii="宋体" w:hAnsi="宋体" w:eastAsia="宋体" w:cs="宋体"/>
                <w:sz w:val="21"/>
                <w:szCs w:val="21"/>
              </w:rPr>
              <w:t>投标人应如实填写《技术要求偏离表》，评审委员会根据技术需求一般参数响应情况进行打分。全部满足的得100分，一般参数每项负偏离一项扣</w:t>
            </w:r>
            <w:r>
              <w:rPr>
                <w:rFonts w:hint="eastAsia" w:ascii="宋体" w:hAnsi="宋体" w:cs="宋体"/>
                <w:sz w:val="21"/>
                <w:szCs w:val="21"/>
                <w:lang w:val="en-US" w:eastAsia="zh-CN"/>
              </w:rPr>
              <w:t>4</w:t>
            </w:r>
            <w:r>
              <w:rPr>
                <w:rFonts w:hint="eastAsia" w:ascii="宋体" w:hAnsi="宋体" w:eastAsia="宋体" w:cs="宋体"/>
                <w:sz w:val="21"/>
                <w:szCs w:val="21"/>
              </w:rPr>
              <w:t>分，扣完为止。</w:t>
            </w:r>
          </w:p>
          <w:p>
            <w:pPr>
              <w:widowControl/>
              <w:jc w:val="left"/>
              <w:rPr>
                <w:rFonts w:hint="eastAsia" w:ascii="宋体" w:hAnsi="宋体" w:eastAsia="宋体" w:cs="宋体"/>
                <w:sz w:val="21"/>
                <w:szCs w:val="21"/>
              </w:rPr>
            </w:pPr>
            <w:r>
              <w:rPr>
                <w:rFonts w:hint="eastAsia" w:ascii="宋体" w:hAnsi="宋体" w:eastAsia="宋体" w:cs="宋体"/>
                <w:sz w:val="21"/>
                <w:szCs w:val="21"/>
              </w:rPr>
              <w:t>（二）评分依据：</w:t>
            </w:r>
          </w:p>
          <w:p>
            <w:pPr>
              <w:widowControl/>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提供《技术要求偏离表》。投标人未按具体的技术参数要求提供相关证明材料或者提供的证明材料不符合要求的或或评审专家无法凭所提供资料判断是否得分的，该项参数视为负偏离。技术参数未要求提供证明材料的，则无需提供材料证明，以《技术要求偏离表》响应的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商务</w:t>
            </w:r>
            <w:r>
              <w:rPr>
                <w:rFonts w:hint="eastAsia" w:ascii="宋体" w:hAnsi="宋体" w:cs="宋体"/>
                <w:b/>
                <w:bCs/>
                <w:color w:val="0000FF"/>
                <w:kern w:val="0"/>
                <w:sz w:val="21"/>
                <w:szCs w:val="21"/>
                <w:lang w:bidi="ar"/>
              </w:rPr>
              <w:t>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项目经验评价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（一）评审内容：</w:t>
            </w:r>
          </w:p>
          <w:p>
            <w:pPr>
              <w:rPr>
                <w:rFonts w:hint="eastAsia" w:ascii="宋体" w:hAnsi="宋体" w:eastAsia="宋体" w:cs="宋体"/>
                <w:sz w:val="21"/>
                <w:szCs w:val="21"/>
              </w:rPr>
            </w:pPr>
            <w:r>
              <w:rPr>
                <w:rFonts w:hint="eastAsia" w:ascii="宋体" w:hAnsi="宋体" w:eastAsia="宋体" w:cs="宋体"/>
                <w:sz w:val="21"/>
                <w:szCs w:val="21"/>
              </w:rPr>
              <w:t>自2022年1月1日以来（以合同签订日期为准），投标人具有彩超类</w:t>
            </w:r>
            <w:r>
              <w:rPr>
                <w:rFonts w:hint="eastAsia"/>
                <w:lang w:val="en-US" w:eastAsia="zh-CN"/>
              </w:rPr>
              <w:t>（与投标人所投产品同一品牌型号）</w:t>
            </w:r>
            <w:r>
              <w:rPr>
                <w:rFonts w:hint="eastAsia" w:ascii="宋体" w:hAnsi="宋体" w:eastAsia="宋体" w:cs="宋体"/>
                <w:sz w:val="21"/>
                <w:szCs w:val="21"/>
              </w:rPr>
              <w:t>项目供货业绩且验收合格的，每提供一项得20分，本项最高得100分。</w:t>
            </w:r>
          </w:p>
          <w:p>
            <w:pPr>
              <w:rPr>
                <w:rFonts w:hint="eastAsia" w:ascii="宋体" w:hAnsi="宋体" w:eastAsia="宋体" w:cs="宋体"/>
                <w:sz w:val="21"/>
                <w:szCs w:val="21"/>
              </w:rPr>
            </w:pPr>
            <w:r>
              <w:rPr>
                <w:rFonts w:hint="eastAsia" w:ascii="宋体" w:hAnsi="宋体" w:eastAsia="宋体" w:cs="宋体"/>
                <w:sz w:val="21"/>
                <w:szCs w:val="21"/>
              </w:rPr>
              <w:t>（二）评审依据：</w:t>
            </w:r>
          </w:p>
          <w:p>
            <w:pPr>
              <w:rPr>
                <w:rFonts w:hint="eastAsia" w:ascii="宋体" w:hAnsi="宋体" w:eastAsia="宋体" w:cs="宋体"/>
                <w:sz w:val="21"/>
                <w:szCs w:val="21"/>
              </w:rPr>
            </w:pPr>
            <w:r>
              <w:rPr>
                <w:rFonts w:hint="eastAsia" w:ascii="宋体" w:hAnsi="宋体" w:eastAsia="宋体" w:cs="宋体"/>
                <w:sz w:val="21"/>
                <w:szCs w:val="21"/>
              </w:rPr>
              <w:t>1、投标时同时提供：①项目合同关键页（包括但不限于合同首页、内容页、</w:t>
            </w:r>
            <w:r>
              <w:rPr>
                <w:rFonts w:hint="eastAsia" w:ascii="宋体" w:hAnsi="宋体" w:eastAsia="宋体" w:cs="宋体"/>
                <w:sz w:val="21"/>
                <w:szCs w:val="21"/>
                <w:lang w:val="en-US" w:eastAsia="zh-CN"/>
              </w:rPr>
              <w:t>货物标的信息页、</w:t>
            </w:r>
            <w:r>
              <w:rPr>
                <w:rFonts w:hint="eastAsia" w:ascii="宋体" w:hAnsi="宋体" w:eastAsia="宋体" w:cs="宋体"/>
                <w:sz w:val="21"/>
                <w:szCs w:val="21"/>
              </w:rPr>
              <w:t>签章页）扫描件；②甲方（相对方）出具的加盖公章（或业务章）的验收报告扫描件；</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2、未按要求提供证明材料（或证明材料无法判断是否符合评分要求）的不得分，原件备查。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售后服务人员配备情况及应急措施</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eastAsia="宋体" w:cs="宋体"/>
                <w:sz w:val="21"/>
                <w:szCs w:val="21"/>
              </w:rPr>
            </w:pPr>
            <w:r>
              <w:rPr>
                <w:rFonts w:hint="eastAsia" w:ascii="宋体" w:hAnsi="宋体" w:eastAsia="宋体" w:cs="宋体"/>
                <w:sz w:val="21"/>
                <w:szCs w:val="21"/>
              </w:rPr>
              <w:t>（一）评审内容：</w:t>
            </w:r>
          </w:p>
          <w:p>
            <w:pPr>
              <w:widowControl/>
              <w:jc w:val="left"/>
              <w:rPr>
                <w:rFonts w:hint="eastAsia" w:ascii="宋体" w:hAnsi="宋体" w:eastAsia="宋体" w:cs="宋体"/>
                <w:sz w:val="21"/>
                <w:szCs w:val="21"/>
              </w:rPr>
            </w:pPr>
            <w:r>
              <w:rPr>
                <w:rFonts w:hint="eastAsia" w:ascii="宋体" w:hAnsi="宋体" w:eastAsia="宋体" w:cs="宋体"/>
                <w:sz w:val="21"/>
                <w:szCs w:val="21"/>
              </w:rPr>
              <w:t>根据投标人提供的售后服务人员配备情况及应急措施进行评审，内容包括但不限于：</w:t>
            </w:r>
          </w:p>
          <w:p>
            <w:pPr>
              <w:widowControl/>
              <w:jc w:val="left"/>
              <w:rPr>
                <w:rFonts w:hint="eastAsia" w:ascii="宋体" w:hAnsi="宋体" w:eastAsia="宋体" w:cs="宋体"/>
                <w:sz w:val="21"/>
                <w:szCs w:val="21"/>
              </w:rPr>
            </w:pPr>
            <w:r>
              <w:rPr>
                <w:rFonts w:hint="eastAsia" w:ascii="宋体" w:hAnsi="宋体" w:eastAsia="宋体" w:cs="宋体"/>
                <w:sz w:val="21"/>
                <w:szCs w:val="21"/>
              </w:rPr>
              <w:t>①售后人员配备情况；</w:t>
            </w:r>
          </w:p>
          <w:p>
            <w:pPr>
              <w:widowControl/>
              <w:jc w:val="left"/>
              <w:rPr>
                <w:rFonts w:hint="eastAsia" w:ascii="宋体" w:hAnsi="宋体" w:eastAsia="宋体" w:cs="宋体"/>
                <w:sz w:val="21"/>
                <w:szCs w:val="21"/>
              </w:rPr>
            </w:pPr>
            <w:r>
              <w:rPr>
                <w:rFonts w:hint="eastAsia" w:ascii="宋体" w:hAnsi="宋体" w:eastAsia="宋体" w:cs="宋体"/>
                <w:sz w:val="21"/>
                <w:szCs w:val="21"/>
              </w:rPr>
              <w:t>②售后应急措施；</w:t>
            </w:r>
          </w:p>
          <w:p>
            <w:pPr>
              <w:widowControl/>
              <w:jc w:val="left"/>
              <w:rPr>
                <w:rFonts w:hint="eastAsia" w:ascii="宋体" w:hAnsi="宋体" w:eastAsia="宋体" w:cs="宋体"/>
                <w:sz w:val="21"/>
                <w:szCs w:val="21"/>
              </w:rPr>
            </w:pPr>
            <w:r>
              <w:rPr>
                <w:rFonts w:hint="eastAsia" w:ascii="宋体" w:hAnsi="宋体" w:eastAsia="宋体" w:cs="宋体"/>
                <w:sz w:val="21"/>
                <w:szCs w:val="21"/>
              </w:rPr>
              <w:t>（二）评审依据：</w:t>
            </w:r>
          </w:p>
          <w:p>
            <w:pPr>
              <w:widowControl/>
              <w:jc w:val="left"/>
              <w:rPr>
                <w:rFonts w:hint="eastAsia" w:ascii="宋体" w:hAnsi="宋体" w:eastAsia="宋体" w:cs="宋体"/>
                <w:sz w:val="21"/>
                <w:szCs w:val="21"/>
              </w:rPr>
            </w:pPr>
            <w:r>
              <w:rPr>
                <w:rFonts w:hint="eastAsia" w:ascii="宋体" w:hAnsi="宋体" w:eastAsia="宋体" w:cs="宋体"/>
                <w:sz w:val="21"/>
                <w:szCs w:val="21"/>
              </w:rPr>
              <w:t>1、以上内容每满足一点得30分，最高得60分，未满足不得分。</w:t>
            </w:r>
          </w:p>
          <w:p>
            <w:pPr>
              <w:widowControl/>
              <w:jc w:val="left"/>
              <w:rPr>
                <w:rFonts w:hint="eastAsia" w:ascii="宋体" w:hAnsi="宋体" w:eastAsia="宋体" w:cs="宋体"/>
                <w:sz w:val="21"/>
                <w:szCs w:val="21"/>
              </w:rPr>
            </w:pPr>
            <w:r>
              <w:rPr>
                <w:rFonts w:hint="eastAsia" w:ascii="宋体" w:hAnsi="宋体" w:eastAsia="宋体" w:cs="宋体"/>
                <w:sz w:val="21"/>
                <w:szCs w:val="21"/>
              </w:rPr>
              <w:t>2、在此基础上，专家根据供应商的具体响应内容按照量化的评审因素指标进一步评审：</w:t>
            </w:r>
          </w:p>
          <w:p>
            <w:pPr>
              <w:widowControl/>
              <w:jc w:val="left"/>
              <w:rPr>
                <w:rFonts w:hint="eastAsia" w:ascii="宋体" w:hAnsi="宋体" w:eastAsia="宋体" w:cs="宋体"/>
                <w:sz w:val="21"/>
                <w:szCs w:val="21"/>
              </w:rPr>
            </w:pPr>
            <w:r>
              <w:rPr>
                <w:rFonts w:hint="eastAsia" w:ascii="宋体" w:hAnsi="宋体" w:eastAsia="宋体" w:cs="宋体"/>
                <w:sz w:val="21"/>
                <w:szCs w:val="21"/>
              </w:rPr>
              <w:t>（1）方案内容全面、具体、针对性强、科学合理、可操作性强完全满足本项目需求的，评审为优，加40分；</w:t>
            </w:r>
          </w:p>
          <w:p>
            <w:pPr>
              <w:widowControl/>
              <w:jc w:val="left"/>
              <w:rPr>
                <w:rFonts w:hint="eastAsia" w:ascii="宋体" w:hAnsi="宋体" w:eastAsia="宋体" w:cs="宋体"/>
                <w:sz w:val="21"/>
                <w:szCs w:val="21"/>
              </w:rPr>
            </w:pPr>
            <w:r>
              <w:rPr>
                <w:rFonts w:hint="eastAsia" w:ascii="宋体" w:hAnsi="宋体" w:eastAsia="宋体" w:cs="宋体"/>
                <w:sz w:val="21"/>
                <w:szCs w:val="21"/>
              </w:rPr>
              <w:t>（2）方案内容基本合理、针对性一般、基本满足本项目需求的，评审为良，加20分；</w:t>
            </w:r>
          </w:p>
          <w:p>
            <w:pPr>
              <w:widowControl/>
              <w:jc w:val="left"/>
              <w:rPr>
                <w:rFonts w:hint="eastAsia" w:ascii="宋体" w:hAnsi="宋体" w:eastAsia="宋体" w:cs="宋体"/>
                <w:sz w:val="21"/>
                <w:szCs w:val="21"/>
              </w:rPr>
            </w:pPr>
            <w:r>
              <w:rPr>
                <w:rFonts w:hint="eastAsia" w:ascii="宋体" w:hAnsi="宋体" w:eastAsia="宋体" w:cs="宋体"/>
                <w:sz w:val="21"/>
                <w:szCs w:val="21"/>
              </w:rPr>
              <w:t>（3）未提供方案的，评审为差，不加分。</w:t>
            </w:r>
          </w:p>
          <w:p>
            <w:pPr>
              <w:widowControl/>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以上累计得分，最高得100分。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体系认证情况评价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line="240" w:lineRule="auto"/>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（一）评审内容：</w:t>
            </w:r>
          </w:p>
          <w:p>
            <w:pPr>
              <w:keepNext w:val="0"/>
              <w:keepLines w:val="0"/>
              <w:pageBreakBefore w:val="0"/>
              <w:widowControl/>
              <w:kinsoku/>
              <w:wordWrap w:val="0"/>
              <w:overflowPunct/>
              <w:topLinePunct w:val="0"/>
              <w:bidi w:val="0"/>
              <w:spacing w:line="240" w:lineRule="auto"/>
              <w:jc w:val="left"/>
              <w:textAlignment w:val="top"/>
              <w:rPr>
                <w:rFonts w:hint="eastAsia" w:ascii="宋体" w:hAnsi="宋体" w:eastAsia="宋体" w:cs="宋体"/>
                <w:sz w:val="21"/>
                <w:szCs w:val="21"/>
              </w:rPr>
            </w:pPr>
            <w:r>
              <w:rPr>
                <w:rFonts w:hint="eastAsia" w:ascii="宋体" w:hAnsi="宋体" w:eastAsia="宋体" w:cs="宋体"/>
                <w:sz w:val="21"/>
                <w:szCs w:val="21"/>
              </w:rPr>
              <w:t>投标人具有质量管理体系认证证书的得100分，</w:t>
            </w:r>
            <w:r>
              <w:rPr>
                <w:rFonts w:hint="eastAsia" w:ascii="宋体" w:hAnsi="宋体" w:eastAsia="宋体" w:cs="宋体"/>
                <w:sz w:val="21"/>
                <w:szCs w:val="21"/>
                <w:lang w:val="en-US" w:eastAsia="zh-CN"/>
              </w:rPr>
              <w:t>本项</w:t>
            </w:r>
            <w:r>
              <w:rPr>
                <w:rFonts w:hint="eastAsia" w:ascii="宋体" w:hAnsi="宋体" w:eastAsia="宋体" w:cs="宋体"/>
                <w:sz w:val="21"/>
                <w:szCs w:val="21"/>
              </w:rPr>
              <w:t>最高得100分。</w:t>
            </w:r>
          </w:p>
          <w:p>
            <w:pPr>
              <w:keepNext w:val="0"/>
              <w:keepLines w:val="0"/>
              <w:pageBreakBefore w:val="0"/>
              <w:suppressLineNumbers w:val="0"/>
              <w:kinsoku/>
              <w:overflowPunct/>
              <w:topLinePunct w:val="0"/>
              <w:bidi w:val="0"/>
              <w:spacing w:before="0" w:beforeAutospacing="0" w:after="0" w:afterAutospacing="0" w:line="24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（二）评审依据：</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投标人需同时</w:t>
            </w:r>
            <w:r>
              <w:rPr>
                <w:rFonts w:hint="eastAsia" w:ascii="宋体" w:hAnsi="宋体" w:eastAsia="宋体" w:cs="宋体"/>
                <w:sz w:val="21"/>
                <w:szCs w:val="21"/>
              </w:rPr>
              <w:t>提供</w:t>
            </w:r>
            <w:r>
              <w:rPr>
                <w:rFonts w:hint="eastAsia" w:ascii="宋体" w:hAnsi="宋体" w:eastAsia="宋体" w:cs="宋体"/>
                <w:sz w:val="21"/>
                <w:szCs w:val="21"/>
                <w:lang w:val="en-US" w:eastAsia="zh-CN"/>
              </w:rPr>
              <w:t>以下材料作为证明文件</w:t>
            </w:r>
            <w:r>
              <w:rPr>
                <w:rFonts w:hint="eastAsia" w:ascii="宋体" w:hAnsi="宋体" w:eastAsia="宋体" w:cs="宋体"/>
                <w:sz w:val="21"/>
                <w:szCs w:val="21"/>
              </w:rPr>
              <w:t>：</w:t>
            </w:r>
          </w:p>
          <w:p>
            <w:pPr>
              <w:bidi w:val="0"/>
              <w:rPr>
                <w:rFonts w:hint="eastAsia" w:ascii="宋体" w:hAnsi="宋体" w:eastAsia="宋体" w:cs="宋体"/>
                <w:sz w:val="21"/>
                <w:szCs w:val="21"/>
                <w:lang w:eastAsia="zh-CN"/>
              </w:rPr>
            </w:pPr>
            <w:r>
              <w:rPr>
                <w:rFonts w:hint="eastAsia" w:ascii="宋体" w:hAnsi="宋体" w:eastAsia="宋体" w:cs="宋体"/>
                <w:sz w:val="21"/>
                <w:szCs w:val="21"/>
                <w:lang w:eastAsia="zh-CN"/>
              </w:rPr>
              <w:t>1、提供认证证书作为得分依据；</w:t>
            </w:r>
            <w:r>
              <w:rPr>
                <w:rFonts w:hint="eastAsia" w:ascii="宋体" w:hAnsi="宋体" w:eastAsia="宋体" w:cs="宋体"/>
                <w:sz w:val="21"/>
                <w:szCs w:val="21"/>
              </w:rPr>
              <w:t>如供应商距本项目开标之日的注册成立时间不足3个月，且未取得以上认证证书的，提供认证机构出具的关于“正在办理”或“暂无法办理”的书面证明材料（需包含评审因素涉及的认证证书，且加盖认证机构公章），可视为已获得相应的认证证书。</w:t>
            </w:r>
          </w:p>
          <w:p>
            <w:pPr>
              <w:bidi w:val="0"/>
              <w:rPr>
                <w:rFonts w:hint="eastAsia" w:ascii="宋体" w:hAnsi="宋体" w:eastAsia="宋体" w:cs="宋体"/>
                <w:sz w:val="21"/>
                <w:szCs w:val="21"/>
                <w:lang w:eastAsia="zh-CN"/>
              </w:rPr>
            </w:pPr>
            <w:r>
              <w:rPr>
                <w:rFonts w:hint="eastAsia" w:ascii="宋体" w:hAnsi="宋体" w:eastAsia="宋体" w:cs="宋体"/>
                <w:sz w:val="21"/>
                <w:szCs w:val="21"/>
                <w:lang w:eastAsia="zh-CN"/>
              </w:rPr>
              <w:t>2、认证证书需同时提供在全国认证认可信息公共服务平台（认e云）查询截图且显示有效（http://cx.cnca.cn）及编号一致；</w:t>
            </w:r>
          </w:p>
          <w:p>
            <w:pPr>
              <w:rPr>
                <w:rFonts w:hint="eastAsia" w:ascii="宋体" w:hAnsi="宋体" w:eastAsia="宋体" w:cs="宋体"/>
                <w:sz w:val="21"/>
                <w:szCs w:val="21"/>
              </w:rPr>
            </w:pPr>
            <w:r>
              <w:rPr>
                <w:rFonts w:hint="eastAsia" w:ascii="宋体" w:hAnsi="宋体" w:eastAsia="宋体" w:cs="宋体"/>
                <w:sz w:val="21"/>
                <w:szCs w:val="21"/>
                <w:lang w:eastAsia="zh-CN"/>
              </w:rPr>
              <w:t>3、以上资料原件备查。</w:t>
            </w:r>
            <w:r>
              <w:rPr>
                <w:rFonts w:hint="eastAsia" w:ascii="宋体" w:hAnsi="宋体" w:eastAsia="宋体" w:cs="宋体"/>
                <w:kern w:val="2"/>
                <w:sz w:val="21"/>
                <w:szCs w:val="21"/>
                <w:lang w:val="en-US" w:eastAsia="zh-CN" w:bidi="ar-SA"/>
              </w:rPr>
              <w:t>未提供证明材料或者提供的证明材料不符合要求或评审专家无法凭所提供资料判断是否得分的，一律做不得分处理。</w:t>
            </w:r>
          </w:p>
          <w:p>
            <w:pPr>
              <w:widowControl/>
              <w:jc w:val="left"/>
              <w:rPr>
                <w:rFonts w:hint="eastAsia" w:ascii="宋体" w:hAnsi="宋体" w:eastAsia="宋体" w:cs="宋体"/>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eastAsia" w:eastAsia="宋体"/>
                <w:b/>
                <w:bCs/>
                <w:color w:val="0000FF"/>
                <w:sz w:val="21"/>
                <w:szCs w:val="21"/>
                <w:lang w:eastAsia="zh-CN"/>
              </w:rPr>
            </w:pPr>
            <w:r>
              <w:rPr>
                <w:rFonts w:hint="eastAsia" w:ascii="宋体" w:hAnsi="宋体" w:cs="宋体"/>
                <w:b/>
                <w:bCs/>
                <w:color w:val="0000FF"/>
                <w:kern w:val="0"/>
                <w:sz w:val="21"/>
                <w:szCs w:val="21"/>
                <w:lang w:val="en-US" w:eastAsia="zh-CN" w:bidi="ar"/>
              </w:rPr>
              <w:t>4</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hint="eastAsia" w:ascii="宋体" w:hAnsi="宋体" w:cs="宋体"/>
                <w:b/>
                <w:bCs/>
                <w:color w:val="0000FF"/>
                <w:kern w:val="0"/>
                <w:sz w:val="21"/>
                <w:szCs w:val="21"/>
                <w:lang w:bidi="ar"/>
              </w:rPr>
              <w:t>诚信情况</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诚信情况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pPr>
              <w:pStyle w:val="2"/>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Theme="minorEastAsia" w:hAnsiTheme="minorEastAsia" w:eastAsiaTheme="minorEastAsia" w:cstheme="minorEastAsia"/>
                <w:b w:val="0"/>
                <w:bCs w:val="0"/>
                <w:sz w:val="21"/>
                <w:szCs w:val="21"/>
                <w:lang w:val="en-US" w:eastAsia="zh-CN"/>
              </w:rPr>
              <w:t>有关</w:t>
            </w:r>
            <w:r>
              <w:rPr>
                <w:rFonts w:hint="eastAsia" w:asciiTheme="minorEastAsia" w:hAnsiTheme="minorEastAsia" w:eastAsiaTheme="minorEastAsia" w:cstheme="minorEastAsia"/>
                <w:b w:val="0"/>
                <w:bCs w:val="0"/>
                <w:sz w:val="21"/>
                <w:szCs w:val="21"/>
              </w:rPr>
              <w:t>供应商诚信查询结果。</w:t>
            </w:r>
          </w:p>
          <w:p>
            <w:pPr>
              <w:pStyle w:val="2"/>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sz w:val="21"/>
                <w:szCs w:val="21"/>
              </w:rPr>
            </w:pPr>
            <w:r>
              <w:rPr>
                <w:rFonts w:hint="eastAsia" w:asciiTheme="minorEastAsia" w:hAnsiTheme="minorEastAsia" w:eastAsiaTheme="minorEastAsia" w:cstheme="minorEastAsia"/>
                <w:b w:val="0"/>
                <w:bCs w:val="0"/>
                <w:sz w:val="21"/>
                <w:szCs w:val="21"/>
                <w:lang w:val="en-US" w:eastAsia="zh-CN"/>
              </w:rPr>
              <w:t>查询渠道：通过“信用中国”（www.creditchina.gov.cn，下载信用信息报告）、“中国政府采购网”（www.ccgp.gov.cn）“深圳市政府采购监管网”（http://zfcg.sz.gov.cn）、以及“深圳政府采购智慧平台信用库”查询供应商信用信息，信用信息以开标当日的查询结果为准。</w:t>
            </w:r>
          </w:p>
        </w:tc>
      </w:tr>
      <w:bookmarkEnd w:id="3"/>
    </w:tbl>
    <w:p>
      <w:p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jc w:val="center"/>
        <w:rPr>
          <w:b/>
          <w:sz w:val="84"/>
          <w:szCs w:val="84"/>
        </w:rPr>
      </w:pPr>
    </w:p>
    <w:p>
      <w:pPr>
        <w:jc w:val="center"/>
        <w:rPr>
          <w:b/>
          <w:sz w:val="84"/>
          <w:szCs w:val="84"/>
        </w:rPr>
      </w:pPr>
    </w:p>
    <w:p>
      <w:pPr>
        <w:jc w:val="center"/>
        <w:rPr>
          <w:b/>
          <w:sz w:val="84"/>
          <w:szCs w:val="84"/>
        </w:rPr>
      </w:pPr>
    </w:p>
    <w:p>
      <w:pPr>
        <w:jc w:val="center"/>
        <w:rPr>
          <w:b/>
          <w:sz w:val="120"/>
          <w:szCs w:val="120"/>
        </w:rPr>
      </w:pPr>
      <w:r>
        <w:rPr>
          <w:rFonts w:hint="eastAsia"/>
          <w:b/>
          <w:sz w:val="120"/>
          <w:szCs w:val="120"/>
        </w:rPr>
        <w:t>政府采购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
    <w:p/>
    <w:p/>
    <w:p/>
    <w:p/>
    <w:p/>
    <w:p>
      <w:pPr>
        <w:jc w:val="center"/>
        <w:rPr>
          <w:b/>
          <w:sz w:val="44"/>
          <w:szCs w:val="44"/>
        </w:rPr>
      </w:pPr>
      <w:bookmarkStart w:id="4" w:name="_Hlk71465316"/>
      <w:r>
        <w:rPr>
          <w:rFonts w:hint="eastAsia"/>
          <w:b/>
          <w:sz w:val="44"/>
          <w:szCs w:val="44"/>
        </w:rPr>
        <w:t>深圳公共资源交易中心</w:t>
      </w:r>
    </w:p>
    <w:p>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p>
    <w:bookmarkEnd w:id="4"/>
    <w:p>
      <w:pPr>
        <w:widowControl/>
        <w:jc w:val="center"/>
      </w:pPr>
    </w:p>
    <w:p>
      <w:pPr>
        <w:widowControl/>
        <w:jc w:val="center"/>
      </w:pPr>
      <w:r>
        <w:br w:type="page"/>
      </w:r>
    </w:p>
    <w:p>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黑体" w:hAnsi="黑体" w:eastAsia="黑体" w:cs="黑体"/>
          <w:b/>
          <w:bCs/>
          <w:sz w:val="28"/>
          <w:szCs w:val="36"/>
        </w:rPr>
      </w:pPr>
      <w:bookmarkStart w:id="5" w:name="_Hlk72218009"/>
      <w:r>
        <w:rPr>
          <w:rFonts w:hint="eastAsia" w:ascii="黑体" w:hAnsi="黑体" w:eastAsia="黑体" w:cs="黑体"/>
          <w:b/>
          <w:bCs/>
          <w:sz w:val="28"/>
          <w:szCs w:val="36"/>
        </w:rPr>
        <w:t>目   录</w:t>
      </w:r>
    </w:p>
    <w:p>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pPr>
        <w:ind w:firstLine="960" w:firstLineChars="400"/>
        <w:rPr>
          <w:sz w:val="24"/>
        </w:rPr>
      </w:pPr>
      <w:r>
        <w:rPr>
          <w:rFonts w:hint="eastAsia"/>
          <w:sz w:val="24"/>
        </w:rPr>
        <w:t>关键信息</w:t>
      </w:r>
    </w:p>
    <w:p>
      <w:pPr>
        <w:ind w:left="630" w:leftChars="300" w:firstLine="630" w:firstLineChars="300"/>
        <w:rPr>
          <w:rFonts w:ascii="宋体" w:hAnsi="宋体"/>
          <w:szCs w:val="21"/>
        </w:rPr>
      </w:pPr>
      <w:r>
        <w:rPr>
          <w:rFonts w:hint="eastAsia" w:ascii="宋体" w:hAnsi="宋体"/>
          <w:szCs w:val="21"/>
        </w:rPr>
        <w:t>第一章  招标公告</w:t>
      </w:r>
    </w:p>
    <w:p>
      <w:pPr>
        <w:ind w:left="630" w:leftChars="300" w:firstLine="630" w:firstLineChars="300"/>
        <w:rPr>
          <w:rFonts w:ascii="宋体" w:hAnsi="宋体"/>
          <w:szCs w:val="21"/>
        </w:rPr>
      </w:pPr>
      <w:r>
        <w:rPr>
          <w:rFonts w:hint="eastAsia" w:ascii="宋体" w:hAnsi="宋体"/>
          <w:szCs w:val="21"/>
        </w:rPr>
        <w:t xml:space="preserve">第二章  </w:t>
      </w:r>
      <w:bookmarkStart w:id="6" w:name="_Hlk71994379"/>
      <w:r>
        <w:rPr>
          <w:rFonts w:hint="eastAsia" w:ascii="宋体" w:hAnsi="宋体"/>
          <w:szCs w:val="21"/>
        </w:rPr>
        <w:t>对通用条款的补充内容及其他关键信息</w:t>
      </w:r>
      <w:bookmarkEnd w:id="6"/>
    </w:p>
    <w:p>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firstLine="1050" w:firstLineChars="500"/>
        <w:rPr>
          <w:rFonts w:hint="eastAsia"/>
        </w:rPr>
      </w:pPr>
      <w:r>
        <w:rPr>
          <w:rFonts w:hint="eastAsia"/>
        </w:rPr>
        <w:t>第十一章  质疑处理</w:t>
      </w:r>
    </w:p>
    <w:p>
      <w:pPr>
        <w:pStyle w:val="2"/>
        <w:rPr>
          <w:rFonts w:hint="eastAsia"/>
        </w:rPr>
      </w:pPr>
    </w:p>
    <w:p>
      <w:pPr>
        <w:pStyle w:val="37"/>
        <w:rPr>
          <w:rFonts w:hint="eastAsia"/>
        </w:rPr>
      </w:pPr>
    </w:p>
    <w:p>
      <w:pPr>
        <w:pStyle w:val="37"/>
        <w:rPr>
          <w:rFonts w:hint="eastAsia"/>
        </w:rPr>
      </w:pPr>
    </w:p>
    <w:p>
      <w:pPr>
        <w:pStyle w:val="2"/>
        <w:rPr>
          <w:rFonts w:hint="eastAsia"/>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5"/>
    <w:p>
      <w:pPr>
        <w:pStyle w:val="4"/>
        <w:rPr>
          <w:color w:val="FF0000"/>
          <w:sz w:val="24"/>
        </w:rPr>
      </w:pPr>
      <w:bookmarkStart w:id="7" w:name="bt项目管理班子配备情况"/>
      <w:bookmarkEnd w:id="7"/>
      <w:bookmarkStart w:id="8" w:name="合同格式"/>
      <w:bookmarkEnd w:id="8"/>
      <w:bookmarkStart w:id="9" w:name="bt其他资料2"/>
      <w:bookmarkEnd w:id="9"/>
      <w:bookmarkStart w:id="10" w:name="bt投标文件签署授权委托书"/>
      <w:bookmarkEnd w:id="10"/>
      <w:bookmarkStart w:id="11" w:name="bt投标函"/>
      <w:bookmarkEnd w:id="11"/>
      <w:bookmarkStart w:id="12" w:name="bt投标报价汇总表"/>
      <w:bookmarkEnd w:id="12"/>
      <w:bookmarkStart w:id="13" w:name="bt技术标投标文件格式"/>
      <w:bookmarkEnd w:id="13"/>
      <w:bookmarkStart w:id="14" w:name="bt合同条款及格式"/>
      <w:bookmarkEnd w:id="14"/>
      <w:bookmarkStart w:id="15" w:name="bt开标一览表"/>
      <w:bookmarkEnd w:id="15"/>
      <w:bookmarkStart w:id="16" w:name="bt本工程承诺书"/>
      <w:bookmarkEnd w:id="16"/>
      <w:bookmarkStart w:id="17" w:name="bt投标人须知"/>
      <w:bookmarkEnd w:id="17"/>
      <w:bookmarkStart w:id="18" w:name="bt商务标投标文件格式"/>
      <w:bookmarkEnd w:id="18"/>
      <w:bookmarkStart w:id="19" w:name="bt合同条款"/>
      <w:bookmarkEnd w:id="19"/>
      <w:bookmarkStart w:id="20" w:name="bt合同格式"/>
      <w:bookmarkEnd w:id="20"/>
      <w:bookmarkStart w:id="21" w:name="bt其他资料由投标人自定"/>
      <w:bookmarkEnd w:id="21"/>
      <w:bookmarkStart w:id="22" w:name="bt说明"/>
      <w:bookmarkEnd w:id="22"/>
      <w:bookmarkStart w:id="23" w:name="bt投标人情况介绍"/>
      <w:bookmarkEnd w:id="23"/>
      <w:r>
        <w:rPr>
          <w:rFonts w:hint="eastAsia"/>
        </w:rPr>
        <w:t>第一册  专用条款</w:t>
      </w:r>
    </w:p>
    <w:p>
      <w:pPr>
        <w:pStyle w:val="7"/>
        <w:rPr>
          <w:sz w:val="28"/>
          <w:szCs w:val="28"/>
        </w:rPr>
      </w:pPr>
      <w:r>
        <w:rPr>
          <w:rFonts w:hint="eastAsia"/>
          <w:sz w:val="28"/>
          <w:szCs w:val="28"/>
        </w:rPr>
        <w:t>第一章  招标公告</w:t>
      </w:r>
    </w:p>
    <w:p>
      <w:pPr>
        <w:spacing w:line="360" w:lineRule="auto"/>
        <w:rPr>
          <w:rFonts w:ascii="宋体" w:hAnsi="宋体" w:cs="宋体"/>
          <w:b/>
          <w:bCs/>
          <w:kern w:val="0"/>
          <w:szCs w:val="21"/>
        </w:rPr>
      </w:pPr>
      <w:r>
        <w:rPr>
          <w:rFonts w:hint="eastAsia" w:ascii="宋体" w:hAnsi="宋体" w:cs="宋体"/>
          <w:b/>
          <w:bCs/>
          <w:kern w:val="0"/>
          <w:szCs w:val="21"/>
        </w:rPr>
        <w:t>申请人的资格要求：</w:t>
      </w:r>
    </w:p>
    <w:p>
      <w:pPr>
        <w:ind w:firstLine="420" w:firstLineChars="200"/>
        <w:rPr>
          <w:rFonts w:hint="eastAsia" w:ascii="宋体" w:hAnsi="宋体" w:eastAsia="宋体" w:cs="宋体"/>
          <w:kern w:val="0"/>
          <w:szCs w:val="21"/>
          <w:lang w:eastAsia="zh-CN"/>
        </w:rPr>
      </w:pPr>
      <w:bookmarkStart w:id="145" w:name="_GoBack"/>
      <w:r>
        <w:rPr>
          <w:rFonts w:hint="eastAsia" w:ascii="宋体" w:hAnsi="宋体" w:cs="宋体"/>
          <w:kern w:val="0"/>
          <w:szCs w:val="21"/>
        </w:rPr>
        <w:t>1</w:t>
      </w:r>
      <w:r>
        <w:rPr>
          <w:rFonts w:ascii="宋体" w:hAnsi="宋体" w:cs="宋体"/>
          <w:kern w:val="0"/>
          <w:szCs w:val="21"/>
        </w:rPr>
        <w:t>.</w:t>
      </w:r>
      <w:bookmarkStart w:id="24" w:name="_Hlk72162904"/>
      <w:r>
        <w:rPr>
          <w:rFonts w:hint="eastAsia" w:ascii="宋体" w:hAnsi="宋体" w:cs="宋体"/>
          <w:kern w:val="0"/>
          <w:szCs w:val="21"/>
        </w:rPr>
        <w:t>具有独立承担民事责任的能力（提供营业执照或事业单位法人证书等证明资料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4"/>
      <w:r>
        <w:rPr>
          <w:rFonts w:hint="eastAsia"/>
          <w:lang w:eastAsia="zh-CN"/>
        </w:rPr>
        <w:t>；</w:t>
      </w:r>
    </w:p>
    <w:p>
      <w:pPr>
        <w:ind w:firstLine="420" w:firstLineChars="200"/>
        <w:rPr>
          <w:rFonts w:hint="default" w:ascii="宋体" w:hAnsi="宋体" w:eastAsia="宋体" w:cs="宋体"/>
          <w:kern w:val="0"/>
          <w:szCs w:val="21"/>
          <w:lang w:val="en-US" w:eastAsia="zh-CN"/>
        </w:rPr>
      </w:pPr>
      <w:r>
        <w:rPr>
          <w:rFonts w:hint="eastAsia" w:ascii="宋体" w:hAnsi="宋体" w:cs="宋体"/>
          <w:color w:val="FF0000"/>
          <w:kern w:val="0"/>
          <w:szCs w:val="21"/>
        </w:rPr>
        <w:t>2.本项目不接受联合体投标</w:t>
      </w:r>
      <w:r>
        <w:rPr>
          <w:rFonts w:hint="eastAsia" w:ascii="宋体" w:hAnsi="宋体" w:cs="宋体"/>
          <w:color w:val="FF0000"/>
          <w:kern w:val="0"/>
          <w:szCs w:val="21"/>
          <w:lang w:val="en-US" w:eastAsia="zh-CN"/>
        </w:rPr>
        <w:t>，</w:t>
      </w:r>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p>
    <w:p>
      <w:pPr>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pPr>
        <w:ind w:firstLine="420" w:firstLineChars="2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lang w:val="en-US" w:eastAsia="zh-CN"/>
        </w:rPr>
        <w:t>；</w:t>
      </w:r>
    </w:p>
    <w:p>
      <w:pPr>
        <w:ind w:firstLine="420" w:firstLineChars="2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（由供应商在《政府采购投标及履约承诺函》中作出声明）</w:t>
      </w:r>
      <w:r>
        <w:rPr>
          <w:rFonts w:hint="eastAsia" w:ascii="宋体" w:hAnsi="宋体" w:cs="宋体"/>
          <w:color w:val="FF0000"/>
          <w:kern w:val="0"/>
          <w:szCs w:val="21"/>
          <w:lang w:val="en-US" w:eastAsia="zh-CN"/>
        </w:rPr>
        <w:t>；</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lang w:val="en-US" w:eastAsia="zh-CN"/>
        </w:rPr>
        <w:t>；</w:t>
      </w:r>
    </w:p>
    <w:p>
      <w:pPr>
        <w:pStyle w:val="62"/>
        <w:ind w:firstLine="420" w:firstLineChars="200"/>
        <w:rPr>
          <w:rFonts w:hint="default" w:ascii="宋体" w:hAnsi="宋体" w:eastAsia="宋体" w:cs="宋体"/>
          <w:color w:val="FF0000"/>
          <w:kern w:val="0"/>
          <w:sz w:val="21"/>
          <w:szCs w:val="21"/>
          <w:lang w:val="en-US" w:eastAsia="zh-CN" w:bidi="ar-SA"/>
        </w:rPr>
      </w:pPr>
      <w:r>
        <w:rPr>
          <w:rFonts w:hint="eastAsia" w:ascii="宋体" w:hAnsi="宋体" w:eastAsia="宋体" w:cs="宋体"/>
          <w:color w:val="FF0000"/>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ind w:firstLine="420" w:firstLineChars="200"/>
        <w:rPr>
          <w:rFonts w:hint="eastAsia" w:eastAsia="宋体"/>
          <w:lang w:val="en-US" w:eastAsia="zh-CN"/>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全部</w:t>
      </w:r>
      <w:r>
        <w:rPr>
          <w:rFonts w:hint="eastAsia" w:ascii="宋体" w:hAnsi="宋体" w:cs="宋体"/>
          <w:kern w:val="0"/>
          <w:szCs w:val="21"/>
        </w:rPr>
        <w:t>专门面向中小企业采购：否</w:t>
      </w:r>
      <w:r>
        <w:rPr>
          <w:rFonts w:hint="eastAsia" w:ascii="宋体" w:hAnsi="宋体" w:cs="宋体"/>
          <w:kern w:val="0"/>
          <w:szCs w:val="21"/>
          <w:lang w:eastAsia="zh-CN"/>
        </w:rPr>
        <w:t>。</w:t>
      </w:r>
    </w:p>
    <w:p>
      <w:pPr>
        <w:pStyle w:val="6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10.投标供应商若为生产企业：所投产品为第二、三类医疗器械的，提供监督管理部门签发的涵盖所投报医疗器械的《医疗器械生产许可证》(有效期内)扫描件，原件备查。</w:t>
      </w:r>
    </w:p>
    <w:p>
      <w:pPr>
        <w:pStyle w:val="6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投标供应商若为经营企业：所投产品为第二类医疗器械的，提供监督管理部门签发的涵盖所投医疗器械的《医疗器械经营备案凭证》(有效期内)扫描件，原件备查；所投产品为第三类医疗器械的，提供监督管理部门签发的涵盖所投报医疗器械的《医疗器械经营许可证》(有效期内)扫描件，原件备查。</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，“中国政府采购网”（www.ccgp.gov.cn）中的“政府采购严重违法失信行为记录名单”，“深圳市政府采购监管网”（http://zfcg.sz.gov.cn）以及</w:t>
      </w:r>
      <w:r>
        <w:rPr>
          <w:rFonts w:hint="eastAsia" w:ascii="宋体" w:hAnsi="宋体" w:cs="宋体"/>
          <w:kern w:val="0"/>
          <w:szCs w:val="21"/>
          <w:lang w:eastAsia="zh-CN"/>
        </w:rPr>
        <w:t>“</w:t>
      </w:r>
      <w:r>
        <w:rPr>
          <w:rFonts w:hint="eastAsia" w:ascii="宋体" w:hAnsi="宋体" w:cs="宋体"/>
          <w:kern w:val="0"/>
          <w:szCs w:val="21"/>
        </w:rPr>
        <w:t>深圳政府采购智慧平台信用库</w:t>
      </w:r>
      <w:r>
        <w:rPr>
          <w:rFonts w:hint="eastAsia" w:ascii="宋体" w:hAnsi="宋体" w:cs="宋体"/>
          <w:kern w:val="0"/>
          <w:szCs w:val="21"/>
          <w:lang w:eastAsia="zh-CN"/>
        </w:rPr>
        <w:t>”</w:t>
      </w:r>
      <w:r>
        <w:rPr>
          <w:rFonts w:hint="eastAsia" w:ascii="宋体" w:hAnsi="宋体" w:cs="宋体"/>
          <w:kern w:val="0"/>
          <w:szCs w:val="21"/>
          <w:lang w:val="en-US" w:eastAsia="zh-CN"/>
        </w:rPr>
        <w:t>中“严重违法失信信息”</w:t>
      </w:r>
      <w:r>
        <w:rPr>
          <w:rFonts w:hint="eastAsia" w:ascii="宋体" w:hAnsi="宋体" w:cs="宋体"/>
          <w:kern w:val="0"/>
          <w:szCs w:val="21"/>
        </w:rPr>
        <w:t>为供应商信用信息的查询渠道，相关信息以开标当日的查询结果为准；</w:t>
      </w:r>
    </w:p>
    <w:p>
      <w:pPr>
        <w:ind w:firstLine="420" w:firstLineChars="200"/>
        <w:rPr>
          <w:rFonts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bookmarkEnd w:id="145"/>
    <w:p>
      <w:pPr>
        <w:ind w:firstLine="420" w:firstLineChars="200"/>
        <w:rPr>
          <w:rFonts w:ascii="宋体" w:hAnsi="宋体"/>
        </w:rPr>
      </w:pPr>
    </w:p>
    <w:p>
      <w:pPr>
        <w:ind w:firstLine="442" w:firstLineChars="200"/>
        <w:rPr>
          <w:b/>
        </w:rPr>
      </w:pPr>
      <w:r>
        <w:rPr>
          <w:rFonts w:hint="eastAsia"/>
          <w:b/>
          <w:sz w:val="22"/>
          <w:szCs w:val="18"/>
          <w:highlight w:val="none"/>
        </w:rPr>
        <w:t>完整公告内容详见：深圳公共资源交易网（</w:t>
      </w:r>
      <w:r>
        <w:rPr>
          <w:b/>
          <w:sz w:val="22"/>
          <w:szCs w:val="18"/>
          <w:highlight w:val="none"/>
        </w:rPr>
        <w:t>https://www.szggzy.com</w:t>
      </w:r>
      <w:r>
        <w:rPr>
          <w:rFonts w:hint="eastAsia"/>
          <w:b/>
          <w:sz w:val="22"/>
          <w:szCs w:val="18"/>
          <w:highlight w:val="none"/>
        </w:rPr>
        <w:t>）</w:t>
      </w:r>
    </w:p>
    <w:p>
      <w:pPr>
        <w:ind w:firstLine="422" w:firstLineChars="200"/>
        <w:rPr>
          <w:b/>
        </w:rPr>
      </w:pPr>
    </w:p>
    <w:p>
      <w:pPr>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7"/>
        <w:rPr>
          <w:sz w:val="28"/>
          <w:szCs w:val="28"/>
        </w:rPr>
      </w:pPr>
      <w:r>
        <w:rPr>
          <w:rFonts w:hint="eastAsia"/>
          <w:sz w:val="28"/>
          <w:szCs w:val="28"/>
        </w:rPr>
        <w:t xml:space="preserve">第二章 </w:t>
      </w:r>
      <w:bookmarkStart w:id="25" w:name="_Hlk71926094"/>
      <w:r>
        <w:rPr>
          <w:rFonts w:hint="eastAsia"/>
          <w:sz w:val="28"/>
          <w:szCs w:val="28"/>
        </w:rPr>
        <w:t>对通用条款的补充内容及其他关键信息</w:t>
      </w:r>
      <w:bookmarkEnd w:id="25"/>
    </w:p>
    <w:p>
      <w:pPr>
        <w:pStyle w:val="7"/>
        <w:spacing w:before="120" w:beforeLines="50" w:after="120" w:afterLines="50"/>
        <w:rPr>
          <w:szCs w:val="24"/>
        </w:rPr>
      </w:pPr>
      <w:bookmarkStart w:id="26" w:name="_Toc60631620"/>
      <w:bookmarkStart w:id="27" w:name="_Toc101074876"/>
      <w:bookmarkStart w:id="28" w:name="_Toc100052364"/>
      <w:bookmarkStart w:id="29" w:name="_Toc73521547"/>
      <w:bookmarkStart w:id="30" w:name="_Toc60560625"/>
      <w:bookmarkStart w:id="31" w:name="_Toc73517639"/>
      <w:bookmarkStart w:id="32" w:name="_Toc73518117"/>
      <w:bookmarkStart w:id="33" w:name="_Toc73521635"/>
      <w:r>
        <w:rPr>
          <w:rFonts w:hint="eastAsia"/>
          <w:szCs w:val="24"/>
        </w:rPr>
        <w:t>一、对通用条款的补充内容</w:t>
      </w:r>
    </w:p>
    <w:bookmarkEnd w:id="26"/>
    <w:bookmarkEnd w:id="27"/>
    <w:bookmarkEnd w:id="28"/>
    <w:bookmarkEnd w:id="29"/>
    <w:bookmarkEnd w:id="30"/>
    <w:bookmarkEnd w:id="31"/>
    <w:bookmarkEnd w:id="32"/>
    <w:bookmarkEnd w:id="33"/>
    <w:tbl>
      <w:tblPr>
        <w:tblStyle w:val="4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rPr>
            </w:pPr>
            <w:bookmarkStart w:id="34" w:name="_Hlk72218097"/>
            <w:r>
              <w:rPr>
                <w:rFonts w:hint="eastAsia" w:ascii="宋体" w:hAnsi="宋体"/>
                <w:b/>
                <w:bCs/>
              </w:rPr>
              <w:t>通用条款序号</w:t>
            </w:r>
          </w:p>
        </w:tc>
        <w:tc>
          <w:tcPr>
            <w:tcW w:w="2409" w:type="dxa"/>
            <w:vAlign w:val="center"/>
          </w:tcPr>
          <w:p>
            <w:pPr>
              <w:jc w:val="center"/>
              <w:rPr>
                <w:rFonts w:ascii="宋体" w:hAnsi="宋体"/>
                <w:b/>
                <w:bCs/>
              </w:rPr>
            </w:pPr>
            <w:r>
              <w:rPr>
                <w:rFonts w:hint="eastAsia" w:ascii="宋体" w:hAnsi="宋体"/>
                <w:b/>
                <w:bCs/>
              </w:rPr>
              <w:t>涉及事项</w:t>
            </w:r>
          </w:p>
        </w:tc>
        <w:tc>
          <w:tcPr>
            <w:tcW w:w="4980" w:type="dxa"/>
            <w:vAlign w:val="center"/>
          </w:tcPr>
          <w:p>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.1</w:t>
            </w:r>
          </w:p>
        </w:tc>
        <w:tc>
          <w:tcPr>
            <w:tcW w:w="2409" w:type="dxa"/>
            <w:vAlign w:val="center"/>
          </w:tcPr>
          <w:p>
            <w:pPr>
              <w:jc w:val="center"/>
            </w:pPr>
            <w:r>
              <w:rPr>
                <w:rFonts w:hint="eastAsia"/>
              </w:rPr>
              <w:t>采购人</w:t>
            </w:r>
          </w:p>
        </w:tc>
        <w:tc>
          <w:tcPr>
            <w:tcW w:w="4980" w:type="dxa"/>
            <w:vAlign w:val="center"/>
          </w:tcPr>
          <w:p>
            <w:pPr>
              <w:jc w:val="center"/>
              <w:rPr>
                <w:rFonts w:ascii="宋体" w:hAnsi="宋体"/>
              </w:rPr>
            </w:pPr>
            <w:r>
              <w:rPr>
                <w:rFonts w:hint="eastAsia" w:ascii="宋体" w:hAnsi="宋体"/>
                <w:highlight w:val="yellow"/>
              </w:rPr>
              <w:t>深圳市大鹏新区妇幼保健院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.2</w:t>
            </w:r>
          </w:p>
        </w:tc>
        <w:tc>
          <w:tcPr>
            <w:tcW w:w="2409" w:type="dxa"/>
            <w:vAlign w:val="center"/>
          </w:tcPr>
          <w:p>
            <w:pPr>
              <w:jc w:val="center"/>
              <w:rPr>
                <w:rFonts w:ascii="宋体" w:hAnsi="宋体"/>
              </w:rPr>
            </w:pPr>
            <w:r>
              <w:rPr>
                <w:rFonts w:hint="eastAsia" w:ascii="宋体" w:hAnsi="宋体"/>
              </w:rPr>
              <w:t>政府集中采购机构</w:t>
            </w:r>
          </w:p>
        </w:tc>
        <w:tc>
          <w:tcPr>
            <w:tcW w:w="4980" w:type="dxa"/>
            <w:vAlign w:val="center"/>
          </w:tcPr>
          <w:p>
            <w:pPr>
              <w:jc w:val="center"/>
              <w:rPr>
                <w:rFonts w:hint="eastAsia" w:ascii="宋体" w:hAnsi="宋体" w:eastAsia="宋体"/>
              </w:rPr>
            </w:pPr>
            <w:r>
              <w:rPr>
                <w:rFonts w:hint="eastAsia" w:ascii="宋体" w:hAnsi="宋体" w:eastAsia="宋体"/>
              </w:rPr>
              <w:t>深圳公共资源交易中心</w:t>
            </w:r>
          </w:p>
          <w:p>
            <w:pPr>
              <w:jc w:val="center"/>
              <w:rPr>
                <w:rFonts w:ascii="宋体" w:hAnsi="宋体"/>
              </w:rPr>
            </w:pPr>
            <w:r>
              <w:rPr>
                <w:rFonts w:hint="eastAsia" w:ascii="宋体" w:hAnsi="宋体" w:eastAsia="宋体"/>
              </w:rPr>
              <w:t>（深圳交易集团有限公司</w:t>
            </w:r>
            <w:r>
              <w:rPr>
                <w:rFonts w:hint="eastAsia" w:ascii="宋体" w:hAnsi="宋体" w:cs="宋体"/>
                <w:kern w:val="0"/>
                <w:lang w:val="en-US" w:eastAsia="zh-CN"/>
              </w:rPr>
              <w:t>大鹏分公司</w:t>
            </w:r>
            <w:r>
              <w:rPr>
                <w:rFonts w:hint="eastAsia" w:ascii="宋体" w:hAnsi="宋体" w:eastAsia="宋体"/>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9</w:t>
            </w:r>
          </w:p>
        </w:tc>
        <w:tc>
          <w:tcPr>
            <w:tcW w:w="2409" w:type="dxa"/>
            <w:vAlign w:val="center"/>
          </w:tcPr>
          <w:p>
            <w:pPr>
              <w:jc w:val="center"/>
              <w:rPr>
                <w:rFonts w:ascii="宋体" w:hAnsi="宋体"/>
              </w:rPr>
            </w:pPr>
            <w:r>
              <w:rPr>
                <w:rFonts w:hint="eastAsia" w:ascii="宋体" w:hAnsi="宋体"/>
              </w:rPr>
              <w:t>踏勘现场</w:t>
            </w:r>
          </w:p>
        </w:tc>
        <w:tc>
          <w:tcPr>
            <w:tcW w:w="4980" w:type="dxa"/>
            <w:vAlign w:val="center"/>
          </w:tcPr>
          <w:p>
            <w:pPr>
              <w:jc w:val="center"/>
              <w:rPr>
                <w:rFonts w:ascii="宋体" w:hAnsi="宋体"/>
              </w:rPr>
            </w:pPr>
            <w:r>
              <w:rPr>
                <w:rFonts w:hint="eastAsia" w:ascii="宋体" w:hAnsi="宋体" w:eastAsia="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0</w:t>
            </w:r>
          </w:p>
        </w:tc>
        <w:tc>
          <w:tcPr>
            <w:tcW w:w="2409" w:type="dxa"/>
            <w:vAlign w:val="center"/>
          </w:tcPr>
          <w:p>
            <w:pPr>
              <w:jc w:val="center"/>
              <w:rPr>
                <w:rFonts w:ascii="宋体" w:hAnsi="宋体"/>
              </w:rPr>
            </w:pPr>
            <w:r>
              <w:rPr>
                <w:rFonts w:hint="eastAsia" w:ascii="宋体" w:hAnsi="宋体"/>
              </w:rPr>
              <w:t>标前会议</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pPr>
              <w:jc w:val="center"/>
              <w:rPr>
                <w:rFonts w:ascii="宋体" w:hAnsi="宋体"/>
              </w:rPr>
            </w:pPr>
            <w:r>
              <w:rPr>
                <w:rFonts w:hint="eastAsia" w:ascii="宋体" w:hAnsi="宋体"/>
              </w:rPr>
              <w:t>招标文件的澄清和修改</w:t>
            </w:r>
          </w:p>
        </w:tc>
        <w:tc>
          <w:tcPr>
            <w:tcW w:w="4980" w:type="dxa"/>
            <w:vAlign w:val="center"/>
          </w:tcPr>
          <w:p>
            <w:pPr>
              <w:jc w:val="center"/>
              <w:rPr>
                <w:rFonts w:ascii="宋体" w:hAnsi="宋体"/>
              </w:rPr>
            </w:pPr>
            <w:r>
              <w:rPr>
                <w:rFonts w:hint="eastAsia" w:ascii="宋体" w:hAnsi="宋体"/>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0</w:t>
            </w:r>
          </w:p>
        </w:tc>
        <w:tc>
          <w:tcPr>
            <w:tcW w:w="2409" w:type="dxa"/>
            <w:vAlign w:val="center"/>
          </w:tcPr>
          <w:p>
            <w:pPr>
              <w:jc w:val="center"/>
              <w:rPr>
                <w:rFonts w:ascii="宋体" w:hAnsi="宋体"/>
              </w:rPr>
            </w:pPr>
            <w:r>
              <w:rPr>
                <w:rFonts w:hint="eastAsia" w:ascii="宋体" w:hAnsi="宋体"/>
              </w:rPr>
              <w:t>投标有效期</w:t>
            </w:r>
          </w:p>
        </w:tc>
        <w:tc>
          <w:tcPr>
            <w:tcW w:w="4980" w:type="dxa"/>
            <w:vAlign w:val="center"/>
          </w:tcPr>
          <w:p>
            <w:pPr>
              <w:jc w:val="center"/>
              <w:rPr>
                <w:rFonts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2</w:t>
            </w:r>
          </w:p>
        </w:tc>
        <w:tc>
          <w:tcPr>
            <w:tcW w:w="2409" w:type="dxa"/>
            <w:vAlign w:val="center"/>
          </w:tcPr>
          <w:p>
            <w:pPr>
              <w:jc w:val="center"/>
              <w:rPr>
                <w:rFonts w:ascii="宋体" w:hAnsi="宋体"/>
              </w:rPr>
            </w:pPr>
            <w:r>
              <w:rPr>
                <w:rFonts w:hint="eastAsia" w:ascii="宋体" w:hAnsi="宋体"/>
              </w:rPr>
              <w:t>投标人的替代方案</w:t>
            </w:r>
          </w:p>
        </w:tc>
        <w:tc>
          <w:tcPr>
            <w:tcW w:w="4980" w:type="dxa"/>
            <w:vAlign w:val="center"/>
          </w:tcPr>
          <w:p>
            <w:pPr>
              <w:jc w:val="center"/>
              <w:rPr>
                <w:rFonts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5</w:t>
            </w:r>
          </w:p>
        </w:tc>
        <w:tc>
          <w:tcPr>
            <w:tcW w:w="2409" w:type="dxa"/>
            <w:vAlign w:val="center"/>
          </w:tcPr>
          <w:p>
            <w:pPr>
              <w:jc w:val="center"/>
              <w:rPr>
                <w:rFonts w:ascii="宋体" w:hAnsi="宋体"/>
              </w:rPr>
            </w:pPr>
            <w:r>
              <w:rPr>
                <w:rFonts w:hint="eastAsia" w:ascii="宋体" w:hAnsi="宋体"/>
              </w:rPr>
              <w:t>投标文件的大小</w:t>
            </w:r>
          </w:p>
        </w:tc>
        <w:tc>
          <w:tcPr>
            <w:tcW w:w="4980" w:type="dxa"/>
            <w:vAlign w:val="center"/>
          </w:tcPr>
          <w:p>
            <w:pPr>
              <w:jc w:val="center"/>
              <w:rPr>
                <w:rFonts w:ascii="宋体" w:hAnsi="宋体"/>
              </w:rPr>
            </w:pPr>
            <w:r>
              <w:rPr>
                <w:rFonts w:hint="eastAsia" w:ascii="宋体" w:hAnsi="宋体"/>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6</w:t>
            </w:r>
          </w:p>
        </w:tc>
        <w:tc>
          <w:tcPr>
            <w:tcW w:w="2409" w:type="dxa"/>
            <w:vAlign w:val="center"/>
          </w:tcPr>
          <w:p>
            <w:pPr>
              <w:jc w:val="center"/>
              <w:rPr>
                <w:rFonts w:ascii="宋体" w:hAnsi="宋体"/>
              </w:rPr>
            </w:pPr>
            <w:bookmarkStart w:id="35" w:name="_Hlk71664860"/>
            <w:r>
              <w:rPr>
                <w:rFonts w:hint="eastAsia" w:ascii="宋体" w:hAnsi="宋体"/>
              </w:rPr>
              <w:t>样品、现场演示、方案讲解</w:t>
            </w:r>
            <w:bookmarkEnd w:id="35"/>
          </w:p>
        </w:tc>
        <w:tc>
          <w:tcPr>
            <w:tcW w:w="4980" w:type="dxa"/>
            <w:vAlign w:val="center"/>
          </w:tcPr>
          <w:p>
            <w:pPr>
              <w:jc w:val="center"/>
              <w:rPr>
                <w:rFonts w:ascii="宋体" w:hAnsi="宋体"/>
              </w:rPr>
            </w:pPr>
            <w:r>
              <w:rPr>
                <w:rFonts w:hint="eastAsia" w:ascii="宋体" w:hAnsi="宋体"/>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7</w:t>
            </w:r>
          </w:p>
        </w:tc>
        <w:tc>
          <w:tcPr>
            <w:tcW w:w="2409" w:type="dxa"/>
            <w:vAlign w:val="center"/>
          </w:tcPr>
          <w:p>
            <w:pPr>
              <w:jc w:val="center"/>
              <w:rPr>
                <w:rFonts w:ascii="宋体" w:hAnsi="宋体"/>
              </w:rPr>
            </w:pPr>
            <w:r>
              <w:rPr>
                <w:rFonts w:hint="eastAsia" w:ascii="宋体" w:hAnsi="宋体"/>
              </w:rPr>
              <w:t>评审方法</w:t>
            </w:r>
          </w:p>
        </w:tc>
        <w:tc>
          <w:tcPr>
            <w:tcW w:w="4980" w:type="dxa"/>
            <w:vAlign w:val="center"/>
          </w:tcPr>
          <w:p>
            <w:pPr>
              <w:jc w:val="center"/>
              <w:rPr>
                <w:rFonts w:hint="eastAsia" w:ascii="宋体" w:hAnsi="宋体"/>
              </w:rPr>
            </w:pPr>
            <w:r>
              <w:rPr>
                <w:rFonts w:hint="eastAsia" w:ascii="宋体" w:hAnsi="宋体"/>
              </w:rPr>
              <w:t>综合评分法</w:t>
            </w:r>
          </w:p>
          <w:p>
            <w:pPr>
              <w:jc w:val="center"/>
              <w:rPr>
                <w:rFonts w:ascii="宋体" w:hAns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8</w:t>
            </w:r>
          </w:p>
        </w:tc>
        <w:tc>
          <w:tcPr>
            <w:tcW w:w="2409" w:type="dxa"/>
            <w:vAlign w:val="center"/>
          </w:tcPr>
          <w:p>
            <w:pPr>
              <w:jc w:val="center"/>
              <w:rPr>
                <w:rFonts w:ascii="宋体" w:hAnsi="宋体"/>
              </w:rPr>
            </w:pPr>
            <w:r>
              <w:rPr>
                <w:rFonts w:hint="eastAsia" w:ascii="宋体" w:hAnsi="宋体"/>
              </w:rPr>
              <w:t>定标方法</w:t>
            </w:r>
          </w:p>
        </w:tc>
        <w:tc>
          <w:tcPr>
            <w:tcW w:w="4980" w:type="dxa"/>
            <w:vAlign w:val="center"/>
          </w:tcPr>
          <w:p>
            <w:pPr>
              <w:jc w:val="center"/>
              <w:rPr>
                <w:rFonts w:ascii="宋体" w:hAnsi="宋体"/>
              </w:rPr>
            </w:pPr>
            <w:r>
              <w:rPr>
                <w:rFonts w:hint="eastAsia"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4</w:t>
            </w:r>
            <w:r>
              <w:rPr>
                <w:rFonts w:ascii="宋体" w:hAnsi="宋体"/>
              </w:rPr>
              <w:t>6</w:t>
            </w:r>
          </w:p>
        </w:tc>
        <w:tc>
          <w:tcPr>
            <w:tcW w:w="2409" w:type="dxa"/>
            <w:vAlign w:val="center"/>
          </w:tcPr>
          <w:p>
            <w:pPr>
              <w:jc w:val="center"/>
              <w:rPr>
                <w:rFonts w:ascii="宋体" w:hAnsi="宋体"/>
              </w:rPr>
            </w:pPr>
            <w:r>
              <w:rPr>
                <w:rFonts w:hint="eastAsia" w:ascii="宋体" w:hAnsi="宋体"/>
              </w:rPr>
              <w:t>履约担保</w:t>
            </w:r>
          </w:p>
        </w:tc>
        <w:tc>
          <w:tcPr>
            <w:tcW w:w="4980" w:type="dxa"/>
            <w:vAlign w:val="center"/>
          </w:tcPr>
          <w:p>
            <w:pPr>
              <w:jc w:val="center"/>
              <w:rPr>
                <w:rFonts w:ascii="宋体" w:hAnsi="宋体"/>
              </w:rPr>
            </w:pPr>
            <w:r>
              <w:rPr>
                <w:rFonts w:hint="eastAsia" w:ascii="宋体" w:hAnsi="宋体"/>
                <w:lang w:val="en-US" w:eastAsia="zh-CN"/>
              </w:rPr>
              <w:t>合同总金额的5%，详见商务要求</w:t>
            </w:r>
          </w:p>
        </w:tc>
      </w:tr>
    </w:tbl>
    <w:p>
      <w:pPr>
        <w:rPr>
          <w:b/>
        </w:rPr>
      </w:pPr>
      <w:r>
        <w:rPr>
          <w:rFonts w:hint="eastAsia"/>
          <w:szCs w:val="21"/>
        </w:rPr>
        <w:t>备注：本表是通用条款相关条款的补充和明确，如与通用条款内容相冲突的，以本表为准。</w:t>
      </w:r>
    </w:p>
    <w:bookmarkEnd w:id="34"/>
    <w:p>
      <w:pPr>
        <w:pStyle w:val="7"/>
        <w:spacing w:before="120" w:beforeLines="50" w:after="120" w:afterLines="50"/>
        <w:rPr>
          <w:szCs w:val="24"/>
        </w:rPr>
      </w:pPr>
      <w:bookmarkStart w:id="36" w:name="_Hlk72218117"/>
      <w:r>
        <w:rPr>
          <w:rFonts w:hint="eastAsia"/>
          <w:szCs w:val="24"/>
        </w:rPr>
        <w:t>二、其他关键信息</w:t>
      </w:r>
    </w:p>
    <w:p>
      <w:pPr>
        <w:ind w:firstLine="422" w:firstLineChars="200"/>
        <w:rPr>
          <w:b/>
          <w:bCs/>
        </w:rPr>
      </w:pPr>
      <w:bookmarkStart w:id="37" w:name="_Hlk72579427"/>
      <w:r>
        <w:rPr>
          <w:rFonts w:hint="eastAsia"/>
          <w:b/>
          <w:bCs/>
        </w:rPr>
        <w:t>（一）与“对通用条款的补充内容”章节相关的事项</w:t>
      </w:r>
    </w:p>
    <w:p>
      <w:pPr>
        <w:spacing w:line="276" w:lineRule="auto"/>
        <w:jc w:val="left"/>
        <w:rPr>
          <w:rFonts w:asciiTheme="minorEastAsia" w:hAnsiTheme="minorEastAsia" w:eastAsiaTheme="minorEastAsia"/>
          <w:b/>
          <w:kern w:val="0"/>
          <w:szCs w:val="20"/>
        </w:rPr>
      </w:pPr>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评标方法</w:t>
            </w:r>
          </w:p>
        </w:tc>
        <w:tc>
          <w:tcPr>
            <w:tcW w:w="2660" w:type="pct"/>
          </w:tcPr>
          <w:p>
            <w:pPr>
              <w:jc w:val="center"/>
              <w:rPr>
                <w:rFonts w:hint="default" w:eastAsia="宋体"/>
                <w:lang w:val="en-US" w:eastAsia="zh-CN"/>
              </w:rPr>
            </w:pP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候选中标供应商家数</w:t>
            </w:r>
          </w:p>
        </w:tc>
        <w:tc>
          <w:tcPr>
            <w:tcW w:w="2660" w:type="pct"/>
          </w:tcPr>
          <w:p>
            <w:pPr>
              <w:jc w:val="center"/>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中标供应商家数</w:t>
            </w:r>
          </w:p>
        </w:tc>
        <w:tc>
          <w:tcPr>
            <w:tcW w:w="2660" w:type="pct"/>
          </w:tcPr>
          <w:p>
            <w:pPr>
              <w:jc w:val="center"/>
            </w:pPr>
            <w:r>
              <w:rPr>
                <w:rFonts w:hint="eastAsia"/>
              </w:rPr>
              <w:t>1</w:t>
            </w:r>
          </w:p>
        </w:tc>
      </w:tr>
    </w:tbl>
    <w:p>
      <w:pPr>
        <w:pStyle w:val="37"/>
      </w:pPr>
    </w:p>
    <w:p>
      <w:pPr>
        <w:ind w:firstLine="422" w:firstLineChars="200"/>
        <w:rPr>
          <w:rFonts w:hint="eastAsia"/>
          <w:b/>
        </w:rPr>
      </w:pPr>
    </w:p>
    <w:p>
      <w:pPr>
        <w:ind w:firstLine="422" w:firstLineChars="200"/>
        <w:rPr>
          <w:b/>
        </w:rPr>
      </w:pPr>
      <w:r>
        <w:rPr>
          <w:rFonts w:hint="eastAsia"/>
          <w:b/>
        </w:rPr>
        <w:t>（二）其他事项</w:t>
      </w:r>
      <w:bookmarkEnd w:id="37"/>
    </w:p>
    <w:p>
      <w:pPr>
        <w:ind w:firstLine="422" w:firstLineChars="200"/>
        <w:rPr>
          <w:rFonts w:hint="default" w:eastAsia="宋体"/>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及采购标的所属行业的说明</w:t>
      </w:r>
    </w:p>
    <w:p>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lang w:val="en-US" w:eastAsia="zh-CN"/>
        </w:rPr>
        <w:t xml:space="preserve">10 </w:t>
      </w:r>
      <w:r>
        <w:rPr>
          <w:rFonts w:hint="eastAsia"/>
          <w:color w:val="FF0000"/>
          <w:u w:val="none"/>
          <w:lang w:val="en-US" w:eastAsia="zh-CN"/>
        </w:rPr>
        <w:t xml:space="preserve"> </w:t>
      </w:r>
      <w:r>
        <w:rPr>
          <w:color w:val="FF0000"/>
          <w:u w:val="none"/>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8" w:name="_Hlk71970739"/>
      <w:r>
        <w:rPr>
          <w:rFonts w:hint="eastAsia" w:asciiTheme="minorEastAsia" w:hAnsiTheme="minorEastAsia" w:eastAsiaTheme="minorEastAsia" w:cstheme="minorEastAsia"/>
          <w:sz w:val="21"/>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w:t>
      </w:r>
      <w:r>
        <w:rPr>
          <w:rFonts w:hint="eastAsia"/>
          <w:b/>
          <w:bCs/>
          <w:color w:val="FF0000"/>
          <w:lang w:val="en-US" w:eastAsia="zh-CN"/>
        </w:rPr>
        <w:t>清单</w:t>
      </w:r>
      <w:r>
        <w:rPr>
          <w:rFonts w:hint="eastAsia" w:ascii="Times New Roman" w:eastAsia="宋体"/>
          <w:b/>
          <w:bCs/>
          <w:color w:val="FF0000"/>
          <w:lang w:val="en-US" w:eastAsia="zh-CN"/>
        </w:rPr>
        <w:t>明细”的“标的所属行业”一栏为准</w:t>
      </w:r>
      <w:r>
        <w:rPr>
          <w:rFonts w:hint="eastAsia" w:asciiTheme="minorEastAsia" w:hAnsiTheme="minorEastAsia" w:eastAsiaTheme="minorEastAsia" w:cstheme="minorEastAsia"/>
          <w:b/>
          <w:bCs/>
          <w:color w:val="FF0000"/>
          <w:sz w:val="21"/>
          <w:szCs w:val="21"/>
        </w:rPr>
        <w:t>。</w:t>
      </w:r>
      <w:bookmarkEnd w:id="38"/>
    </w:p>
    <w:p>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w:t>
      </w:r>
      <w:r>
        <w:rPr>
          <w:rFonts w:hint="eastAsia" w:ascii="Times New Roman" w:eastAsia="宋体"/>
          <w:lang w:val="en-US" w:eastAsia="zh-CN"/>
        </w:rPr>
        <w:t>四</w:t>
      </w:r>
      <w:r>
        <w:rPr>
          <w:rFonts w:hint="eastAsia"/>
        </w:rPr>
        <w:t>章“投标文件组成要求及格式”中“</w:t>
      </w:r>
      <w:r>
        <w:rPr>
          <w:rFonts w:hint="eastAsia" w:ascii="Times New Roman" w:eastAsia="宋体"/>
          <w:lang w:val="en-US" w:eastAsia="zh-CN"/>
        </w:rPr>
        <w:t>三、</w:t>
      </w:r>
      <w:r>
        <w:rPr>
          <w:rFonts w:hint="eastAsia"/>
        </w:rPr>
        <w:t>投标人情况及资格证明文件”章节提供的格式）。</w:t>
      </w:r>
    </w:p>
    <w:p>
      <w:pPr>
        <w:ind w:firstLine="420" w:firstLineChars="200"/>
        <w:rPr>
          <w:color w:val="FF0000"/>
        </w:rPr>
      </w:pPr>
      <w:r>
        <w:rPr>
          <w:rFonts w:hint="eastAsia"/>
        </w:rPr>
        <w:t>（</w:t>
      </w:r>
      <w:r>
        <w:rPr>
          <w:rFonts w:hint="eastAsia"/>
          <w:lang w:val="en-US" w:eastAsia="zh-CN"/>
        </w:rPr>
        <w:t>5</w:t>
      </w:r>
      <w:r>
        <w:rPr>
          <w:rFonts w:hint="eastAsia"/>
        </w:rPr>
        <w:t>）享受价格扣除获得政府采购合同的，小微企业不得将合同分包给大中型企业。</w:t>
      </w:r>
    </w:p>
    <w:p>
      <w:pPr>
        <w:spacing w:line="360" w:lineRule="auto"/>
        <w:ind w:firstLine="422" w:firstLineChars="200"/>
        <w:rPr>
          <w:rFonts w:hint="eastAsia" w:ascii="宋体" w:hAnsi="宋体" w:eastAsia="宋体" w:cs="宋体"/>
          <w:b/>
          <w:bCs/>
        </w:rPr>
      </w:pPr>
    </w:p>
    <w:p>
      <w:pPr>
        <w:spacing w:line="360" w:lineRule="auto"/>
        <w:ind w:firstLine="422" w:firstLineChars="200"/>
        <w:rPr>
          <w:rFonts w:hint="eastAsia" w:ascii="宋体" w:hAnsi="宋体" w:eastAsia="宋体" w:cs="宋体"/>
          <w:b/>
          <w:bCs/>
        </w:rPr>
      </w:pPr>
      <w:r>
        <w:rPr>
          <w:rFonts w:hint="eastAsia" w:ascii="宋体" w:hAnsi="宋体" w:eastAsia="宋体" w:cs="宋体"/>
          <w:b/>
          <w:bCs/>
        </w:rPr>
        <w:t>2</w:t>
      </w:r>
      <w:r>
        <w:rPr>
          <w:rFonts w:hint="eastAsia" w:ascii="宋体" w:hAnsi="宋体" w:eastAsia="宋体" w:cs="宋体"/>
          <w:b/>
          <w:bCs/>
          <w:lang w:eastAsia="zh-CN"/>
        </w:rPr>
        <w:t>、</w:t>
      </w:r>
      <w:r>
        <w:rPr>
          <w:rFonts w:hint="eastAsia" w:ascii="宋体" w:hAnsi="宋体" w:eastAsia="宋体" w:cs="宋体"/>
          <w:b/>
          <w:bCs/>
        </w:rPr>
        <w:t>关于政府采购订单融资政策</w:t>
      </w:r>
    </w:p>
    <w:p>
      <w:pPr>
        <w:wordWrap w:val="0"/>
        <w:ind w:firstLine="420" w:firstLineChars="200"/>
        <w:rPr>
          <w:rFonts w:hint="eastAsia" w:ascii="宋体" w:hAnsi="宋体" w:eastAsia="宋体" w:cs="Times New Roman"/>
          <w:b/>
          <w:color w:val="auto"/>
        </w:rPr>
      </w:pPr>
      <w:r>
        <w:rPr>
          <w:rFonts w:hint="eastAsia" w:ascii="Times New Roman" w:hAnsi="Times New Roman" w:eastAsia="宋体" w:cs="Times New Roman"/>
          <w:color w:val="auto"/>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422" w:firstLineChars="200"/>
        <w:rPr>
          <w:rFonts w:hint="eastAsia" w:ascii="Times New Roman" w:hAnsi="Times New Roman" w:eastAsia="宋体" w:cs="Times New Roman"/>
          <w:b/>
          <w:bCs/>
        </w:rPr>
      </w:pPr>
    </w:p>
    <w:p>
      <w:pPr>
        <w:ind w:firstLine="422" w:firstLineChars="200"/>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3、本项目不向中标（成交）供应商收取代理服务费。</w:t>
      </w:r>
    </w:p>
    <w:p>
      <w:pPr>
        <w:pStyle w:val="37"/>
        <w:rPr>
          <w:b/>
        </w:rPr>
      </w:pPr>
    </w:p>
    <w:p>
      <w:pPr>
        <w:pStyle w:val="37"/>
        <w:rPr>
          <w:b/>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6"/>
    <w:p>
      <w:pPr>
        <w:keepNext/>
        <w:keepLines/>
        <w:widowControl w:val="0"/>
        <w:adjustRightInd w:val="0"/>
        <w:spacing w:before="260" w:after="260" w:line="240" w:lineRule="auto"/>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第三章 用户需求书</w:t>
      </w:r>
    </w:p>
    <w:p>
      <w:pPr>
        <w:keepNext/>
        <w:keepLines/>
        <w:widowControl w:val="0"/>
        <w:adjustRightInd w:val="0"/>
        <w:spacing w:before="120" w:beforeLines="50" w:after="120" w:afterLines="50" w:line="240" w:lineRule="auto"/>
        <w:jc w:val="center"/>
        <w:textAlignment w:val="baseline"/>
        <w:outlineLvl w:val="1"/>
        <w:rPr>
          <w:rFonts w:ascii="宋体" w:hAnsi="宋体" w:eastAsia="宋体" w:cs="Times New Roman"/>
          <w:b/>
          <w:bCs/>
          <w:kern w:val="0"/>
          <w:sz w:val="24"/>
          <w:szCs w:val="24"/>
          <w:lang w:val="en-US" w:eastAsia="zh-CN" w:bidi="ar-SA"/>
        </w:rPr>
      </w:pPr>
      <w:r>
        <w:rPr>
          <w:rFonts w:hint="eastAsia" w:ascii="宋体" w:hAnsi="宋体" w:eastAsia="宋体" w:cs="Times New Roman"/>
          <w:b/>
          <w:bCs/>
          <w:kern w:val="0"/>
          <w:sz w:val="24"/>
          <w:szCs w:val="24"/>
          <w:lang w:val="en-US" w:eastAsia="zh-CN" w:bidi="ar-SA"/>
        </w:rPr>
        <w:t>一、项目基本信息</w:t>
      </w:r>
    </w:p>
    <w:p>
      <w:pPr>
        <w:rPr>
          <w:rFonts w:ascii="宋体" w:hAnsi="宋体" w:eastAsia="宋体" w:cs="Times New Roman"/>
          <w:b/>
          <w:color w:val="FF0000"/>
          <w:szCs w:val="21"/>
        </w:rPr>
      </w:pP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596"/>
        <w:gridCol w:w="3156"/>
        <w:gridCol w:w="2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9" w:type="pct"/>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序号</w:t>
            </w:r>
          </w:p>
        </w:tc>
        <w:tc>
          <w:tcPr>
            <w:tcW w:w="1522" w:type="pct"/>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采购计划编号</w:t>
            </w:r>
          </w:p>
        </w:tc>
        <w:tc>
          <w:tcPr>
            <w:tcW w:w="1849" w:type="pct"/>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采购项目名称</w:t>
            </w:r>
          </w:p>
        </w:tc>
        <w:tc>
          <w:tcPr>
            <w:tcW w:w="1378" w:type="pct"/>
            <w:vAlign w:val="center"/>
          </w:tcPr>
          <w:p>
            <w:pPr>
              <w:jc w:val="center"/>
              <w:rPr>
                <w:rFonts w:ascii="Times New Roman" w:hAnsi="Times New Roman" w:eastAsia="宋体" w:cs="Times New Roman"/>
                <w:b/>
                <w:bCs/>
                <w:color w:val="FF0000"/>
                <w:szCs w:val="21"/>
              </w:rPr>
            </w:pPr>
            <w:r>
              <w:rPr>
                <w:rFonts w:hint="eastAsia" w:ascii="Times New Roman" w:hAnsi="Times New Roman" w:eastAsia="宋体" w:cs="Times New Roman"/>
                <w:b/>
                <w:bCs/>
                <w:color w:val="FF0000"/>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9" w:type="pct"/>
            <w:vAlign w:val="center"/>
          </w:tcPr>
          <w:p>
            <w:pPr>
              <w:jc w:val="center"/>
              <w:rPr>
                <w:rFonts w:ascii="Times New Roman" w:hAnsi="Times New Roman" w:eastAsia="宋体" w:cs="Times New Roman"/>
                <w:bCs/>
                <w:color w:val="FF0000"/>
                <w:szCs w:val="21"/>
              </w:rPr>
            </w:pPr>
            <w:r>
              <w:rPr>
                <w:rFonts w:hint="eastAsia" w:ascii="Times New Roman" w:hAnsi="Times New Roman" w:eastAsia="宋体" w:cs="Times New Roman"/>
                <w:bCs/>
                <w:color w:val="FF0000"/>
                <w:szCs w:val="21"/>
              </w:rPr>
              <w:t>1</w:t>
            </w:r>
          </w:p>
        </w:tc>
        <w:tc>
          <w:tcPr>
            <w:tcW w:w="1522" w:type="pct"/>
            <w:vAlign w:val="center"/>
          </w:tcPr>
          <w:p>
            <w:pPr>
              <w:jc w:val="center"/>
              <w:rPr>
                <w:rFonts w:ascii="Times New Roman" w:hAnsi="Times New Roman" w:eastAsia="宋体" w:cs="Times New Roman"/>
                <w:bCs/>
                <w:color w:val="FF0000"/>
                <w:szCs w:val="21"/>
              </w:rPr>
            </w:pPr>
            <w:r>
              <w:rPr>
                <w:rFonts w:hint="eastAsia" w:ascii="Times New Roman" w:hAnsi="Times New Roman" w:eastAsia="宋体" w:cs="Times New Roman"/>
                <w:bCs/>
                <w:color w:val="FF0000"/>
                <w:szCs w:val="21"/>
              </w:rPr>
              <w:t>PLAN-2025-440312000-021003-05987</w:t>
            </w:r>
          </w:p>
        </w:tc>
        <w:tc>
          <w:tcPr>
            <w:tcW w:w="1849" w:type="pct"/>
            <w:vAlign w:val="center"/>
          </w:tcPr>
          <w:p>
            <w:pPr>
              <w:jc w:val="center"/>
              <w:rPr>
                <w:rFonts w:hint="eastAsia" w:ascii="Times New Roman" w:hAnsi="Times New Roman" w:eastAsia="宋体" w:cs="Times New Roman"/>
                <w:b/>
                <w:bCs/>
                <w:color w:val="FF0000"/>
                <w:szCs w:val="21"/>
                <w:lang w:eastAsia="zh-CN"/>
              </w:rPr>
            </w:pPr>
            <w:r>
              <w:rPr>
                <w:rFonts w:hint="eastAsia" w:cs="Times New Roman"/>
                <w:b/>
                <w:bCs/>
                <w:color w:val="FF0000"/>
                <w:szCs w:val="21"/>
                <w:lang w:eastAsia="zh-CN"/>
              </w:rPr>
              <w:t>功能科设备</w:t>
            </w:r>
          </w:p>
        </w:tc>
        <w:tc>
          <w:tcPr>
            <w:tcW w:w="1378" w:type="pct"/>
            <w:vAlign w:val="center"/>
          </w:tcPr>
          <w:p>
            <w:pPr>
              <w:jc w:val="center"/>
              <w:rPr>
                <w:rFonts w:hint="default" w:ascii="Times New Roman" w:hAnsi="Times New Roman" w:eastAsia="宋体" w:cs="Times New Roman"/>
                <w:bCs/>
                <w:color w:val="FF0000"/>
                <w:szCs w:val="21"/>
                <w:lang w:val="en-US" w:eastAsia="zh-CN"/>
              </w:rPr>
            </w:pPr>
            <w:r>
              <w:rPr>
                <w:rFonts w:hint="eastAsia" w:cs="Times New Roman"/>
                <w:bCs/>
                <w:color w:val="FF0000"/>
                <w:szCs w:val="21"/>
                <w:lang w:val="en-US" w:eastAsia="zh-CN"/>
              </w:rPr>
              <w:t>1290000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21" w:type="pct"/>
            <w:gridSpan w:val="3"/>
            <w:vAlign w:val="center"/>
          </w:tcPr>
          <w:p>
            <w:pPr>
              <w:jc w:val="center"/>
              <w:rPr>
                <w:rFonts w:ascii="Times New Roman" w:hAnsi="Times New Roman" w:eastAsia="宋体" w:cs="Times New Roman"/>
                <w:b/>
                <w:bCs/>
                <w:color w:val="FF0000"/>
                <w:szCs w:val="21"/>
              </w:rPr>
            </w:pPr>
            <w:r>
              <w:rPr>
                <w:rFonts w:ascii="Times New Roman" w:hAnsi="Times New Roman" w:eastAsia="宋体" w:cs="Times New Roman"/>
                <w:b/>
                <w:bCs/>
                <w:color w:val="FF0000"/>
                <w:szCs w:val="21"/>
              </w:rPr>
              <w:t>合计</w:t>
            </w:r>
          </w:p>
        </w:tc>
        <w:tc>
          <w:tcPr>
            <w:tcW w:w="1378" w:type="pct"/>
            <w:vAlign w:val="center"/>
          </w:tcPr>
          <w:p>
            <w:pPr>
              <w:jc w:val="center"/>
              <w:rPr>
                <w:rFonts w:ascii="Times New Roman" w:hAnsi="Times New Roman" w:eastAsia="宋体" w:cs="Times New Roman"/>
                <w:bCs/>
                <w:color w:val="FF0000"/>
                <w:szCs w:val="21"/>
              </w:rPr>
            </w:pPr>
            <w:r>
              <w:rPr>
                <w:rFonts w:hint="eastAsia" w:cs="Times New Roman"/>
                <w:bCs/>
                <w:color w:val="FF0000"/>
                <w:szCs w:val="21"/>
                <w:lang w:val="en-US" w:eastAsia="zh-CN"/>
              </w:rPr>
              <w:t>1290000</w:t>
            </w:r>
          </w:p>
        </w:tc>
      </w:tr>
    </w:tbl>
    <w:p>
      <w:pPr>
        <w:rPr>
          <w:rFonts w:ascii="宋体" w:hAnsi="宋体" w:eastAsia="宋体" w:cs="Times New Roman"/>
          <w:b/>
          <w:color w:val="FF0000"/>
          <w:szCs w:val="21"/>
        </w:rPr>
      </w:pPr>
    </w:p>
    <w:p>
      <w:pPr>
        <w:rPr>
          <w:rFonts w:ascii="宋体" w:hAnsi="宋体" w:eastAsia="宋体" w:cs="Times New Roman"/>
          <w:b/>
          <w:color w:val="FF0000"/>
          <w:szCs w:val="21"/>
        </w:rPr>
      </w:pPr>
    </w:p>
    <w:p>
      <w:pPr>
        <w:keepNext/>
        <w:keepLines/>
        <w:widowControl w:val="0"/>
        <w:adjustRightInd w:val="0"/>
        <w:spacing w:before="120" w:beforeLines="50" w:after="120" w:afterLines="50" w:line="240" w:lineRule="auto"/>
        <w:jc w:val="center"/>
        <w:textAlignment w:val="baseline"/>
        <w:outlineLvl w:val="1"/>
        <w:rPr>
          <w:rFonts w:ascii="宋体" w:hAnsi="宋体" w:eastAsia="宋体" w:cs="Times New Roman"/>
          <w:b/>
          <w:bCs/>
          <w:kern w:val="0"/>
          <w:sz w:val="24"/>
          <w:szCs w:val="24"/>
          <w:lang w:val="en-US" w:eastAsia="zh-CN" w:bidi="ar-SA"/>
        </w:rPr>
      </w:pPr>
      <w:bookmarkStart w:id="39" w:name="OLE_LINK3"/>
      <w:bookmarkStart w:id="40" w:name="_Hlk72258617"/>
      <w:r>
        <w:rPr>
          <w:rFonts w:hint="eastAsia" w:ascii="宋体" w:hAnsi="宋体" w:eastAsia="宋体" w:cs="Times New Roman"/>
          <w:b/>
          <w:bCs/>
          <w:kern w:val="0"/>
          <w:sz w:val="24"/>
          <w:szCs w:val="24"/>
          <w:lang w:val="en-US" w:eastAsia="zh-CN" w:bidi="ar-SA"/>
        </w:rPr>
        <w:t>二、</w:t>
      </w:r>
      <w:bookmarkStart w:id="41" w:name="_Hlk72073432"/>
      <w:r>
        <w:rPr>
          <w:rFonts w:hint="eastAsia" w:ascii="宋体" w:hAnsi="宋体" w:eastAsia="宋体" w:cs="Times New Roman"/>
          <w:b/>
          <w:bCs/>
          <w:kern w:val="0"/>
          <w:sz w:val="24"/>
          <w:szCs w:val="24"/>
          <w:lang w:val="en-US" w:eastAsia="zh-CN" w:bidi="ar-SA"/>
        </w:rPr>
        <w:t>货物清单明细</w:t>
      </w:r>
      <w:bookmarkEnd w:id="41"/>
    </w:p>
    <w:bookmarkEnd w:id="39"/>
    <w:tbl>
      <w:tblPr>
        <w:tblStyle w:val="4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
        <w:gridCol w:w="1231"/>
        <w:gridCol w:w="1844"/>
        <w:gridCol w:w="476"/>
        <w:gridCol w:w="426"/>
        <w:gridCol w:w="1300"/>
        <w:gridCol w:w="1305"/>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序号</w:t>
            </w:r>
          </w:p>
        </w:tc>
        <w:tc>
          <w:tcPr>
            <w:tcW w:w="496" w:type="pct"/>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采购计划编号</w:t>
            </w:r>
          </w:p>
        </w:tc>
        <w:tc>
          <w:tcPr>
            <w:tcW w:w="1113" w:type="pct"/>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货物名称（标的名称）</w:t>
            </w:r>
          </w:p>
        </w:tc>
        <w:tc>
          <w:tcPr>
            <w:tcW w:w="311" w:type="pct"/>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数量</w:t>
            </w:r>
          </w:p>
        </w:tc>
        <w:tc>
          <w:tcPr>
            <w:tcW w:w="280" w:type="pct"/>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单位</w:t>
            </w:r>
          </w:p>
        </w:tc>
        <w:tc>
          <w:tcPr>
            <w:tcW w:w="796" w:type="pct"/>
            <w:vAlign w:val="center"/>
          </w:tcPr>
          <w:p>
            <w:pPr>
              <w:jc w:val="center"/>
              <w:rPr>
                <w:rFonts w:hint="default" w:ascii="Times New Roman" w:hAnsi="Times New Roman" w:eastAsia="宋体" w:cs="Times New Roman"/>
                <w:b/>
                <w:bCs/>
                <w:color w:val="FF0000"/>
                <w:szCs w:val="21"/>
                <w:lang w:val="en-US" w:eastAsia="zh-CN"/>
              </w:rPr>
            </w:pPr>
            <w:r>
              <w:rPr>
                <w:rFonts w:hint="eastAsia" w:ascii="Times New Roman" w:hAnsi="Times New Roman" w:eastAsia="宋体" w:cs="Times New Roman"/>
                <w:b/>
                <w:bCs/>
                <w:color w:val="FF0000"/>
                <w:szCs w:val="21"/>
                <w:lang w:val="en-US" w:eastAsia="zh-CN"/>
              </w:rPr>
              <w:t>是否接受进口</w:t>
            </w:r>
          </w:p>
        </w:tc>
        <w:tc>
          <w:tcPr>
            <w:tcW w:w="797" w:type="pct"/>
            <w:vAlign w:val="center"/>
          </w:tcPr>
          <w:p>
            <w:pPr>
              <w:jc w:val="center"/>
              <w:rPr>
                <w:rFonts w:hint="default" w:ascii="Times New Roman" w:hAnsi="Times New Roman" w:eastAsia="宋体" w:cs="Times New Roman"/>
                <w:b/>
                <w:bCs/>
                <w:color w:val="FF0000"/>
                <w:szCs w:val="21"/>
                <w:lang w:val="en-US" w:eastAsia="zh-CN"/>
              </w:rPr>
            </w:pPr>
            <w:r>
              <w:rPr>
                <w:rFonts w:hint="eastAsia" w:ascii="Times New Roman" w:hAnsi="Times New Roman" w:eastAsia="宋体" w:cs="Times New Roman"/>
                <w:b/>
                <w:bCs/>
                <w:color w:val="FF0000"/>
                <w:szCs w:val="21"/>
                <w:lang w:val="en-US" w:eastAsia="zh-CN"/>
              </w:rPr>
              <w:t>是否专门面向中小企业</w:t>
            </w:r>
          </w:p>
        </w:tc>
        <w:tc>
          <w:tcPr>
            <w:tcW w:w="899" w:type="pct"/>
            <w:vAlign w:val="center"/>
          </w:tcPr>
          <w:p>
            <w:pPr>
              <w:jc w:val="center"/>
              <w:rPr>
                <w:rFonts w:hint="default" w:ascii="Times New Roman" w:hAnsi="Times New Roman" w:eastAsia="宋体" w:cs="Times New Roman"/>
                <w:b/>
                <w:bCs/>
                <w:color w:val="FF0000"/>
                <w:szCs w:val="21"/>
                <w:lang w:val="en-US" w:eastAsia="zh-CN"/>
              </w:rPr>
            </w:pPr>
            <w:r>
              <w:rPr>
                <w:rFonts w:hint="eastAsia" w:ascii="Times New Roman" w:hAnsi="Times New Roman" w:eastAsia="宋体" w:cs="Times New Roman"/>
                <w:b/>
                <w:bCs/>
                <w:color w:val="FF0000"/>
                <w:szCs w:val="21"/>
                <w:lang w:val="en-US" w:eastAsia="zh-CN"/>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1</w:t>
            </w:r>
          </w:p>
        </w:tc>
        <w:tc>
          <w:tcPr>
            <w:tcW w:w="496" w:type="pct"/>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PLAN-2025-440312000-021003-05987</w:t>
            </w:r>
          </w:p>
        </w:tc>
        <w:tc>
          <w:tcPr>
            <w:tcW w:w="1113" w:type="pct"/>
            <w:vAlign w:val="center"/>
          </w:tcPr>
          <w:p>
            <w:pPr>
              <w:jc w:val="center"/>
              <w:rPr>
                <w:rFonts w:hint="eastAsia" w:ascii="Times New Roman" w:hAnsi="Times New Roman" w:eastAsia="宋体" w:cs="Times New Roman"/>
                <w:bCs/>
                <w:szCs w:val="21"/>
                <w:lang w:eastAsia="zh-CN"/>
              </w:rPr>
            </w:pPr>
            <w:r>
              <w:rPr>
                <w:rFonts w:hint="eastAsia" w:cs="Times New Roman"/>
                <w:bCs/>
                <w:szCs w:val="21"/>
                <w:lang w:eastAsia="zh-CN"/>
              </w:rPr>
              <w:t>彩色多普勒诊断仪器</w:t>
            </w:r>
          </w:p>
        </w:tc>
        <w:tc>
          <w:tcPr>
            <w:tcW w:w="311" w:type="pct"/>
            <w:vAlign w:val="center"/>
          </w:tcPr>
          <w:p>
            <w:pPr>
              <w:jc w:val="center"/>
              <w:rPr>
                <w:rFonts w:hint="eastAsia" w:ascii="Times New Roman" w:hAnsi="Times New Roman" w:eastAsia="宋体" w:cs="Times New Roman"/>
                <w:bCs/>
                <w:szCs w:val="21"/>
                <w:lang w:val="en-US" w:eastAsia="zh-CN"/>
              </w:rPr>
            </w:pPr>
            <w:r>
              <w:rPr>
                <w:rFonts w:hint="eastAsia" w:cs="Times New Roman"/>
                <w:lang w:val="en-US" w:eastAsia="zh-CN"/>
              </w:rPr>
              <w:t>1</w:t>
            </w:r>
          </w:p>
        </w:tc>
        <w:tc>
          <w:tcPr>
            <w:tcW w:w="280" w:type="pct"/>
            <w:vAlign w:val="center"/>
          </w:tcPr>
          <w:p>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台</w:t>
            </w:r>
          </w:p>
        </w:tc>
        <w:tc>
          <w:tcPr>
            <w:tcW w:w="796" w:type="pct"/>
            <w:vAlign w:val="center"/>
          </w:tcPr>
          <w:p>
            <w:pPr>
              <w:jc w:val="center"/>
              <w:rPr>
                <w:rFonts w:hint="default" w:ascii="Times New Roman" w:hAnsi="Times New Roman" w:eastAsia="宋体" w:cs="Times New Roman"/>
                <w:b/>
                <w:bCs/>
                <w:color w:val="FF0000"/>
                <w:szCs w:val="21"/>
                <w:lang w:val="en-US" w:eastAsia="zh-CN"/>
              </w:rPr>
            </w:pPr>
            <w:r>
              <w:rPr>
                <w:rFonts w:hint="eastAsia" w:cs="Times New Roman"/>
                <w:b/>
                <w:bCs/>
                <w:color w:val="FF0000"/>
                <w:szCs w:val="21"/>
                <w:lang w:val="en-US" w:eastAsia="zh-CN"/>
              </w:rPr>
              <w:t>拒绝进口</w:t>
            </w:r>
          </w:p>
        </w:tc>
        <w:tc>
          <w:tcPr>
            <w:tcW w:w="797" w:type="pct"/>
            <w:vAlign w:val="center"/>
          </w:tcPr>
          <w:p>
            <w:pPr>
              <w:jc w:val="center"/>
              <w:rPr>
                <w:rFonts w:hint="eastAsia" w:ascii="Times New Roman" w:hAnsi="Times New Roman" w:eastAsia="宋体" w:cs="Times New Roman"/>
                <w:b/>
                <w:bCs/>
                <w:color w:val="FF0000"/>
                <w:szCs w:val="21"/>
                <w:lang w:val="en-US" w:eastAsia="zh-CN"/>
              </w:rPr>
            </w:pPr>
            <w:r>
              <w:rPr>
                <w:rFonts w:hint="eastAsia" w:cs="Times New Roman"/>
                <w:b/>
                <w:bCs/>
                <w:color w:val="FF0000"/>
                <w:szCs w:val="21"/>
                <w:lang w:val="en-US" w:eastAsia="zh-CN"/>
              </w:rPr>
              <w:t>否</w:t>
            </w:r>
          </w:p>
        </w:tc>
        <w:tc>
          <w:tcPr>
            <w:tcW w:w="899" w:type="pct"/>
            <w:vAlign w:val="center"/>
          </w:tcPr>
          <w:p>
            <w:pPr>
              <w:jc w:val="center"/>
              <w:rPr>
                <w:rFonts w:hint="eastAsia" w:ascii="Times New Roman" w:hAnsi="Times New Roman" w:eastAsia="宋体" w:cs="Times New Roman"/>
                <w:b/>
                <w:bCs/>
                <w:color w:val="FF0000"/>
                <w:szCs w:val="21"/>
                <w:lang w:val="en-US" w:eastAsia="zh-CN"/>
              </w:rPr>
            </w:pPr>
            <w:r>
              <w:rPr>
                <w:rFonts w:hint="eastAsia" w:cs="Times New Roman"/>
                <w:b/>
                <w:bCs/>
                <w:color w:val="FF0000"/>
                <w:szCs w:val="21"/>
                <w:lang w:val="en-US" w:eastAsia="zh-CN"/>
              </w:rPr>
              <w:t>工业</w:t>
            </w:r>
          </w:p>
        </w:tc>
      </w:tr>
    </w:tbl>
    <w:p>
      <w:pPr>
        <w:ind w:firstLine="422" w:firstLineChars="200"/>
        <w:rPr>
          <w:rFonts w:hint="eastAsia" w:ascii="宋体" w:hAnsi="宋体" w:eastAsia="宋体" w:cs="Times New Roman"/>
          <w:b/>
          <w:color w:val="FF0000"/>
          <w:szCs w:val="21"/>
        </w:rPr>
      </w:pP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000" w:type="pct"/>
          </w:tcPr>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2.配置清单（单台配置）</w:t>
            </w:r>
            <w:r>
              <w:rPr>
                <w:rFonts w:hint="eastAsia" w:ascii="宋体" w:hAnsi="宋体" w:cs="宋体"/>
                <w:b/>
                <w:sz w:val="21"/>
                <w:szCs w:val="21"/>
                <w:u w:val="single"/>
                <w:lang w:eastAsia="zh-CN"/>
              </w:rPr>
              <w:t>彩色多普勒诊断仪器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000"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2.1主机：1套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000"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2.2单晶体凸阵探头1把。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000"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2.3单晶体相控阵探头1把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000"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2.4高频线阵探头1把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000" w:type="pct"/>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2.5</w:t>
            </w:r>
            <w:r>
              <w:rPr>
                <w:rFonts w:hint="eastAsia" w:ascii="宋体" w:hAnsi="宋体" w:cs="宋体"/>
                <w:color w:val="auto"/>
                <w:szCs w:val="21"/>
              </w:rPr>
              <w:t>腔内</w:t>
            </w:r>
            <w:r>
              <w:rPr>
                <w:rFonts w:hint="eastAsia" w:ascii="宋体" w:hAnsi="宋体" w:cs="宋体"/>
                <w:color w:val="auto"/>
                <w:szCs w:val="21"/>
                <w:lang w:eastAsia="zh-CN"/>
              </w:rPr>
              <w:t>二维</w:t>
            </w:r>
            <w:r>
              <w:rPr>
                <w:rFonts w:hint="eastAsia" w:ascii="宋体" w:hAnsi="宋体" w:cs="宋体"/>
                <w:color w:val="auto"/>
                <w:szCs w:val="21"/>
              </w:rPr>
              <w:t>探</w:t>
            </w:r>
            <w:r>
              <w:rPr>
                <w:rFonts w:hint="eastAsia" w:ascii="宋体" w:hAnsi="宋体" w:eastAsia="宋体" w:cs="宋体"/>
                <w:color w:val="auto"/>
                <w:sz w:val="21"/>
                <w:szCs w:val="21"/>
              </w:rPr>
              <w:t>头1把</w:t>
            </w:r>
            <w:r>
              <w:rPr>
                <w:rFonts w:hint="eastAsia" w:ascii="宋体" w:hAnsi="宋体" w:cs="宋体"/>
                <w:color w:val="auto"/>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000"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2.6小儿心脏探头1把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000"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2.7剪切波弹性成像高级软件包1套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000"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2.8高频率造影高级软件包1套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000"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2.9自动肝肾比高级软件包1套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000"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2.10血流像素比高级软件包1套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000" w:type="pct"/>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2.11图文工作站1套</w:t>
            </w:r>
          </w:p>
        </w:tc>
      </w:tr>
    </w:tbl>
    <w:p>
      <w:pPr>
        <w:ind w:firstLine="422" w:firstLineChars="200"/>
        <w:rPr>
          <w:rFonts w:hint="eastAsia" w:ascii="宋体" w:hAnsi="宋体" w:eastAsia="宋体" w:cs="Times New Roman"/>
          <w:b/>
          <w:color w:val="FF0000"/>
          <w:szCs w:val="21"/>
        </w:rPr>
      </w:pPr>
    </w:p>
    <w:p>
      <w:pPr>
        <w:ind w:firstLine="422" w:firstLineChars="200"/>
        <w:rPr>
          <w:rFonts w:ascii="宋体" w:hAnsi="宋体" w:eastAsia="宋体" w:cs="Times New Roman"/>
          <w:b/>
          <w:color w:val="FF0000"/>
          <w:szCs w:val="21"/>
        </w:rPr>
      </w:pPr>
      <w:r>
        <w:rPr>
          <w:rFonts w:hint="eastAsia" w:ascii="宋体" w:hAnsi="宋体" w:eastAsia="宋体" w:cs="Times New Roman"/>
          <w:b/>
          <w:color w:val="FF0000"/>
          <w:szCs w:val="21"/>
        </w:rPr>
        <w:t>备注：1.</w:t>
      </w:r>
      <w:r>
        <w:rPr>
          <w:rFonts w:hint="eastAsia" w:ascii="宋体" w:hAnsi="宋体" w:eastAsia="宋体" w:cs="Times New Roman"/>
          <w:b/>
          <w:color w:val="FF0000"/>
          <w:szCs w:val="21"/>
          <w:lang w:eastAsia="zh-CN"/>
        </w:rPr>
        <w:t>“是否接受进口”</w:t>
      </w:r>
      <w:r>
        <w:rPr>
          <w:rFonts w:hint="eastAsia" w:ascii="宋体" w:hAnsi="宋体" w:eastAsia="宋体" w:cs="Times New Roman"/>
          <w:b/>
          <w:color w:val="FF0000"/>
          <w:szCs w:val="21"/>
        </w:rPr>
        <w:t>栏注明“拒绝进口”的产品不接受投标人选用进口产品参与投标；注明“接受进口”的产品允许投标人选用进口产品参与投标，但不排斥国内产品。</w:t>
      </w:r>
    </w:p>
    <w:p>
      <w:pPr>
        <w:ind w:firstLine="422" w:firstLineChars="200"/>
        <w:rPr>
          <w:rFonts w:ascii="宋体" w:hAnsi="宋体" w:eastAsia="宋体" w:cs="Times New Roman"/>
          <w:b/>
          <w:color w:val="FF0000"/>
          <w:szCs w:val="21"/>
        </w:rPr>
      </w:pPr>
      <w:r>
        <w:rPr>
          <w:rFonts w:hint="eastAsia" w:ascii="宋体" w:hAnsi="宋体" w:eastAsia="宋体" w:cs="Times New Roman"/>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2" w:firstLineChars="200"/>
        <w:rPr>
          <w:rFonts w:ascii="宋体" w:hAnsi="宋体" w:eastAsia="宋体" w:cs="Times New Roman"/>
          <w:b/>
          <w:color w:val="FF0000"/>
          <w:szCs w:val="21"/>
        </w:rPr>
      </w:pPr>
      <w:r>
        <w:rPr>
          <w:rFonts w:hint="eastAsia" w:ascii="宋体" w:hAnsi="宋体" w:eastAsia="宋体" w:cs="Times New Roman"/>
          <w:b/>
          <w:color w:val="FF0000"/>
          <w:szCs w:val="21"/>
        </w:rPr>
        <w:t>3、本项目核心产品为：</w:t>
      </w:r>
      <w:r>
        <w:rPr>
          <w:rFonts w:hint="eastAsia" w:ascii="宋体" w:hAnsi="宋体" w:eastAsia="宋体" w:cs="Times New Roman"/>
          <w:b/>
          <w:color w:val="FF0000"/>
          <w:szCs w:val="21"/>
          <w:u w:val="single"/>
        </w:rPr>
        <w:t xml:space="preserve">   </w:t>
      </w:r>
      <w:r>
        <w:rPr>
          <w:rFonts w:hint="eastAsia" w:ascii="宋体" w:hAnsi="宋体" w:cs="Times New Roman"/>
          <w:b/>
          <w:color w:val="FF0000"/>
          <w:szCs w:val="21"/>
          <w:u w:val="single"/>
          <w:lang w:eastAsia="zh-CN"/>
        </w:rPr>
        <w:t>彩色多普勒诊断仪器</w:t>
      </w:r>
      <w:r>
        <w:rPr>
          <w:rFonts w:hint="eastAsia" w:ascii="宋体" w:hAnsi="宋体" w:eastAsia="宋体" w:cs="Times New Roman"/>
          <w:b/>
          <w:color w:val="FF0000"/>
          <w:szCs w:val="21"/>
          <w:u w:val="single"/>
        </w:rPr>
        <w:t xml:space="preserve">   </w:t>
      </w:r>
      <w:r>
        <w:rPr>
          <w:rFonts w:hint="eastAsia" w:ascii="宋体" w:hAnsi="宋体" w:eastAsia="宋体" w:cs="Times New Roman"/>
          <w:b/>
          <w:color w:val="FF0000"/>
          <w:szCs w:val="21"/>
        </w:rPr>
        <w:t>。</w:t>
      </w:r>
    </w:p>
    <w:bookmarkEnd w:id="40"/>
    <w:p>
      <w:pPr>
        <w:rPr>
          <w:rFonts w:ascii="宋体" w:hAnsi="宋体" w:eastAsia="宋体" w:cs="Times New Roman"/>
          <w:b/>
          <w:color w:val="FF0000"/>
          <w:szCs w:val="21"/>
        </w:rPr>
      </w:pPr>
    </w:p>
    <w:p>
      <w:pPr>
        <w:widowControl w:val="0"/>
        <w:spacing w:line="360" w:lineRule="auto"/>
        <w:jc w:val="both"/>
        <w:rPr>
          <w:rFonts w:ascii="Times New Roman" w:hAnsi="Times New Roman" w:eastAsia="宋体" w:cs="Times New Roman"/>
          <w:b/>
          <w:bCs/>
          <w:kern w:val="2"/>
          <w:sz w:val="24"/>
          <w:szCs w:val="24"/>
          <w:lang w:val="en-US" w:eastAsia="zh-CN" w:bidi="ar-SA"/>
        </w:rPr>
      </w:pPr>
    </w:p>
    <w:p>
      <w:pPr>
        <w:keepNext/>
        <w:keepLines/>
        <w:widowControl w:val="0"/>
        <w:adjustRightInd w:val="0"/>
        <w:spacing w:before="120" w:beforeLines="50" w:after="120" w:afterLines="50" w:line="240" w:lineRule="auto"/>
        <w:jc w:val="center"/>
        <w:textAlignment w:val="baseline"/>
        <w:outlineLvl w:val="1"/>
        <w:rPr>
          <w:rFonts w:ascii="宋体" w:hAnsi="宋体" w:eastAsia="宋体" w:cs="Times New Roman"/>
          <w:b/>
          <w:bCs/>
          <w:kern w:val="0"/>
          <w:sz w:val="28"/>
          <w:szCs w:val="28"/>
          <w:lang w:val="en-US" w:eastAsia="zh-CN" w:bidi="ar-SA"/>
        </w:rPr>
      </w:pPr>
      <w:bookmarkStart w:id="42" w:name="_Toc128884461"/>
      <w:r>
        <w:rPr>
          <w:rFonts w:hint="eastAsia" w:ascii="宋体" w:hAnsi="宋体" w:eastAsia="宋体" w:cs="Times New Roman"/>
          <w:b/>
          <w:bCs/>
          <w:kern w:val="0"/>
          <w:sz w:val="28"/>
          <w:szCs w:val="28"/>
          <w:lang w:val="en-US" w:eastAsia="zh-CN" w:bidi="ar-SA"/>
        </w:rPr>
        <w:t>三、实质性条款</w:t>
      </w:r>
    </w:p>
    <w:tbl>
      <w:tblPr>
        <w:tblStyle w:val="44"/>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7483"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483" w:type="dxa"/>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Cs/>
                <w:color w:val="auto"/>
                <w:sz w:val="21"/>
                <w:szCs w:val="21"/>
              </w:rPr>
              <w:t>★1.货物免费保修期</w:t>
            </w:r>
            <w:r>
              <w:rPr>
                <w:rFonts w:hint="eastAsia" w:ascii="宋体" w:hAnsi="宋体" w:eastAsia="宋体" w:cs="宋体"/>
                <w:bCs/>
                <w:color w:val="auto"/>
                <w:sz w:val="21"/>
                <w:szCs w:val="21"/>
                <w:u w:val="single"/>
              </w:rPr>
              <w:t>5</w:t>
            </w:r>
            <w:r>
              <w:rPr>
                <w:rFonts w:hint="eastAsia" w:ascii="宋体" w:hAnsi="宋体" w:eastAsia="宋体" w:cs="宋体"/>
                <w:bCs/>
                <w:color w:val="auto"/>
                <w:sz w:val="21"/>
                <w:szCs w:val="21"/>
              </w:rPr>
              <w:t>年，时间自最终验收合格并交付使用之日起计算。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7483" w:type="dxa"/>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★2.免费保修期内，</w:t>
            </w:r>
            <w:r>
              <w:rPr>
                <w:rFonts w:hint="eastAsia" w:ascii="宋体" w:hAnsi="宋体" w:eastAsia="宋体" w:cs="宋体"/>
                <w:color w:val="auto"/>
                <w:sz w:val="21"/>
                <w:szCs w:val="21"/>
              </w:rPr>
              <w:t>所有服务及配件全部免费。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7483" w:type="dxa"/>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color w:val="auto"/>
                <w:sz w:val="21"/>
                <w:szCs w:val="21"/>
              </w:rPr>
              <w:t>★1.1履约时间和地点：投标供应商在签订合同之日起30天内交货，交货地点为</w:t>
            </w:r>
            <w:r>
              <w:rPr>
                <w:rFonts w:hint="eastAsia" w:ascii="宋体" w:hAnsi="宋体" w:eastAsia="宋体" w:cs="宋体"/>
                <w:color w:val="auto"/>
                <w:sz w:val="21"/>
                <w:szCs w:val="21"/>
                <w:u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c>
          <w:tcPr>
            <w:tcW w:w="7483" w:type="dxa"/>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5.5★</w:t>
            </w:r>
            <w:r>
              <w:rPr>
                <w:rFonts w:hint="eastAsia" w:ascii="宋体" w:hAnsi="宋体" w:cs="宋体"/>
                <w:color w:val="auto"/>
                <w:szCs w:val="21"/>
              </w:rPr>
              <w:t>信息化系统：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5</w:t>
            </w:r>
          </w:p>
        </w:tc>
        <w:tc>
          <w:tcPr>
            <w:tcW w:w="7483"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kern w:val="0"/>
                <w:sz w:val="21"/>
                <w:szCs w:val="21"/>
                <w:lang w:val="en-US" w:eastAsia="zh-CN"/>
              </w:rPr>
              <w:t>5.6</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kern w:val="0"/>
                <w:sz w:val="21"/>
                <w:szCs w:val="21"/>
              </w:rPr>
              <w:t>所投产品必须提供医疗器械注册证书（或者备案凭证）扫描件。开标时，该证应在有效期内，若不在有效期内，则需提供该证和所投产品在该证有效期内生产的药监局出具的证明文件。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6</w:t>
            </w:r>
          </w:p>
        </w:tc>
        <w:tc>
          <w:tcPr>
            <w:tcW w:w="7483" w:type="dxa"/>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5.7</w:t>
            </w:r>
            <w:r>
              <w:rPr>
                <w:rFonts w:hint="eastAsia" w:ascii="宋体" w:hAnsi="宋体" w:eastAsia="宋体" w:cs="宋体"/>
                <w:color w:val="auto"/>
                <w:sz w:val="21"/>
                <w:szCs w:val="21"/>
              </w:rPr>
              <w:t>★其他要求</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配齐设备正常使用所需要的所有附件，如连线、架子、特殊插座插头、导管，无需另外购置即可满足临床需求。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7</w:t>
            </w:r>
          </w:p>
        </w:tc>
        <w:tc>
          <w:tcPr>
            <w:tcW w:w="7483" w:type="dxa"/>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5.8</w:t>
            </w:r>
            <w:r>
              <w:rPr>
                <w:rFonts w:hint="eastAsia" w:ascii="宋体" w:hAnsi="宋体" w:eastAsia="宋体" w:cs="宋体"/>
                <w:color w:val="auto"/>
                <w:sz w:val="21"/>
                <w:szCs w:val="21"/>
              </w:rPr>
              <w:t>★</w:t>
            </w:r>
            <w:r>
              <w:rPr>
                <w:rFonts w:hint="eastAsia" w:ascii="宋体" w:hAnsi="宋体" w:cs="宋体"/>
                <w:color w:val="auto"/>
                <w:szCs w:val="21"/>
              </w:rPr>
              <w:t>信息化系统：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bl>
    <w:p>
      <w:pPr>
        <w:rPr>
          <w:rFonts w:ascii="Times New Roman" w:hAnsi="Times New Roman" w:eastAsia="宋体" w:cs="Times New Roman"/>
          <w:b/>
        </w:rPr>
      </w:pPr>
      <w:r>
        <w:rPr>
          <w:rFonts w:hint="eastAsia" w:ascii="Times New Roman" w:hAnsi="Times New Roman" w:eastAsia="宋体" w:cs="Times New Roman"/>
          <w:b/>
        </w:rPr>
        <w:t>注：上表所列内容为不可负偏离条款</w:t>
      </w:r>
      <w:bookmarkEnd w:id="42"/>
      <w:r>
        <w:rPr>
          <w:rFonts w:hint="eastAsia" w:ascii="Times New Roman" w:hAnsi="Times New Roman" w:eastAsia="宋体" w:cs="Times New Roman"/>
          <w:b/>
        </w:rPr>
        <w:t>，负偏离将视为未实质性满足招标文件要求作投标无效处理。</w:t>
      </w:r>
    </w:p>
    <w:p>
      <w:pPr>
        <w:rPr>
          <w:rFonts w:ascii="Times New Roman" w:hAnsi="Times New Roman" w:eastAsia="宋体" w:cs="Times New Roman"/>
          <w:b/>
          <w:szCs w:val="21"/>
        </w:rPr>
      </w:pPr>
    </w:p>
    <w:p>
      <w:pPr>
        <w:widowControl w:val="0"/>
        <w:spacing w:line="360" w:lineRule="auto"/>
        <w:jc w:val="both"/>
        <w:rPr>
          <w:rFonts w:ascii="Times New Roman" w:hAnsi="Times New Roman" w:eastAsia="宋体" w:cs="Times New Roman"/>
          <w:b/>
          <w:bCs/>
          <w:kern w:val="2"/>
          <w:sz w:val="24"/>
          <w:szCs w:val="24"/>
          <w:lang w:val="en-US" w:eastAsia="zh-CN" w:bidi="ar-SA"/>
        </w:rPr>
      </w:pPr>
    </w:p>
    <w:p>
      <w:pPr>
        <w:keepNext/>
        <w:keepLines/>
        <w:widowControl w:val="0"/>
        <w:adjustRightInd w:val="0"/>
        <w:spacing w:before="120" w:beforeLines="50" w:after="120" w:afterLines="50" w:line="240" w:lineRule="auto"/>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四、技术要求</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rPr>
      </w:pPr>
      <w:r>
        <w:rPr>
          <w:rFonts w:hint="eastAsia" w:ascii="Times New Roman" w:hAnsi="Times New Roman" w:eastAsia="宋体" w:cs="Times New Roman"/>
          <w:b/>
          <w:szCs w:val="21"/>
        </w:rPr>
        <w:t>说明：</w:t>
      </w:r>
      <w:r>
        <w:rPr>
          <w:rFonts w:ascii="Times New Roman" w:hAnsi="Times New Roman" w:eastAsia="宋体" w:cs="Times New Roman"/>
          <w:b/>
          <w:szCs w:val="21"/>
        </w:rPr>
        <w:t xml:space="preserve"> </w:t>
      </w:r>
      <w:r>
        <w:rPr>
          <w:rFonts w:ascii="Times New Roman" w:hAnsi="Times New Roman" w:eastAsia="宋体" w:cs="Times New Roman"/>
          <w:b/>
        </w:rPr>
        <w:t>1</w:t>
      </w:r>
      <w:r>
        <w:rPr>
          <w:rFonts w:hint="eastAsia" w:ascii="Times New Roman" w:hAnsi="Times New Roman" w:eastAsia="宋体" w:cs="Times New Roman"/>
          <w:b/>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szCs w:val="21"/>
        </w:rPr>
      </w:pPr>
      <w:r>
        <w:rPr>
          <w:rFonts w:ascii="Times New Roman" w:hAnsi="Times New Roman" w:eastAsia="宋体" w:cs="Times New Roman"/>
          <w:b/>
          <w:szCs w:val="21"/>
        </w:rPr>
        <w:t>2</w:t>
      </w:r>
      <w:r>
        <w:rPr>
          <w:rFonts w:hint="eastAsia" w:ascii="Times New Roman" w:hAnsi="Times New Roman" w:eastAsia="宋体" w:cs="Times New Roman"/>
          <w:b/>
          <w:szCs w:val="21"/>
        </w:rPr>
        <w:t>、带★号条款为不可</w:t>
      </w:r>
      <w:r>
        <w:rPr>
          <w:rFonts w:hint="eastAsia" w:ascii="Times New Roman" w:hAnsi="Times New Roman" w:eastAsia="宋体" w:cs="Times New Roman"/>
          <w:b/>
          <w:szCs w:val="21"/>
          <w:lang w:val="en-US" w:eastAsia="zh-CN"/>
        </w:rPr>
        <w:t>负</w:t>
      </w:r>
      <w:r>
        <w:rPr>
          <w:rFonts w:hint="eastAsia" w:ascii="Times New Roman" w:hAnsi="Times New Roman" w:eastAsia="宋体" w:cs="Times New Roman"/>
          <w:b/>
          <w:szCs w:val="21"/>
        </w:rPr>
        <w:t>偏离条款，不作为评分准则中的评分内容</w:t>
      </w:r>
      <w:r>
        <w:rPr>
          <w:rFonts w:hint="eastAsia" w:ascii="Times New Roman" w:hAnsi="Times New Roman" w:eastAsia="宋体" w:cs="Times New Roman"/>
          <w:b/>
          <w:szCs w:val="21"/>
          <w:lang w:eastAsia="zh-CN"/>
        </w:rPr>
        <w:t>，</w:t>
      </w:r>
      <w:r>
        <w:rPr>
          <w:rFonts w:hint="eastAsia" w:ascii="Times New Roman" w:hAnsi="Times New Roman" w:eastAsia="宋体" w:cs="Times New Roman"/>
          <w:b/>
          <w:szCs w:val="21"/>
        </w:rPr>
        <w:t>如未响应或出现负偏离的，将作投标无效处理；带“</w:t>
      </w:r>
      <w:r>
        <w:rPr>
          <w:rFonts w:ascii="Times New Roman" w:hAnsi="Times New Roman" w:eastAsia="宋体" w:cs="Times New Roman"/>
        </w:rPr>
        <w:t>▲</w:t>
      </w:r>
      <w:r>
        <w:rPr>
          <w:rFonts w:hint="eastAsia" w:ascii="Times New Roman" w:hAnsi="Times New Roman" w:eastAsia="宋体" w:cs="Times New Roman"/>
          <w:b/>
          <w:szCs w:val="21"/>
        </w:rPr>
        <w:t>”指标项为重要参数条款，负偏离时依相关评分准则内容作重点扣分处理。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ascii="Times New Roman" w:hAnsi="Times New Roman" w:eastAsia="宋体" w:cs="Times New Roman"/>
          <w:b/>
          <w:szCs w:val="21"/>
        </w:rPr>
        <w:t>3</w:t>
      </w:r>
      <w:r>
        <w:rPr>
          <w:rFonts w:hint="eastAsia" w:ascii="Times New Roman" w:hAnsi="Times New Roman" w:eastAsia="宋体" w:cs="Times New Roman"/>
          <w:b/>
          <w:szCs w:val="21"/>
        </w:rPr>
        <w:t>、</w:t>
      </w:r>
      <w:bookmarkStart w:id="43" w:name="_Hlk72585069"/>
      <w:r>
        <w:rPr>
          <w:rFonts w:hint="eastAsia" w:ascii="Times New Roman" w:hAnsi="Times New Roman" w:eastAsia="宋体" w:cs="Times New Roman"/>
          <w:b/>
          <w:szCs w:val="21"/>
        </w:rPr>
        <w:t>招标技术要求中，用红色加粗字体标注的指标项均要求提供证明资料；其余指标项未要求提供证明资料，无需提供相关证明资料。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4.针对招标文件产品技术参数如涉及相关既定值、单向范围值、区间范围值的，投标技术参数响应方式举例说明如下：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（1）涉及相关既定值的，例：招标技术参数要求值为“20L”，投标技术参数响应值与“20L”不一致的，均视为负偏离；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w:t>
      </w:r>
      <w:r>
        <w:rPr>
          <w:rFonts w:hint="eastAsia" w:cs="Times New Roman"/>
          <w:kern w:val="2"/>
          <w:sz w:val="21"/>
          <w:szCs w:val="20"/>
          <w:lang w:val="en-US" w:eastAsia="zh-CN" w:bidi="ar-SA"/>
        </w:rPr>
        <w:t>7</w:t>
      </w:r>
      <w:r>
        <w:rPr>
          <w:rFonts w:hint="eastAsia" w:ascii="Times New Roman" w:hAnsi="Times New Roman" w:eastAsia="宋体" w:cs="Times New Roman"/>
          <w:kern w:val="2"/>
          <w:sz w:val="21"/>
          <w:szCs w:val="20"/>
          <w:lang w:val="en-US" w:eastAsia="zh-CN" w:bidi="ar-SA"/>
        </w:rPr>
        <w:t>”或“＞</w:t>
      </w:r>
      <w:r>
        <w:rPr>
          <w:rFonts w:hint="eastAsia" w:cs="Times New Roman"/>
          <w:kern w:val="2"/>
          <w:sz w:val="21"/>
          <w:szCs w:val="20"/>
          <w:lang w:val="en-US" w:eastAsia="zh-CN" w:bidi="ar-SA"/>
        </w:rPr>
        <w:t>7</w:t>
      </w:r>
      <w:r>
        <w:rPr>
          <w:rFonts w:hint="eastAsia" w:ascii="Times New Roman" w:hAnsi="Times New Roman" w:eastAsia="宋体" w:cs="Times New Roman"/>
          <w:kern w:val="2"/>
          <w:sz w:val="21"/>
          <w:szCs w:val="20"/>
          <w:lang w:val="en-US" w:eastAsia="zh-CN" w:bidi="ar-SA"/>
        </w:rPr>
        <w:t>”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（3）涉及相关区间范围值的，</w:t>
      </w:r>
      <w:r>
        <w:rPr>
          <w:rFonts w:hint="eastAsia" w:ascii="Times New Roman" w:hAnsi="Times New Roman" w:eastAsia="宋体" w:cs="Times New Roman"/>
          <w:b/>
          <w:kern w:val="2"/>
          <w:sz w:val="21"/>
          <w:szCs w:val="21"/>
          <w:lang w:val="en-US" w:eastAsia="zh-CN" w:bidi="ar-SA"/>
        </w:rPr>
        <w:t>除特别注明以外，均包含首尾两端本数。</w:t>
      </w:r>
      <w:r>
        <w:rPr>
          <w:rFonts w:hint="eastAsia" w:ascii="Times New Roman" w:hAnsi="Times New Roman" w:eastAsia="宋体" w:cs="Times New Roman"/>
          <w:kern w:val="2"/>
          <w:sz w:val="21"/>
          <w:szCs w:val="20"/>
          <w:lang w:val="en-US" w:eastAsia="zh-CN" w:bidi="ar-SA"/>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5、相关证明材料的产品名称与招标技术要求的货物名称不一致的，需提供为同种产品的说明；若名称不一致又未提供说明的，由评审委员会判定是否符合文件要求。</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left"/>
        <w:rPr>
          <w:rFonts w:hint="default" w:ascii="Times New Roman" w:hAnsi="Times New Roman" w:eastAsia="宋体" w:cs="Times New Roman"/>
          <w:b/>
          <w:color w:val="FF0000"/>
          <w:szCs w:val="21"/>
          <w:lang w:val="en-US" w:eastAsia="zh-CN"/>
        </w:rPr>
      </w:pPr>
      <w:r>
        <w:rPr>
          <w:rFonts w:hint="eastAsia" w:ascii="Times New Roman" w:hAnsi="Times New Roman" w:eastAsia="宋体" w:cs="Times New Roman"/>
          <w:b/>
          <w:color w:val="FF0000"/>
          <w:szCs w:val="21"/>
          <w:lang w:val="en-US" w:eastAsia="zh-CN"/>
        </w:rPr>
        <w:t>6.在</w:t>
      </w:r>
      <w:r>
        <w:rPr>
          <w:rFonts w:hint="eastAsia" w:ascii="Times New Roman" w:hAnsi="Times New Roman" w:eastAsia="宋体" w:cs="Times New Roman"/>
          <w:b/>
          <w:color w:val="FF0000"/>
          <w:szCs w:val="21"/>
        </w:rPr>
        <w:t>招标技术要求中</w:t>
      </w:r>
      <w:r>
        <w:rPr>
          <w:rFonts w:hint="eastAsia" w:ascii="Times New Roman" w:hAnsi="Times New Roman" w:eastAsia="宋体" w:cs="Times New Roman"/>
          <w:b/>
          <w:color w:val="FF0000"/>
          <w:szCs w:val="21"/>
          <w:lang w:eastAsia="zh-CN"/>
        </w:rPr>
        <w:t>，</w:t>
      </w:r>
      <w:r>
        <w:rPr>
          <w:rFonts w:hint="eastAsia" w:ascii="Times New Roman" w:hAnsi="Times New Roman" w:eastAsia="宋体" w:cs="Times New Roman"/>
          <w:b/>
          <w:color w:val="FF0000"/>
          <w:szCs w:val="21"/>
          <w:lang w:val="en-US"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widowControl w:val="0"/>
        <w:ind w:firstLine="420"/>
        <w:jc w:val="both"/>
        <w:rPr>
          <w:rFonts w:hint="eastAsia" w:ascii="Times New Roman" w:hAnsi="Times New Roman" w:eastAsia="宋体" w:cs="Times New Roman"/>
          <w:kern w:val="2"/>
          <w:sz w:val="21"/>
          <w:szCs w:val="20"/>
          <w:lang w:val="en-US" w:eastAsia="zh-CN" w:bidi="ar-SA"/>
        </w:rPr>
      </w:pPr>
    </w:p>
    <w:bookmarkEnd w:id="43"/>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1329"/>
        <w:gridCol w:w="6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60"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bookmarkStart w:id="44" w:name="_Hlk70236148"/>
            <w:r>
              <w:rPr>
                <w:rFonts w:hint="eastAsia" w:ascii="宋体" w:hAnsi="宋体" w:eastAsia="宋体" w:cs="宋体"/>
                <w:b w:val="0"/>
                <w:bCs w:val="0"/>
                <w:color w:val="000000" w:themeColor="text1"/>
                <w:sz w:val="21"/>
                <w:szCs w:val="21"/>
                <w14:textFill>
                  <w14:solidFill>
                    <w14:schemeClr w14:val="tx1"/>
                  </w14:solidFill>
                </w14:textFill>
              </w:rPr>
              <w:t>序号</w:t>
            </w:r>
          </w:p>
        </w:tc>
        <w:tc>
          <w:tcPr>
            <w:tcW w:w="779" w:type="pct"/>
            <w:vAlign w:val="center"/>
          </w:tcPr>
          <w:p>
            <w:pPr>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货物名称</w:t>
            </w:r>
          </w:p>
        </w:tc>
        <w:tc>
          <w:tcPr>
            <w:tcW w:w="3660"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60"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w:t>
            </w:r>
          </w:p>
        </w:tc>
        <w:tc>
          <w:tcPr>
            <w:tcW w:w="779" w:type="pct"/>
            <w:vMerge w:val="restar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cs="宋体"/>
                <w:b w:val="0"/>
                <w:bCs w:val="0"/>
                <w:sz w:val="21"/>
                <w:szCs w:val="21"/>
                <w:u w:val="none"/>
                <w:lang w:eastAsia="zh-CN"/>
              </w:rPr>
              <w:t>彩色多普勒诊断仪器</w:t>
            </w:r>
          </w:p>
        </w:tc>
        <w:tc>
          <w:tcPr>
            <w:tcW w:w="3660" w:type="pct"/>
            <w:vMerge w:val="restar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1.系统技术规格及概述：</w:t>
            </w:r>
          </w:p>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1.1.≥23英寸彩色液晶显示器，操作面板自带≥13英寸的触摸屏，支持手势操作，触摸屏角度可调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60"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w:t>
            </w:r>
          </w:p>
        </w:tc>
        <w:tc>
          <w:tcPr>
            <w:tcW w:w="779"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3660" w:type="pct"/>
            <w:vMerge w:val="continue"/>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60"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w:t>
            </w:r>
          </w:p>
        </w:tc>
        <w:tc>
          <w:tcPr>
            <w:tcW w:w="779"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3660" w:type="pct"/>
          </w:tcPr>
          <w:p>
            <w:pPr>
              <w:pStyle w:val="5"/>
              <w:pageBreakBefore w:val="0"/>
              <w:numPr>
                <w:ilvl w:val="2"/>
                <w:numId w:val="0"/>
              </w:numPr>
              <w:kinsoku/>
              <w:wordWrap/>
              <w:overflowPunct/>
              <w:topLinePunct w:val="0"/>
              <w:autoSpaceDE/>
              <w:autoSpaceDN/>
              <w:bidi w:val="0"/>
              <w:adjustRightInd/>
              <w:snapToGrid/>
              <w:spacing w:before="0" w:after="0"/>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1.2.</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支持数字化全域聚焦</w:t>
            </w:r>
            <w:r>
              <w:rPr>
                <w:rFonts w:hint="eastAsia" w:cs="宋体"/>
                <w:b w:val="0"/>
                <w:bCs w:val="0"/>
                <w:color w:val="000000" w:themeColor="text1"/>
                <w:kern w:val="2"/>
                <w:sz w:val="21"/>
                <w:szCs w:val="21"/>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60"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4</w:t>
            </w:r>
          </w:p>
        </w:tc>
        <w:tc>
          <w:tcPr>
            <w:tcW w:w="779"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3660"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1.3.数字化通道数≥</w:t>
            </w:r>
            <w:r>
              <w:rPr>
                <w:rFonts w:hint="eastAsia" w:ascii="宋体" w:hAnsi="宋体" w:eastAsia="宋体" w:cs="宋体"/>
                <w:b w:val="0"/>
                <w:bCs w:val="0"/>
                <w:color w:val="000000" w:themeColor="text1"/>
                <w:sz w:val="21"/>
                <w:szCs w:val="21"/>
                <w:lang w:val="en-US" w:eastAsia="zh-CN"/>
                <w14:textFill>
                  <w14:solidFill>
                    <w14:schemeClr w14:val="tx1"/>
                  </w14:solidFill>
                </w14:textFill>
              </w:rPr>
              <w:t>460</w:t>
            </w:r>
            <w:r>
              <w:rPr>
                <w:rFonts w:hint="eastAsia" w:ascii="宋体" w:hAnsi="宋体" w:eastAsia="宋体" w:cs="宋体"/>
                <w:b w:val="0"/>
                <w:bCs w:val="0"/>
                <w:color w:val="000000" w:themeColor="text1"/>
                <w:sz w:val="21"/>
                <w:szCs w:val="21"/>
                <w14:textFill>
                  <w14:solidFill>
                    <w14:schemeClr w14:val="tx1"/>
                  </w14:solidFill>
                </w14:textFill>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60"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5</w:t>
            </w:r>
          </w:p>
        </w:tc>
        <w:tc>
          <w:tcPr>
            <w:tcW w:w="779"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3660"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1.4.</w:t>
            </w:r>
            <w:r>
              <w:rPr>
                <w:rFonts w:hint="eastAsia" w:ascii="宋体" w:hAnsi="宋体" w:cs="宋体"/>
                <w:b w:val="0"/>
                <w:bCs w:val="0"/>
                <w:color w:val="000000" w:themeColor="text1"/>
                <w:sz w:val="21"/>
                <w:szCs w:val="21"/>
                <w:lang w:val="en-US" w:eastAsia="zh-CN"/>
                <w14:textFill>
                  <w14:solidFill>
                    <w14:schemeClr w14:val="tx1"/>
                  </w14:solidFill>
                </w14:textFill>
              </w:rPr>
              <w:t>采用</w:t>
            </w:r>
            <w:r>
              <w:rPr>
                <w:rFonts w:hint="eastAsia" w:ascii="宋体" w:hAnsi="宋体" w:eastAsia="宋体" w:cs="宋体"/>
                <w:b w:val="0"/>
                <w:bCs w:val="0"/>
                <w:color w:val="000000" w:themeColor="text1"/>
                <w:sz w:val="21"/>
                <w:szCs w:val="21"/>
                <w14:textFill>
                  <w14:solidFill>
                    <w14:schemeClr w14:val="tx1"/>
                  </w14:solidFill>
                </w14:textFill>
              </w:rPr>
              <w:t>声速匹配技术，可根据人体组织真实情况，一键实时自动匹配至最佳成像声速，并以具体数值在屏幕上显示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60"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6</w:t>
            </w:r>
          </w:p>
        </w:tc>
        <w:tc>
          <w:tcPr>
            <w:tcW w:w="779"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3660"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1.5.具备二维灰阶模式，谐波成像模式，M型模式，彩色M型模式，解剖M型模式等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60"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7</w:t>
            </w:r>
          </w:p>
        </w:tc>
        <w:tc>
          <w:tcPr>
            <w:tcW w:w="779"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3660"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1.6.彩色多普勒成像：包括彩色、能量、方向能量多普勒模式；频谱多普勒成像：包括脉冲多普勒、高脉冲重复频率、连续波多普勒；组织多普勒成像：≥4种模式</w:t>
            </w:r>
            <w:r>
              <w:rPr>
                <w:rFonts w:hint="eastAsia" w:ascii="宋体" w:hAnsi="宋体" w:cs="宋体"/>
                <w:b w:val="0"/>
                <w:bCs w:val="0"/>
                <w:color w:val="000000" w:themeColor="text1"/>
                <w:sz w:val="21"/>
                <w:szCs w:val="21"/>
                <w:lang w:eastAsia="zh-CN"/>
                <w14:textFill>
                  <w14:solidFill>
                    <w14:schemeClr w14:val="tx1"/>
                  </w14:solidFill>
                </w14:textFill>
              </w:rPr>
              <w:t>，</w:t>
            </w:r>
            <w:r>
              <w:rPr>
                <w:rFonts w:hint="eastAsia" w:ascii="宋体" w:hAnsi="宋体" w:cs="宋体"/>
                <w:b w:val="0"/>
                <w:bCs w:val="0"/>
                <w:color w:val="000000" w:themeColor="text1"/>
                <w:sz w:val="21"/>
                <w:szCs w:val="21"/>
                <w:lang w:val="en-US" w:eastAsia="zh-CN"/>
                <w14:textFill>
                  <w14:solidFill>
                    <w14:schemeClr w14:val="tx1"/>
                  </w14:solidFill>
                </w14:textFill>
              </w:rPr>
              <w:t>至少</w:t>
            </w:r>
            <w:r>
              <w:rPr>
                <w:rFonts w:hint="eastAsia" w:ascii="宋体" w:hAnsi="宋体" w:eastAsia="宋体" w:cs="宋体"/>
                <w:b w:val="0"/>
                <w:bCs w:val="0"/>
                <w:color w:val="000000" w:themeColor="text1"/>
                <w:sz w:val="21"/>
                <w:szCs w:val="21"/>
                <w14:textFill>
                  <w14:solidFill>
                    <w14:schemeClr w14:val="tx1"/>
                  </w14:solidFill>
                </w14:textFill>
              </w:rPr>
              <w:t>包括组织速度图、能量图、M型、频谱成像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60"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8</w:t>
            </w:r>
          </w:p>
        </w:tc>
        <w:tc>
          <w:tcPr>
            <w:tcW w:w="779"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3660"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1.7.具备立体血流功能，具备自由臂三维成像功能，空间复合成像功能，精细血流自动识别成像</w:t>
            </w:r>
            <w:r>
              <w:rPr>
                <w:rFonts w:hint="eastAsia" w:ascii="宋体" w:hAnsi="宋体" w:cs="宋体"/>
                <w:b w:val="0"/>
                <w:bCs w:val="0"/>
                <w:color w:val="000000" w:themeColor="text1"/>
                <w:sz w:val="21"/>
                <w:szCs w:val="21"/>
                <w:lang w:val="en-US" w:eastAsia="zh-CN"/>
                <w14:textFill>
                  <w14:solidFill>
                    <w14:schemeClr w14:val="tx1"/>
                  </w14:solidFill>
                </w14:textFill>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60"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9</w:t>
            </w:r>
          </w:p>
        </w:tc>
        <w:tc>
          <w:tcPr>
            <w:tcW w:w="779"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3660" w:type="pct"/>
            <w:vMerge w:val="restart"/>
            <w:vAlign w:val="center"/>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2.测量/分析和报告：</w:t>
            </w:r>
          </w:p>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xml:space="preserve">2.1.血管内中膜自动测量，可同时进行血管前、后壁的内中膜的自动描记、自动生成测量数据结果，并具备IMT评估曲线分析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60"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10</w:t>
            </w:r>
          </w:p>
        </w:tc>
        <w:tc>
          <w:tcPr>
            <w:tcW w:w="779"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3660" w:type="pct"/>
            <w:vMerge w:val="continue"/>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60"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11</w:t>
            </w:r>
          </w:p>
        </w:tc>
        <w:tc>
          <w:tcPr>
            <w:tcW w:w="779"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3660"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2.2.支持小儿髋关节自动测量功能，可自动计算α角，β角，自动进行临床分型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60"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12</w:t>
            </w:r>
          </w:p>
        </w:tc>
        <w:tc>
          <w:tcPr>
            <w:tcW w:w="779"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3660"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2.3.支持自动肝肾比测量，可自动计算肝脏与肾皮层增益比值，提供HRI值</w:t>
            </w:r>
            <w:r>
              <w:rPr>
                <w:rFonts w:hint="eastAsia" w:ascii="宋体" w:hAnsi="宋体" w:eastAsia="宋体" w:cs="宋体"/>
                <w:b w:val="0"/>
                <w:bCs w:val="0"/>
                <w:color w:val="FF0000"/>
                <w:sz w:val="21"/>
                <w:szCs w:val="21"/>
              </w:rPr>
              <w:t>（提供证明材料：</w:t>
            </w:r>
            <w:r>
              <w:rPr>
                <w:rFonts w:hint="eastAsia" w:ascii="宋体" w:hAnsi="宋体" w:cs="宋体"/>
                <w:color w:val="FF0000"/>
                <w:szCs w:val="21"/>
              </w:rPr>
              <w:t>注册证附页的详细技术参数清单</w:t>
            </w:r>
            <w:r>
              <w:rPr>
                <w:rFonts w:hint="eastAsia" w:ascii="宋体" w:hAnsi="宋体" w:eastAsia="宋体" w:cs="宋体"/>
                <w:b w:val="0"/>
                <w:bCs w:val="0"/>
                <w:color w:val="FF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60"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13</w:t>
            </w:r>
          </w:p>
        </w:tc>
        <w:tc>
          <w:tcPr>
            <w:tcW w:w="779"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3660"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2.4.支持自动血流像素比计算，可自动计算取样框内彩色血流像素百分比，支持Color/Power多种模式</w:t>
            </w:r>
            <w:r>
              <w:rPr>
                <w:rFonts w:hint="eastAsia" w:ascii="宋体" w:hAnsi="宋体" w:eastAsia="宋体" w:cs="宋体"/>
                <w:b w:val="0"/>
                <w:bCs w:val="0"/>
                <w:color w:val="FF0000"/>
                <w:sz w:val="21"/>
                <w:szCs w:val="21"/>
              </w:rPr>
              <w:t>（提供证明材料：</w:t>
            </w:r>
            <w:r>
              <w:rPr>
                <w:rFonts w:hint="eastAsia" w:ascii="宋体" w:hAnsi="宋体" w:cs="宋体"/>
                <w:color w:val="FF0000"/>
                <w:szCs w:val="21"/>
              </w:rPr>
              <w:t>注册证附页的详细技术参数清单</w:t>
            </w:r>
            <w:r>
              <w:rPr>
                <w:rFonts w:hint="eastAsia" w:ascii="宋体" w:hAnsi="宋体" w:eastAsia="宋体" w:cs="宋体"/>
                <w:b w:val="0"/>
                <w:bCs w:val="0"/>
                <w:color w:val="FF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60"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14</w:t>
            </w:r>
          </w:p>
        </w:tc>
        <w:tc>
          <w:tcPr>
            <w:tcW w:w="779"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3660" w:type="pct"/>
            <w:vAlign w:val="center"/>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2.5.支持声衰减成像技术，可对肝脏组织的衰减系数进行测量及可视化显示，用</w:t>
            </w:r>
            <w:r>
              <w:rPr>
                <w:rFonts w:hint="eastAsia" w:ascii="宋体" w:hAnsi="宋体" w:cs="宋体"/>
                <w:b w:val="0"/>
                <w:bCs w:val="0"/>
                <w:color w:val="000000" w:themeColor="text1"/>
                <w:sz w:val="21"/>
                <w:szCs w:val="21"/>
                <w:lang w:val="en-US" w:eastAsia="zh-CN"/>
                <w14:textFill>
                  <w14:solidFill>
                    <w14:schemeClr w14:val="tx1"/>
                  </w14:solidFill>
                </w14:textFill>
              </w:rPr>
              <w:t>于</w:t>
            </w:r>
            <w:r>
              <w:rPr>
                <w:rFonts w:hint="eastAsia" w:ascii="宋体" w:hAnsi="宋体" w:eastAsia="宋体" w:cs="宋体"/>
                <w:b w:val="0"/>
                <w:bCs w:val="0"/>
                <w:color w:val="000000" w:themeColor="text1"/>
                <w:sz w:val="21"/>
                <w:szCs w:val="21"/>
                <w14:textFill>
                  <w14:solidFill>
                    <w14:schemeClr w14:val="tx1"/>
                  </w14:solidFill>
                </w14:textFill>
              </w:rPr>
              <w:t>脂肪肝和肝纤维化的量化评估诊断</w:t>
            </w:r>
            <w:r>
              <w:rPr>
                <w:rFonts w:hint="eastAsia" w:ascii="宋体" w:hAnsi="宋体" w:eastAsia="宋体" w:cs="宋体"/>
                <w:b w:val="0"/>
                <w:bCs w:val="0"/>
                <w:color w:val="FF0000"/>
                <w:sz w:val="21"/>
                <w:szCs w:val="21"/>
              </w:rPr>
              <w:t>（提供证明材料：生产厂商盖章的技术白皮书）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60"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15</w:t>
            </w:r>
          </w:p>
        </w:tc>
        <w:tc>
          <w:tcPr>
            <w:tcW w:w="779"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3660" w:type="pct"/>
            <w:vMerge w:val="restart"/>
            <w:vAlign w:val="center"/>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3.系统技术参数及要求：</w:t>
            </w:r>
          </w:p>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3.1.二维灰阶模式最大帧率：≥650 帧/秒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60"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16</w:t>
            </w:r>
          </w:p>
        </w:tc>
        <w:tc>
          <w:tcPr>
            <w:tcW w:w="779"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3660" w:type="pct"/>
            <w:vMerge w:val="continue"/>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60"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17</w:t>
            </w:r>
          </w:p>
        </w:tc>
        <w:tc>
          <w:tcPr>
            <w:tcW w:w="779"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3660"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3.1.1.TGC：≥8段，LGC：≥8段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0"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18</w:t>
            </w:r>
          </w:p>
        </w:tc>
        <w:tc>
          <w:tcPr>
            <w:tcW w:w="779"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3660"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3.2.彩色多普勒成像显示方式：B/C、B/C/M、B/POWER、B/C/PW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60"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19</w:t>
            </w:r>
          </w:p>
        </w:tc>
        <w:tc>
          <w:tcPr>
            <w:tcW w:w="779"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3660"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3.2.1.彩色多普勒成像模式下线阵探头取样框偏转：≥±30度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60"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20</w:t>
            </w:r>
          </w:p>
        </w:tc>
        <w:tc>
          <w:tcPr>
            <w:tcW w:w="779"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3660"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3.3.频谱多普勒模式显示方式：B，PW，B/PW，B/C/PW，B/CW，B/C/CW等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60"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21</w:t>
            </w:r>
          </w:p>
        </w:tc>
        <w:tc>
          <w:tcPr>
            <w:tcW w:w="779"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3660"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3.3.1.最大速度：≥7.60m/s（连续多普勒速度：≥30m/s），最小速度：≤1 mm/s（非噪声信号）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60"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22</w:t>
            </w:r>
          </w:p>
        </w:tc>
        <w:tc>
          <w:tcPr>
            <w:tcW w:w="779"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3660"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3.3.2.取样容积：</w:t>
            </w:r>
            <w:r>
              <w:rPr>
                <w:rFonts w:hint="eastAsia" w:ascii="宋体" w:hAnsi="宋体" w:cs="宋体"/>
                <w:b w:val="0"/>
                <w:bCs w:val="0"/>
                <w:color w:val="000000" w:themeColor="text1"/>
                <w:sz w:val="21"/>
                <w:szCs w:val="21"/>
                <w:lang w:val="en-US" w:eastAsia="zh-CN"/>
                <w14:textFill>
                  <w14:solidFill>
                    <w14:schemeClr w14:val="tx1"/>
                  </w14:solidFill>
                </w14:textFill>
              </w:rPr>
              <w:t>至少包含</w:t>
            </w:r>
            <w:r>
              <w:rPr>
                <w:rFonts w:hint="eastAsia" w:ascii="宋体" w:hAnsi="宋体" w:eastAsia="宋体" w:cs="宋体"/>
                <w:b w:val="0"/>
                <w:bCs w:val="0"/>
                <w:color w:val="000000" w:themeColor="text1"/>
                <w:sz w:val="21"/>
                <w:szCs w:val="21"/>
                <w14:textFill>
                  <w14:solidFill>
                    <w14:schemeClr w14:val="tx1"/>
                  </w14:solidFill>
                </w14:textFill>
              </w:rPr>
              <w:t>0.5-30mm，支持</w:t>
            </w:r>
            <w:r>
              <w:rPr>
                <w:rFonts w:hint="eastAsia" w:ascii="宋体" w:hAnsi="宋体" w:cs="宋体"/>
                <w:b w:val="0"/>
                <w:bCs w:val="0"/>
                <w:color w:val="000000" w:themeColor="text1"/>
                <w:sz w:val="21"/>
                <w:szCs w:val="21"/>
                <w:lang w:eastAsia="zh-CN"/>
                <w14:textFill>
                  <w14:solidFill>
                    <w14:schemeClr w14:val="tx1"/>
                  </w14:solidFill>
                </w14:textFill>
              </w:rPr>
              <w:t>配置中的</w:t>
            </w:r>
            <w:r>
              <w:rPr>
                <w:rFonts w:hint="eastAsia" w:ascii="宋体" w:hAnsi="宋体" w:eastAsia="宋体" w:cs="宋体"/>
                <w:b w:val="0"/>
                <w:bCs w:val="0"/>
                <w:color w:val="000000" w:themeColor="text1"/>
                <w:sz w:val="21"/>
                <w:szCs w:val="21"/>
                <w14:textFill>
                  <w14:solidFill>
                    <w14:schemeClr w14:val="tx1"/>
                  </w14:solidFill>
                </w14:textFill>
              </w:rPr>
              <w:t>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60"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23</w:t>
            </w:r>
          </w:p>
        </w:tc>
        <w:tc>
          <w:tcPr>
            <w:tcW w:w="779"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3660"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3.3.3.频谱多普勒模式下线阵探头取样框偏转：≥±30度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60"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24</w:t>
            </w:r>
          </w:p>
        </w:tc>
        <w:tc>
          <w:tcPr>
            <w:tcW w:w="779"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3660"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3.4.剪切波弹性成像：支持二维实时剪切波和单点式剪切波成像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60" w:type="pct"/>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w:t>
            </w:r>
            <w:r>
              <w:rPr>
                <w:rFonts w:hint="eastAsia" w:ascii="宋体" w:hAnsi="宋体" w:eastAsia="宋体" w:cs="宋体"/>
                <w:b w:val="0"/>
                <w:bCs w:val="0"/>
                <w:color w:val="000000" w:themeColor="text1"/>
                <w:sz w:val="21"/>
                <w:szCs w:val="21"/>
                <w:lang w:val="en-US" w:eastAsia="zh-CN"/>
                <w14:textFill>
                  <w14:solidFill>
                    <w14:schemeClr w14:val="tx1"/>
                  </w14:solidFill>
                </w14:textFill>
              </w:rPr>
              <w:t>5</w:t>
            </w:r>
          </w:p>
        </w:tc>
        <w:tc>
          <w:tcPr>
            <w:tcW w:w="779"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3660"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3.4.</w:t>
            </w: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r>
              <w:rPr>
                <w:rFonts w:hint="eastAsia" w:ascii="宋体" w:hAnsi="宋体" w:eastAsia="宋体" w:cs="宋体"/>
                <w:b w:val="0"/>
                <w:bCs w:val="0"/>
                <w:color w:val="000000" w:themeColor="text1"/>
                <w:sz w:val="21"/>
                <w:szCs w:val="21"/>
                <w14:textFill>
                  <w14:solidFill>
                    <w14:schemeClr w14:val="tx1"/>
                  </w14:solidFill>
                </w14:textFill>
              </w:rPr>
              <w:t>支持在同一切面下同时进行应变式弹性成像和剪切波弹性成像并实时双幅显示</w:t>
            </w:r>
            <w:r>
              <w:rPr>
                <w:rFonts w:hint="eastAsia" w:ascii="宋体" w:hAnsi="宋体" w:eastAsia="宋体" w:cs="宋体"/>
                <w:b w:val="0"/>
                <w:bCs w:val="0"/>
                <w:color w:val="FF0000"/>
                <w:sz w:val="21"/>
                <w:szCs w:val="21"/>
              </w:rPr>
              <w:t>（提供证明材料：生产厂商盖章的技术白皮书）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60" w:type="pct"/>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w:t>
            </w:r>
            <w:r>
              <w:rPr>
                <w:rFonts w:hint="eastAsia" w:ascii="宋体" w:hAnsi="宋体" w:eastAsia="宋体" w:cs="宋体"/>
                <w:b w:val="0"/>
                <w:bCs w:val="0"/>
                <w:color w:val="000000" w:themeColor="text1"/>
                <w:sz w:val="21"/>
                <w:szCs w:val="21"/>
                <w:lang w:val="en-US" w:eastAsia="zh-CN"/>
                <w14:textFill>
                  <w14:solidFill>
                    <w14:schemeClr w14:val="tx1"/>
                  </w14:solidFill>
                </w14:textFill>
              </w:rPr>
              <w:t>6</w:t>
            </w:r>
          </w:p>
        </w:tc>
        <w:tc>
          <w:tcPr>
            <w:tcW w:w="779"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3660"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w:t>
            </w:r>
            <w:r>
              <w:rPr>
                <w:rFonts w:hint="eastAsia" w:ascii="宋体" w:hAnsi="宋体" w:eastAsia="宋体" w:cs="宋体"/>
                <w:b w:val="0"/>
                <w:bCs w:val="0"/>
                <w:color w:val="000000" w:themeColor="text1"/>
                <w:sz w:val="21"/>
                <w:szCs w:val="21"/>
                <w:lang w:val="en-US" w:eastAsia="zh-CN"/>
                <w14:textFill>
                  <w14:solidFill>
                    <w14:schemeClr w14:val="tx1"/>
                  </w14:solidFill>
                </w14:textFill>
              </w:rPr>
              <w:t>4</w:t>
            </w:r>
            <w:r>
              <w:rPr>
                <w:rFonts w:hint="eastAsia" w:ascii="宋体" w:hAnsi="宋体" w:eastAsia="宋体" w:cs="宋体"/>
                <w:b w:val="0"/>
                <w:bCs w:val="0"/>
                <w:color w:val="000000" w:themeColor="text1"/>
                <w:sz w:val="21"/>
                <w:szCs w:val="21"/>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2</w:t>
            </w:r>
            <w:r>
              <w:rPr>
                <w:rFonts w:hint="eastAsia" w:ascii="宋体" w:hAnsi="宋体" w:eastAsia="宋体" w:cs="宋体"/>
                <w:b w:val="0"/>
                <w:bCs w:val="0"/>
                <w:color w:val="000000" w:themeColor="text1"/>
                <w:sz w:val="21"/>
                <w:szCs w:val="21"/>
                <w14:textFill>
                  <w14:solidFill>
                    <w14:schemeClr w14:val="tx1"/>
                  </w14:solidFill>
                </w14:textFill>
              </w:rPr>
              <w:t>.具备造影成像功能：凸阵探头</w:t>
            </w:r>
            <w:r>
              <w:rPr>
                <w:rFonts w:hint="eastAsia" w:ascii="宋体" w:hAnsi="宋体" w:cs="宋体"/>
                <w:color w:val="000000" w:themeColor="text1"/>
                <w:szCs w:val="21"/>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10cm深度，</w:t>
            </w:r>
            <w:r>
              <w:rPr>
                <w:rFonts w:hint="eastAsia" w:ascii="宋体" w:hAnsi="宋体" w:cs="宋体"/>
                <w:b w:val="0"/>
                <w:bCs w:val="0"/>
                <w:color w:val="000000" w:themeColor="text1"/>
                <w:sz w:val="21"/>
                <w:szCs w:val="21"/>
                <w:lang w:eastAsia="zh-CN"/>
                <w14:textFill>
                  <w14:solidFill>
                    <w14:schemeClr w14:val="tx1"/>
                  </w14:solidFill>
                </w14:textFill>
              </w:rPr>
              <w:t>且</w:t>
            </w:r>
            <w:r>
              <w:rPr>
                <w:rFonts w:hint="eastAsia" w:ascii="宋体" w:hAnsi="宋体" w:eastAsia="宋体" w:cs="宋体"/>
                <w:b w:val="0"/>
                <w:bCs w:val="0"/>
                <w:color w:val="000000" w:themeColor="text1"/>
                <w:sz w:val="21"/>
                <w:szCs w:val="21"/>
                <w14:textFill>
                  <w14:solidFill>
                    <w14:schemeClr w14:val="tx1"/>
                  </w14:solidFill>
                </w14:textFill>
              </w:rPr>
              <w:t>扫描角度</w:t>
            </w:r>
            <w:r>
              <w:rPr>
                <w:rFonts w:hint="eastAsia" w:ascii="宋体" w:hAnsi="宋体" w:cs="宋体"/>
                <w:color w:val="000000" w:themeColor="text1"/>
                <w:szCs w:val="21"/>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45°，帧率≥30帧/秒；线阵探头</w:t>
            </w:r>
            <w:r>
              <w:rPr>
                <w:rFonts w:hint="eastAsia" w:ascii="宋体" w:hAnsi="宋体" w:cs="宋体"/>
                <w:color w:val="000000" w:themeColor="text1"/>
                <w:szCs w:val="21"/>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4cm深度，帧率≥50帧/秒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60" w:type="pct"/>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w:t>
            </w:r>
            <w:r>
              <w:rPr>
                <w:rFonts w:hint="eastAsia" w:ascii="宋体" w:hAnsi="宋体" w:eastAsia="宋体" w:cs="宋体"/>
                <w:b w:val="0"/>
                <w:bCs w:val="0"/>
                <w:color w:val="000000" w:themeColor="text1"/>
                <w:sz w:val="21"/>
                <w:szCs w:val="21"/>
                <w:lang w:val="en-US" w:eastAsia="zh-CN"/>
                <w14:textFill>
                  <w14:solidFill>
                    <w14:schemeClr w14:val="tx1"/>
                  </w14:solidFill>
                </w14:textFill>
              </w:rPr>
              <w:t>7</w:t>
            </w:r>
          </w:p>
        </w:tc>
        <w:tc>
          <w:tcPr>
            <w:tcW w:w="779"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3660" w:type="pct"/>
            <w:vMerge w:val="restar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4.探头规格：</w:t>
            </w:r>
          </w:p>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4.1.探头频率最高可支持≥30MHz</w:t>
            </w:r>
            <w:r>
              <w:rPr>
                <w:rFonts w:hint="eastAsia" w:ascii="宋体" w:hAnsi="宋体" w:eastAsia="宋体" w:cs="宋体"/>
                <w:b w:val="0"/>
                <w:bCs w:val="0"/>
                <w:color w:val="FF0000"/>
                <w:sz w:val="21"/>
                <w:szCs w:val="21"/>
              </w:rPr>
              <w:t>（提供证明材料：</w:t>
            </w:r>
            <w:r>
              <w:rPr>
                <w:rFonts w:hint="eastAsia" w:ascii="宋体" w:hAnsi="宋体" w:eastAsia="宋体" w:cs="宋体"/>
                <w:b w:val="0"/>
                <w:bCs w:val="0"/>
                <w:color w:val="FF0000"/>
                <w:sz w:val="21"/>
                <w:szCs w:val="21"/>
                <w:lang w:val="en-US" w:eastAsia="zh-CN"/>
              </w:rPr>
              <w:t>注册证附页的详细技术参数清单</w:t>
            </w:r>
            <w:r>
              <w:rPr>
                <w:rFonts w:hint="eastAsia" w:ascii="宋体" w:hAnsi="宋体" w:eastAsia="宋体" w:cs="宋体"/>
                <w:b w:val="0"/>
                <w:bCs w:val="0"/>
                <w:color w:val="FF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60" w:type="pct"/>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28</w:t>
            </w:r>
          </w:p>
        </w:tc>
        <w:tc>
          <w:tcPr>
            <w:tcW w:w="779"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3660" w:type="pct"/>
            <w:vMerge w:val="continue"/>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60" w:type="pct"/>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29</w:t>
            </w:r>
          </w:p>
        </w:tc>
        <w:tc>
          <w:tcPr>
            <w:tcW w:w="779"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3660"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4.2.探头频率：①单晶体凸阵探头：带宽：</w:t>
            </w:r>
            <w:r>
              <w:rPr>
                <w:rFonts w:hint="eastAsia" w:ascii="宋体" w:hAnsi="宋体" w:cs="宋体"/>
                <w:b w:val="0"/>
                <w:bCs w:val="0"/>
                <w:color w:val="000000" w:themeColor="text1"/>
                <w:sz w:val="21"/>
                <w:szCs w:val="21"/>
                <w:lang w:val="en-US" w:eastAsia="zh-CN"/>
                <w14:textFill>
                  <w14:solidFill>
                    <w14:schemeClr w14:val="tx1"/>
                  </w14:solidFill>
                </w14:textFill>
              </w:rPr>
              <w:t>至少包含</w:t>
            </w:r>
            <w:r>
              <w:rPr>
                <w:rFonts w:hint="eastAsia" w:ascii="宋体" w:hAnsi="宋体" w:eastAsia="宋体" w:cs="宋体"/>
                <w:b w:val="0"/>
                <w:bCs w:val="0"/>
                <w:color w:val="000000" w:themeColor="text1"/>
                <w:sz w:val="21"/>
                <w:szCs w:val="21"/>
                <w14:textFill>
                  <w14:solidFill>
                    <w14:schemeClr w14:val="tx1"/>
                  </w14:solidFill>
                </w14:textFill>
              </w:rPr>
              <w:t>1.2-6.0MHz，角度≥72°；②单晶体相控阵探头：带宽</w:t>
            </w:r>
            <w:r>
              <w:rPr>
                <w:rFonts w:hint="eastAsia" w:ascii="宋体" w:hAnsi="宋体" w:cs="宋体"/>
                <w:b w:val="0"/>
                <w:bCs w:val="0"/>
                <w:color w:val="000000" w:themeColor="text1"/>
                <w:sz w:val="21"/>
                <w:szCs w:val="21"/>
                <w:lang w:val="en-US" w:eastAsia="zh-CN"/>
                <w14:textFill>
                  <w14:solidFill>
                    <w14:schemeClr w14:val="tx1"/>
                  </w14:solidFill>
                </w14:textFill>
              </w:rPr>
              <w:t>至少包含</w:t>
            </w:r>
            <w:r>
              <w:rPr>
                <w:rFonts w:hint="eastAsia" w:ascii="宋体" w:hAnsi="宋体" w:eastAsia="宋体" w:cs="宋体"/>
                <w:b w:val="0"/>
                <w:bCs w:val="0"/>
                <w:color w:val="000000" w:themeColor="text1"/>
                <w:sz w:val="21"/>
                <w:szCs w:val="21"/>
                <w14:textFill>
                  <w14:solidFill>
                    <w14:schemeClr w14:val="tx1"/>
                  </w14:solidFill>
                </w14:textFill>
              </w:rPr>
              <w:t>1.5- 4.5MHz，角度≥90°；③高频线阵探头：带宽：</w:t>
            </w:r>
            <w:r>
              <w:rPr>
                <w:rFonts w:hint="eastAsia" w:ascii="宋体" w:hAnsi="宋体" w:cs="宋体"/>
                <w:b w:val="0"/>
                <w:bCs w:val="0"/>
                <w:color w:val="000000" w:themeColor="text1"/>
                <w:sz w:val="21"/>
                <w:szCs w:val="21"/>
                <w:lang w:val="en-US" w:eastAsia="zh-CN"/>
                <w14:textFill>
                  <w14:solidFill>
                    <w14:schemeClr w14:val="tx1"/>
                  </w14:solidFill>
                </w14:textFill>
              </w:rPr>
              <w:t>至少包含</w:t>
            </w:r>
            <w:r>
              <w:rPr>
                <w:rFonts w:hint="eastAsia" w:ascii="宋体" w:hAnsi="宋体" w:eastAsia="宋体" w:cs="宋体"/>
                <w:b w:val="0"/>
                <w:bCs w:val="0"/>
                <w:color w:val="000000" w:themeColor="text1"/>
                <w:sz w:val="21"/>
                <w:szCs w:val="21"/>
                <w14:textFill>
                  <w14:solidFill>
                    <w14:schemeClr w14:val="tx1"/>
                  </w14:solidFill>
                </w14:textFill>
              </w:rPr>
              <w:t>3.8-13 MHz；④</w:t>
            </w:r>
            <w:r>
              <w:rPr>
                <w:rFonts w:hint="eastAsia" w:ascii="宋体" w:hAnsi="宋体" w:eastAsia="宋体" w:cs="宋体"/>
                <w:b w:val="0"/>
                <w:bCs w:val="0"/>
                <w:color w:val="auto"/>
                <w:sz w:val="21"/>
                <w:szCs w:val="21"/>
              </w:rPr>
              <w:t>腔内</w:t>
            </w:r>
            <w:r>
              <w:rPr>
                <w:rFonts w:hint="eastAsia" w:ascii="宋体" w:hAnsi="宋体" w:cs="宋体"/>
                <w:b w:val="0"/>
                <w:bCs w:val="0"/>
                <w:color w:val="auto"/>
                <w:sz w:val="21"/>
                <w:szCs w:val="21"/>
                <w:lang w:eastAsia="zh-CN"/>
              </w:rPr>
              <w:t>二维</w:t>
            </w:r>
            <w:r>
              <w:rPr>
                <w:rFonts w:hint="eastAsia" w:ascii="宋体" w:hAnsi="宋体" w:eastAsia="宋体" w:cs="宋体"/>
                <w:b w:val="0"/>
                <w:bCs w:val="0"/>
                <w:color w:val="auto"/>
                <w:sz w:val="21"/>
                <w:szCs w:val="21"/>
              </w:rPr>
              <w:t>探头</w:t>
            </w:r>
            <w:r>
              <w:rPr>
                <w:rFonts w:hint="eastAsia" w:ascii="宋体" w:hAnsi="宋体" w:eastAsia="宋体" w:cs="宋体"/>
                <w:b w:val="0"/>
                <w:bCs w:val="0"/>
                <w:color w:val="000000" w:themeColor="text1"/>
                <w:sz w:val="21"/>
                <w:szCs w:val="21"/>
                <w14:textFill>
                  <w14:solidFill>
                    <w14:schemeClr w14:val="tx1"/>
                  </w14:solidFill>
                </w14:textFill>
              </w:rPr>
              <w:t>：带宽：</w:t>
            </w:r>
            <w:r>
              <w:rPr>
                <w:rFonts w:hint="eastAsia" w:ascii="宋体" w:hAnsi="宋体" w:cs="宋体"/>
                <w:b w:val="0"/>
                <w:bCs w:val="0"/>
                <w:color w:val="000000" w:themeColor="text1"/>
                <w:sz w:val="21"/>
                <w:szCs w:val="21"/>
                <w:lang w:val="en-US" w:eastAsia="zh-CN"/>
                <w14:textFill>
                  <w14:solidFill>
                    <w14:schemeClr w14:val="tx1"/>
                  </w14:solidFill>
                </w14:textFill>
              </w:rPr>
              <w:t>至少包含</w:t>
            </w:r>
            <w:r>
              <w:rPr>
                <w:rFonts w:hint="eastAsia" w:ascii="宋体" w:hAnsi="宋体" w:eastAsia="宋体" w:cs="宋体"/>
                <w:b w:val="0"/>
                <w:bCs w:val="0"/>
                <w:color w:val="000000" w:themeColor="text1"/>
                <w:sz w:val="21"/>
                <w:szCs w:val="21"/>
                <w14:textFill>
                  <w14:solidFill>
                    <w14:schemeClr w14:val="tx1"/>
                  </w14:solidFill>
                </w14:textFill>
              </w:rPr>
              <w:t>3.0-11.0 MHz，角度≥180°；⑤小儿心脏探头：带宽：</w:t>
            </w:r>
            <w:r>
              <w:rPr>
                <w:rFonts w:hint="eastAsia" w:ascii="宋体" w:hAnsi="宋体" w:cs="宋体"/>
                <w:b w:val="0"/>
                <w:bCs w:val="0"/>
                <w:color w:val="000000" w:themeColor="text1"/>
                <w:sz w:val="21"/>
                <w:szCs w:val="21"/>
                <w:lang w:val="en-US" w:eastAsia="zh-CN"/>
                <w14:textFill>
                  <w14:solidFill>
                    <w14:schemeClr w14:val="tx1"/>
                  </w14:solidFill>
                </w14:textFill>
              </w:rPr>
              <w:t>至少包含</w:t>
            </w:r>
            <w:r>
              <w:rPr>
                <w:rFonts w:hint="eastAsia" w:ascii="宋体" w:hAnsi="宋体" w:eastAsia="宋体" w:cs="宋体"/>
                <w:b w:val="0"/>
                <w:bCs w:val="0"/>
                <w:color w:val="000000" w:themeColor="text1"/>
                <w:sz w:val="21"/>
                <w:szCs w:val="21"/>
                <w14:textFill>
                  <w14:solidFill>
                    <w14:schemeClr w14:val="tx1"/>
                  </w14:solidFill>
                </w14:textFill>
              </w:rPr>
              <w:t>2.3-8.0 MHz</w:t>
            </w:r>
          </w:p>
        </w:tc>
      </w:tr>
      <w:bookmarkEnd w:id="44"/>
    </w:tbl>
    <w:p>
      <w:pPr>
        <w:rPr>
          <w:rFonts w:ascii="Times New Roman" w:hAnsi="Times New Roman" w:eastAsia="宋体" w:cs="Times New Roman"/>
          <w:b/>
          <w:szCs w:val="21"/>
        </w:rPr>
      </w:pPr>
    </w:p>
    <w:p>
      <w:pPr>
        <w:rPr>
          <w:rFonts w:ascii="Times New Roman" w:hAnsi="Times New Roman" w:eastAsia="宋体" w:cs="Times New Roman"/>
          <w:b/>
          <w:szCs w:val="21"/>
        </w:rPr>
      </w:pPr>
    </w:p>
    <w:p>
      <w:pPr>
        <w:keepNext/>
        <w:keepLines/>
        <w:widowControl w:val="0"/>
        <w:adjustRightInd w:val="0"/>
        <w:spacing w:before="120" w:beforeLines="50" w:after="120" w:afterLines="50" w:line="240" w:lineRule="auto"/>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五、商务要求</w:t>
      </w:r>
    </w:p>
    <w:p>
      <w:pPr>
        <w:ind w:firstLine="422" w:firstLineChars="200"/>
        <w:rPr>
          <w:rFonts w:ascii="Times New Roman" w:hAnsi="Times New Roman" w:eastAsia="宋体" w:cs="Times New Roman"/>
          <w:b/>
          <w:szCs w:val="21"/>
        </w:rPr>
      </w:pPr>
      <w:r>
        <w:rPr>
          <w:rFonts w:hint="eastAsia" w:ascii="Times New Roman" w:hAnsi="Times New Roman" w:eastAsia="宋体" w:cs="Times New Roman"/>
          <w:b/>
          <w:szCs w:val="21"/>
        </w:rPr>
        <w:t>说明：带★号条款为不可偏离条款，不作为评分准则中的评分内容</w:t>
      </w:r>
      <w:r>
        <w:rPr>
          <w:rFonts w:hint="eastAsia" w:ascii="Times New Roman" w:hAnsi="Times New Roman" w:eastAsia="宋体" w:cs="Times New Roman"/>
          <w:b/>
          <w:szCs w:val="21"/>
          <w:lang w:eastAsia="zh-CN"/>
        </w:rPr>
        <w:t>，</w:t>
      </w:r>
      <w:r>
        <w:rPr>
          <w:rFonts w:hint="eastAsia" w:ascii="Times New Roman" w:hAnsi="Times New Roman" w:eastAsia="宋体" w:cs="Times New Roman"/>
          <w:b/>
          <w:szCs w:val="21"/>
        </w:rPr>
        <w:t>如未响应或出现负偏离的，将作投标无效处理。</w:t>
      </w:r>
    </w:p>
    <w:tbl>
      <w:tblPr>
        <w:tblStyle w:val="44"/>
        <w:tblW w:w="83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51"/>
        <w:gridCol w:w="1406"/>
        <w:gridCol w:w="6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457" w:type="dxa"/>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商务需求项</w:t>
            </w:r>
          </w:p>
        </w:tc>
        <w:tc>
          <w:tcPr>
            <w:tcW w:w="601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招标商务要求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316" w:type="dxa"/>
            <w:gridSpan w:val="4"/>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4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1457" w:type="dxa"/>
            <w:gridSpan w:val="2"/>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维修响应及故障解决时间</w:t>
            </w:r>
          </w:p>
        </w:tc>
        <w:tc>
          <w:tcPr>
            <w:tcW w:w="6019"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在免费保修期内，一旦发生质量问题，中标人保证在接到通知48小时内赶到现场进行修理或更换。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40" w:type="dxa"/>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457" w:type="dxa"/>
            <w:gridSpan w:val="2"/>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免费保修期</w:t>
            </w:r>
          </w:p>
        </w:tc>
        <w:tc>
          <w:tcPr>
            <w:tcW w:w="6019"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★1.货物免费保修期</w:t>
            </w:r>
            <w:r>
              <w:rPr>
                <w:rFonts w:hint="eastAsia" w:ascii="宋体" w:hAnsi="宋体" w:eastAsia="宋体" w:cs="宋体"/>
                <w:bCs/>
                <w:color w:val="auto"/>
                <w:sz w:val="21"/>
                <w:szCs w:val="21"/>
                <w:u w:val="single"/>
              </w:rPr>
              <w:t>5</w:t>
            </w:r>
            <w:r>
              <w:rPr>
                <w:rFonts w:hint="eastAsia" w:ascii="宋体" w:hAnsi="宋体" w:eastAsia="宋体" w:cs="宋体"/>
                <w:bCs/>
                <w:color w:val="auto"/>
                <w:sz w:val="21"/>
                <w:szCs w:val="21"/>
              </w:rPr>
              <w:t>年，时间自最终验收合格并交付使用之日起计算。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40"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rPr>
            </w:pPr>
          </w:p>
        </w:tc>
        <w:tc>
          <w:tcPr>
            <w:tcW w:w="1457" w:type="dxa"/>
            <w:gridSpan w:val="2"/>
            <w:vMerge w:val="continue"/>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p>
        </w:tc>
        <w:tc>
          <w:tcPr>
            <w:tcW w:w="6019" w:type="dxa"/>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★2.免费保修期内，</w:t>
            </w:r>
            <w:r>
              <w:rPr>
                <w:rFonts w:hint="eastAsia" w:ascii="宋体" w:hAnsi="宋体" w:eastAsia="宋体" w:cs="宋体"/>
                <w:color w:val="auto"/>
                <w:sz w:val="21"/>
                <w:szCs w:val="21"/>
              </w:rPr>
              <w:t>所有服务及配件全部免费。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4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3</w:t>
            </w:r>
          </w:p>
        </w:tc>
        <w:tc>
          <w:tcPr>
            <w:tcW w:w="1457" w:type="dxa"/>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技术文件</w:t>
            </w:r>
          </w:p>
        </w:tc>
        <w:tc>
          <w:tcPr>
            <w:tcW w:w="6019" w:type="dxa"/>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供应商应提供全套、完整的书面技术资料，包括仪器说明书、操作手册、简单维修说明、图纸等。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4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1457" w:type="dxa"/>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安装调试</w:t>
            </w:r>
          </w:p>
        </w:tc>
        <w:tc>
          <w:tcPr>
            <w:tcW w:w="6019" w:type="dxa"/>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在质保期内，投标人须保证设备的开机率＞95%；若不能达到此开机率，将作以下处理：（1）90%＜开机率≤95%按一赔二延长质保期；（2）85%＜开机率≤90%按一赔五延长质保期；（3）开机率低于85%，供应商须无条件更换新机，并重新计算质保期，以及赔偿用户的直接经济损失和间接经济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6" w:type="dxa"/>
            <w:gridSpan w:val="4"/>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gridSpan w:val="2"/>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1406" w:type="dxa"/>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Style w:val="48"/>
                <w:rFonts w:hint="eastAsia" w:ascii="宋体" w:hAnsi="宋体" w:eastAsia="宋体" w:cs="宋体"/>
                <w:b w:val="0"/>
                <w:color w:val="auto"/>
                <w:sz w:val="21"/>
                <w:szCs w:val="21"/>
              </w:rPr>
              <w:t>维修零配件、消耗品和延续保修合同的报价</w:t>
            </w:r>
          </w:p>
        </w:tc>
        <w:tc>
          <w:tcPr>
            <w:tcW w:w="6019" w:type="dxa"/>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1.1由设备制造商提供售后服务，</w:t>
            </w:r>
            <w:r>
              <w:rPr>
                <w:rFonts w:hint="eastAsia" w:ascii="宋体" w:hAnsi="宋体" w:eastAsia="宋体" w:cs="宋体"/>
                <w:color w:val="auto"/>
                <w:sz w:val="21"/>
                <w:szCs w:val="21"/>
                <w:u w:val="single"/>
              </w:rPr>
              <w:t xml:space="preserve"> 1 </w:t>
            </w:r>
            <w:r>
              <w:rPr>
                <w:rFonts w:hint="eastAsia" w:ascii="宋体" w:hAnsi="宋体" w:eastAsia="宋体" w:cs="宋体"/>
                <w:color w:val="auto"/>
                <w:sz w:val="21"/>
                <w:szCs w:val="21"/>
              </w:rPr>
              <w:t>小时内响应，</w:t>
            </w:r>
            <w:r>
              <w:rPr>
                <w:rFonts w:hint="eastAsia" w:ascii="宋体" w:hAnsi="宋体" w:eastAsia="宋体" w:cs="宋体"/>
                <w:color w:val="auto"/>
                <w:sz w:val="21"/>
                <w:szCs w:val="21"/>
                <w:u w:val="single"/>
              </w:rPr>
              <w:t> 24 </w:t>
            </w:r>
            <w:r>
              <w:rPr>
                <w:rFonts w:hint="eastAsia" w:ascii="宋体" w:hAnsi="宋体" w:eastAsia="宋体" w:cs="宋体"/>
                <w:color w:val="auto"/>
                <w:sz w:val="21"/>
                <w:szCs w:val="21"/>
              </w:rPr>
              <w:t>小时维修到位，并在48小时内消除故障（不可抗力情况除外）。消耗品和零配件供应及时，特殊情况下可提供备用机。在境内有相对应的零配件保税库，于中标后出具证明文件。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gridSpan w:val="2"/>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rPr>
            </w:pPr>
          </w:p>
        </w:tc>
        <w:tc>
          <w:tcPr>
            <w:tcW w:w="1406" w:type="dxa"/>
            <w:vMerge w:val="continue"/>
            <w:vAlign w:val="center"/>
          </w:tcPr>
          <w:p>
            <w:pPr>
              <w:keepNext w:val="0"/>
              <w:keepLines w:val="0"/>
              <w:pageBreakBefore w:val="0"/>
              <w:kinsoku/>
              <w:wordWrap/>
              <w:overflowPunct/>
              <w:topLinePunct w:val="0"/>
              <w:autoSpaceDE/>
              <w:autoSpaceDN/>
              <w:bidi w:val="0"/>
              <w:adjustRightInd/>
              <w:snapToGrid/>
              <w:spacing w:line="240" w:lineRule="auto"/>
              <w:textAlignment w:val="auto"/>
              <w:rPr>
                <w:rStyle w:val="48"/>
                <w:rFonts w:hint="eastAsia" w:ascii="宋体" w:hAnsi="宋体" w:eastAsia="宋体" w:cs="宋体"/>
                <w:color w:val="auto"/>
                <w:sz w:val="21"/>
                <w:szCs w:val="21"/>
              </w:rPr>
            </w:pPr>
          </w:p>
        </w:tc>
        <w:tc>
          <w:tcPr>
            <w:tcW w:w="6019" w:type="dxa"/>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2.提供备品备件清单, 提供消耗品优惠价格，提供零配件优惠价格。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gridSpan w:val="2"/>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rPr>
            </w:pPr>
          </w:p>
        </w:tc>
        <w:tc>
          <w:tcPr>
            <w:tcW w:w="1406" w:type="dxa"/>
            <w:vMerge w:val="continue"/>
            <w:vAlign w:val="center"/>
          </w:tcPr>
          <w:p>
            <w:pPr>
              <w:keepNext w:val="0"/>
              <w:keepLines w:val="0"/>
              <w:pageBreakBefore w:val="0"/>
              <w:kinsoku/>
              <w:wordWrap/>
              <w:overflowPunct/>
              <w:topLinePunct w:val="0"/>
              <w:autoSpaceDE/>
              <w:autoSpaceDN/>
              <w:bidi w:val="0"/>
              <w:adjustRightInd/>
              <w:snapToGrid/>
              <w:spacing w:line="240" w:lineRule="auto"/>
              <w:textAlignment w:val="auto"/>
              <w:rPr>
                <w:rStyle w:val="48"/>
                <w:rFonts w:hint="eastAsia" w:ascii="宋体" w:hAnsi="宋体" w:eastAsia="宋体" w:cs="宋体"/>
                <w:color w:val="auto"/>
                <w:sz w:val="21"/>
                <w:szCs w:val="21"/>
              </w:rPr>
            </w:pPr>
          </w:p>
        </w:tc>
        <w:tc>
          <w:tcPr>
            <w:tcW w:w="6019" w:type="dxa"/>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3.投标时，供应商承诺保修期外，能及时为采购人提供备品备件、专用试剂及耗材。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6" w:type="dxa"/>
            <w:gridSpan w:val="4"/>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gridSpan w:val="2"/>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bookmarkStart w:id="45" w:name="_Hlk72260973"/>
            <w:r>
              <w:rPr>
                <w:rFonts w:hint="eastAsia" w:ascii="宋体" w:hAnsi="宋体" w:eastAsia="宋体" w:cs="宋体"/>
                <w:bCs/>
                <w:color w:val="auto"/>
                <w:sz w:val="21"/>
                <w:szCs w:val="21"/>
              </w:rPr>
              <w:t>1</w:t>
            </w:r>
          </w:p>
        </w:tc>
        <w:tc>
          <w:tcPr>
            <w:tcW w:w="1406" w:type="dxa"/>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lang w:eastAsia="zh-CN"/>
              </w:rPr>
            </w:pPr>
            <w:r>
              <w:rPr>
                <w:rFonts w:hint="eastAsia" w:ascii="宋体" w:hAnsi="宋体" w:cs="宋体"/>
                <w:bCs/>
                <w:color w:val="auto"/>
                <w:sz w:val="21"/>
                <w:szCs w:val="21"/>
                <w:lang w:val="en-US" w:eastAsia="zh-CN"/>
              </w:rPr>
              <w:t>交货验收</w:t>
            </w:r>
          </w:p>
        </w:tc>
        <w:tc>
          <w:tcPr>
            <w:tcW w:w="6019" w:type="dxa"/>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★1.1履约时间和地点：投标供应商在签订合同之日起30天内交货，交货地点为</w:t>
            </w:r>
            <w:r>
              <w:rPr>
                <w:rFonts w:hint="eastAsia" w:ascii="宋体" w:hAnsi="宋体" w:eastAsia="宋体" w:cs="宋体"/>
                <w:color w:val="auto"/>
                <w:sz w:val="21"/>
                <w:szCs w:val="21"/>
                <w:u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8" w:hRule="atLeast"/>
          <w:jc w:val="center"/>
        </w:trPr>
        <w:tc>
          <w:tcPr>
            <w:tcW w:w="891" w:type="dxa"/>
            <w:gridSpan w:val="2"/>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406"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6019" w:type="dxa"/>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1.2付款期限和方式：</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auto"/>
                <w:szCs w:val="21"/>
              </w:rPr>
            </w:pPr>
            <w:r>
              <w:rPr>
                <w:rFonts w:hint="eastAsia" w:ascii="宋体" w:hAnsi="宋体" w:cs="宋体"/>
                <w:color w:val="auto"/>
                <w:szCs w:val="21"/>
              </w:rPr>
              <w:t>1.预付款支付</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auto"/>
                <w:szCs w:val="21"/>
              </w:rPr>
            </w:pPr>
            <w:r>
              <w:rPr>
                <w:rFonts w:hint="eastAsia" w:ascii="宋体" w:hAnsi="宋体" w:cs="宋体"/>
                <w:color w:val="auto"/>
                <w:szCs w:val="21"/>
              </w:rPr>
              <w:t>合同签订后，</w:t>
            </w:r>
            <w:r>
              <w:rPr>
                <w:rFonts w:hint="eastAsia" w:ascii="宋体" w:hAnsi="宋体" w:cs="宋体"/>
                <w:color w:val="auto"/>
                <w:szCs w:val="21"/>
                <w:lang w:eastAsia="zh-CN"/>
              </w:rPr>
              <w:t>中标人</w:t>
            </w:r>
            <w:r>
              <w:rPr>
                <w:rFonts w:hint="eastAsia" w:ascii="宋体" w:hAnsi="宋体" w:cs="宋体"/>
                <w:color w:val="auto"/>
                <w:szCs w:val="21"/>
              </w:rPr>
              <w:t>需向</w:t>
            </w:r>
            <w:r>
              <w:rPr>
                <w:rFonts w:hint="eastAsia" w:ascii="宋体" w:hAnsi="宋体" w:cs="宋体"/>
                <w:color w:val="auto"/>
                <w:szCs w:val="21"/>
                <w:lang w:eastAsia="zh-CN"/>
              </w:rPr>
              <w:t>采购人</w:t>
            </w:r>
            <w:r>
              <w:rPr>
                <w:rFonts w:hint="eastAsia" w:ascii="宋体" w:hAnsi="宋体" w:cs="宋体"/>
                <w:color w:val="auto"/>
                <w:szCs w:val="21"/>
              </w:rPr>
              <w:t>提供全额发票，</w:t>
            </w:r>
            <w:r>
              <w:rPr>
                <w:rFonts w:hint="eastAsia" w:ascii="宋体" w:hAnsi="宋体" w:cs="宋体"/>
                <w:color w:val="auto"/>
                <w:szCs w:val="21"/>
                <w:lang w:eastAsia="zh-CN"/>
              </w:rPr>
              <w:t>采购人</w:t>
            </w:r>
            <w:r>
              <w:rPr>
                <w:rFonts w:hint="eastAsia" w:ascii="宋体" w:hAnsi="宋体" w:cs="宋体"/>
                <w:color w:val="auto"/>
                <w:szCs w:val="21"/>
              </w:rPr>
              <w:t>在收到发票且财政资金到位后，向</w:t>
            </w:r>
            <w:r>
              <w:rPr>
                <w:rFonts w:hint="eastAsia" w:ascii="宋体" w:hAnsi="宋体" w:cs="宋体"/>
                <w:color w:val="auto"/>
                <w:szCs w:val="21"/>
                <w:lang w:eastAsia="zh-CN"/>
              </w:rPr>
              <w:t>中标人</w:t>
            </w:r>
            <w:r>
              <w:rPr>
                <w:rFonts w:hint="eastAsia" w:ascii="宋体" w:hAnsi="宋体" w:cs="宋体"/>
                <w:color w:val="auto"/>
                <w:szCs w:val="21"/>
              </w:rPr>
              <w:t>支付合同总金额50%的货物预付款。</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auto"/>
                <w:szCs w:val="21"/>
              </w:rPr>
            </w:pPr>
            <w:r>
              <w:rPr>
                <w:rFonts w:hint="eastAsia" w:ascii="宋体" w:hAnsi="宋体" w:cs="宋体"/>
                <w:color w:val="auto"/>
                <w:szCs w:val="21"/>
              </w:rPr>
              <w:t>2.进度款（尾款）支付</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auto"/>
                <w:szCs w:val="21"/>
              </w:rPr>
            </w:pPr>
            <w:r>
              <w:rPr>
                <w:rFonts w:hint="eastAsia" w:ascii="宋体" w:hAnsi="宋体" w:cs="宋体"/>
                <w:color w:val="auto"/>
                <w:szCs w:val="21"/>
                <w:lang w:eastAsia="zh-CN"/>
              </w:rPr>
              <w:t>中标人</w:t>
            </w:r>
            <w:r>
              <w:rPr>
                <w:rFonts w:hint="eastAsia" w:ascii="宋体" w:hAnsi="宋体" w:cs="宋体"/>
                <w:color w:val="auto"/>
                <w:szCs w:val="21"/>
              </w:rPr>
              <w:t>将货物运至指定地点、完成安装调试、设备运行合格并通过验收后，</w:t>
            </w:r>
            <w:r>
              <w:rPr>
                <w:rFonts w:hint="eastAsia" w:ascii="宋体" w:hAnsi="宋体" w:cs="宋体"/>
                <w:color w:val="auto"/>
                <w:szCs w:val="21"/>
                <w:lang w:eastAsia="zh-CN"/>
              </w:rPr>
              <w:t>采购人</w:t>
            </w:r>
            <w:r>
              <w:rPr>
                <w:rFonts w:hint="eastAsia" w:ascii="宋体" w:hAnsi="宋体" w:cs="宋体"/>
                <w:color w:val="auto"/>
                <w:szCs w:val="21"/>
              </w:rPr>
              <w:t>根据财政拨款时间支付剩余50%货款。具体规则如下：</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auto"/>
                <w:szCs w:val="21"/>
              </w:rPr>
            </w:pPr>
            <w:r>
              <w:rPr>
                <w:rFonts w:hint="eastAsia" w:ascii="宋体" w:hAnsi="宋体" w:cs="宋体"/>
                <w:color w:val="auto"/>
                <w:szCs w:val="21"/>
              </w:rPr>
              <w:t>2.1若财政资金足额到位且设备验收合格，</w:t>
            </w:r>
            <w:r>
              <w:rPr>
                <w:rFonts w:hint="eastAsia" w:ascii="宋体" w:hAnsi="宋体" w:cs="宋体"/>
                <w:color w:val="auto"/>
                <w:szCs w:val="21"/>
                <w:lang w:eastAsia="zh-CN"/>
              </w:rPr>
              <w:t>采购人</w:t>
            </w:r>
            <w:r>
              <w:rPr>
                <w:rFonts w:hint="eastAsia" w:ascii="宋体" w:hAnsi="宋体" w:cs="宋体"/>
                <w:color w:val="auto"/>
                <w:szCs w:val="21"/>
              </w:rPr>
              <w:t>按照财务审批流程支付剩余50%货款；</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auto"/>
                <w:szCs w:val="21"/>
              </w:rPr>
            </w:pPr>
            <w:r>
              <w:rPr>
                <w:rFonts w:hint="eastAsia" w:ascii="宋体" w:hAnsi="宋体" w:cs="宋体"/>
                <w:color w:val="auto"/>
                <w:szCs w:val="21"/>
              </w:rPr>
              <w:t>2.2若财政资金不足以支付尾款，</w:t>
            </w:r>
            <w:r>
              <w:rPr>
                <w:rFonts w:hint="eastAsia" w:ascii="宋体" w:hAnsi="宋体" w:cs="宋体"/>
                <w:color w:val="auto"/>
                <w:szCs w:val="21"/>
                <w:lang w:eastAsia="zh-CN"/>
              </w:rPr>
              <w:t>采购人</w:t>
            </w:r>
            <w:r>
              <w:rPr>
                <w:rFonts w:hint="eastAsia" w:ascii="宋体" w:hAnsi="宋体" w:cs="宋体"/>
                <w:color w:val="auto"/>
                <w:szCs w:val="21"/>
              </w:rPr>
              <w:t>可据实支付部分款项，待剩余资金到位后结清余款；</w:t>
            </w:r>
          </w:p>
          <w:p>
            <w:pPr>
              <w:spacing w:line="240" w:lineRule="auto"/>
              <w:rPr>
                <w:rFonts w:hint="eastAsia"/>
              </w:rPr>
            </w:pPr>
            <w:r>
              <w:rPr>
                <w:rFonts w:hint="eastAsia" w:ascii="宋体" w:hAnsi="宋体" w:cs="宋体"/>
                <w:color w:val="auto"/>
                <w:szCs w:val="21"/>
              </w:rPr>
              <w:t>2.3若</w:t>
            </w:r>
            <w:r>
              <w:rPr>
                <w:rFonts w:hint="eastAsia" w:ascii="宋体" w:hAnsi="宋体" w:cs="宋体"/>
                <w:color w:val="auto"/>
                <w:szCs w:val="21"/>
                <w:lang w:eastAsia="zh-CN"/>
              </w:rPr>
              <w:t>采购人</w:t>
            </w:r>
            <w:r>
              <w:rPr>
                <w:rFonts w:hint="eastAsia" w:ascii="宋体" w:hAnsi="宋体" w:cs="宋体"/>
                <w:color w:val="auto"/>
                <w:szCs w:val="21"/>
              </w:rPr>
              <w:t>2025年资金预算不足，付款顺延至2026年。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gridSpan w:val="2"/>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406"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6019" w:type="dxa"/>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1.3验收条件：</w:t>
            </w:r>
            <w:r>
              <w:rPr>
                <w:rFonts w:hint="eastAsia" w:ascii="宋体" w:hAnsi="宋体" w:eastAsia="宋体" w:cs="宋体"/>
                <w:bCs/>
                <w:color w:val="auto"/>
                <w:sz w:val="21"/>
                <w:szCs w:val="21"/>
              </w:rPr>
              <w:t>由供应商代表和采购人组成验收小组对产品进行验收。验收标准按照国家规定标准执行。经检验设备正常运作后签署安装验收单。凡</w:t>
            </w:r>
            <w:r>
              <w:rPr>
                <w:rFonts w:hint="eastAsia" w:ascii="宋体" w:hAnsi="宋体" w:eastAsia="宋体" w:cs="宋体"/>
                <w:bCs/>
                <w:color w:val="auto"/>
                <w:sz w:val="24"/>
                <w:szCs w:val="24"/>
              </w:rPr>
              <w:t>属于国家规定强制检测的设备，须具备计量质检部门的检测合格证。如果发现所交</w:t>
            </w:r>
            <w:r>
              <w:rPr>
                <w:rFonts w:hint="eastAsia" w:ascii="宋体" w:hAnsi="宋体" w:eastAsia="宋体" w:cs="宋体"/>
                <w:bCs/>
                <w:color w:val="auto"/>
                <w:sz w:val="21"/>
                <w:szCs w:val="21"/>
              </w:rPr>
              <w:t>设备与投标文件中所承诺的不符或存在质量、技术缺陷等,采购人可以拒绝接收该货物，由此发生的一切损失和费用由中标人承担。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jc w:val="center"/>
        </w:trPr>
        <w:tc>
          <w:tcPr>
            <w:tcW w:w="891" w:type="dxa"/>
            <w:gridSpan w:val="2"/>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406"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6019"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1.4违约责任：如投标供应商未按照投标文件中承诺的时间交货或提供服务，投标供应商应承担延期交货和延期服务的违约责任。</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1.4.1成交供应商所交付的设备品种、型号、规格、质量不符合同规定标准的，采购人有权拒绝收货。成交供应商向采购人偿付合同总金额百分之三十的违约金。</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1.4.2成交供应商逾期交付设备的，成交供应商向采购人每日偿付合同总金额千分之一的违约金。该违约金总额不超过合同总金额的百分之三十。</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1.4.3质保期内该套设备如出现任何故障，成交供应商未能在24小时内及时提供服务或到达现场，经采购人书面通知二次后，成交供应商仍未能及时提供服务的，成交供应商应向采购人支付合同总金额百分之三十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2</w:t>
            </w:r>
          </w:p>
        </w:tc>
        <w:tc>
          <w:tcPr>
            <w:tcW w:w="1406"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Style w:val="48"/>
                <w:rFonts w:hint="eastAsia" w:ascii="宋体" w:hAnsi="宋体" w:eastAsia="宋体" w:cs="宋体"/>
                <w:b w:val="0"/>
                <w:color w:val="auto"/>
                <w:sz w:val="21"/>
                <w:szCs w:val="21"/>
                <w:lang w:eastAsia="zh-CN"/>
              </w:rPr>
            </w:pPr>
            <w:r>
              <w:rPr>
                <w:rStyle w:val="48"/>
                <w:rFonts w:hint="eastAsia" w:ascii="宋体" w:hAnsi="宋体" w:cs="宋体"/>
                <w:b w:val="0"/>
                <w:color w:val="auto"/>
                <w:sz w:val="21"/>
                <w:szCs w:val="21"/>
                <w:lang w:eastAsia="zh-CN"/>
              </w:rPr>
              <w:t>履约保障金</w:t>
            </w:r>
          </w:p>
        </w:tc>
        <w:tc>
          <w:tcPr>
            <w:tcW w:w="6019" w:type="dxa"/>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auto"/>
                <w:szCs w:val="21"/>
              </w:rPr>
            </w:pPr>
            <w:r>
              <w:rPr>
                <w:rFonts w:hint="eastAsia" w:ascii="宋体" w:hAnsi="宋体" w:cs="宋体"/>
                <w:color w:val="auto"/>
                <w:szCs w:val="21"/>
              </w:rPr>
              <w:t>1.履约保证金提交要求</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auto"/>
                <w:szCs w:val="21"/>
              </w:rPr>
            </w:pPr>
            <w:r>
              <w:rPr>
                <w:rFonts w:hint="eastAsia" w:ascii="宋体" w:hAnsi="宋体" w:cs="宋体"/>
                <w:color w:val="auto"/>
                <w:szCs w:val="21"/>
              </w:rPr>
              <w:t>1.1</w:t>
            </w:r>
            <w:r>
              <w:rPr>
                <w:rFonts w:hint="eastAsia" w:ascii="宋体" w:hAnsi="宋体" w:cs="宋体"/>
                <w:color w:val="auto"/>
                <w:szCs w:val="21"/>
                <w:lang w:eastAsia="zh-CN"/>
              </w:rPr>
              <w:t>中标人</w:t>
            </w:r>
            <w:r>
              <w:rPr>
                <w:rFonts w:hint="eastAsia" w:ascii="宋体" w:hAnsi="宋体" w:cs="宋体"/>
                <w:color w:val="auto"/>
                <w:szCs w:val="21"/>
              </w:rPr>
              <w:t>需向</w:t>
            </w:r>
            <w:r>
              <w:rPr>
                <w:rFonts w:hint="eastAsia" w:ascii="宋体" w:hAnsi="宋体" w:cs="宋体"/>
                <w:color w:val="auto"/>
                <w:szCs w:val="21"/>
                <w:lang w:eastAsia="zh-CN"/>
              </w:rPr>
              <w:t>采购人</w:t>
            </w:r>
            <w:r>
              <w:rPr>
                <w:rFonts w:hint="eastAsia" w:ascii="宋体" w:hAnsi="宋体" w:cs="宋体"/>
                <w:color w:val="auto"/>
                <w:szCs w:val="21"/>
              </w:rPr>
              <w:t>提供合同总额5%的履约保证金，由供应商自主选择以支票、汇票、本票、保函等非现金方式提交。</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auto"/>
                <w:szCs w:val="21"/>
              </w:rPr>
            </w:pPr>
            <w:r>
              <w:rPr>
                <w:rFonts w:hint="eastAsia" w:ascii="宋体" w:hAnsi="宋体" w:cs="宋体"/>
                <w:color w:val="auto"/>
                <w:szCs w:val="21"/>
              </w:rPr>
              <w:t>1.2提交时间：合同签订后10日内提交。</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auto"/>
                <w:szCs w:val="21"/>
              </w:rPr>
            </w:pPr>
            <w:r>
              <w:rPr>
                <w:rFonts w:hint="eastAsia" w:ascii="宋体" w:hAnsi="宋体" w:cs="宋体"/>
                <w:color w:val="auto"/>
                <w:szCs w:val="21"/>
              </w:rPr>
              <w:t>1.3如涉及相关费用的，均由</w:t>
            </w:r>
            <w:r>
              <w:rPr>
                <w:rFonts w:hint="eastAsia" w:ascii="宋体" w:hAnsi="宋体" w:cs="宋体"/>
                <w:color w:val="auto"/>
                <w:szCs w:val="21"/>
                <w:lang w:eastAsia="zh-CN"/>
              </w:rPr>
              <w:t>中标人</w:t>
            </w:r>
            <w:r>
              <w:rPr>
                <w:rFonts w:hint="eastAsia" w:ascii="宋体" w:hAnsi="宋体" w:cs="宋体"/>
                <w:color w:val="auto"/>
                <w:szCs w:val="21"/>
              </w:rPr>
              <w:t>自行承担。</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auto"/>
                <w:szCs w:val="21"/>
              </w:rPr>
            </w:pPr>
            <w:r>
              <w:rPr>
                <w:rFonts w:hint="eastAsia" w:ascii="宋体" w:hAnsi="宋体" w:cs="宋体"/>
                <w:color w:val="auto"/>
                <w:szCs w:val="21"/>
              </w:rPr>
              <w:t>2.保证金退还：</w:t>
            </w:r>
            <w:r>
              <w:rPr>
                <w:rFonts w:hint="eastAsia" w:ascii="宋体" w:hAnsi="宋体" w:cs="宋体"/>
                <w:color w:val="auto"/>
                <w:szCs w:val="21"/>
                <w:lang w:eastAsia="zh-CN"/>
              </w:rPr>
              <w:t>中标人</w:t>
            </w:r>
            <w:r>
              <w:rPr>
                <w:rFonts w:hint="eastAsia" w:ascii="宋体" w:hAnsi="宋体" w:cs="宋体"/>
                <w:color w:val="auto"/>
                <w:szCs w:val="21"/>
              </w:rPr>
              <w:t>完成供货且经过</w:t>
            </w:r>
            <w:r>
              <w:rPr>
                <w:rFonts w:hint="eastAsia" w:ascii="宋体" w:hAnsi="宋体" w:cs="宋体"/>
                <w:color w:val="auto"/>
                <w:szCs w:val="21"/>
                <w:lang w:eastAsia="zh-CN"/>
              </w:rPr>
              <w:t>采购人</w:t>
            </w:r>
            <w:r>
              <w:rPr>
                <w:rFonts w:hint="eastAsia" w:ascii="宋体" w:hAnsi="宋体" w:cs="宋体"/>
                <w:color w:val="auto"/>
                <w:szCs w:val="21"/>
              </w:rPr>
              <w:t>验收合格后，</w:t>
            </w:r>
            <w:r>
              <w:rPr>
                <w:rFonts w:hint="eastAsia" w:ascii="宋体" w:hAnsi="宋体" w:cs="宋体"/>
                <w:color w:val="auto"/>
                <w:szCs w:val="21"/>
                <w:lang w:eastAsia="zh-CN"/>
              </w:rPr>
              <w:t>采购人</w:t>
            </w:r>
            <w:r>
              <w:rPr>
                <w:rFonts w:hint="eastAsia" w:ascii="宋体" w:hAnsi="宋体" w:cs="宋体"/>
                <w:color w:val="auto"/>
                <w:szCs w:val="21"/>
              </w:rPr>
              <w:t>在30日内不计息退还。</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cs="宋体"/>
                <w:color w:val="auto"/>
                <w:szCs w:val="21"/>
              </w:rPr>
              <w:t>3.违约处理：如</w:t>
            </w:r>
            <w:r>
              <w:rPr>
                <w:rFonts w:hint="eastAsia" w:ascii="宋体" w:hAnsi="宋体" w:cs="宋体"/>
                <w:color w:val="auto"/>
                <w:szCs w:val="21"/>
                <w:lang w:eastAsia="zh-CN"/>
              </w:rPr>
              <w:t>中标人</w:t>
            </w:r>
            <w:r>
              <w:rPr>
                <w:rFonts w:hint="eastAsia" w:ascii="宋体" w:hAnsi="宋体" w:cs="宋体"/>
                <w:color w:val="auto"/>
                <w:szCs w:val="21"/>
              </w:rPr>
              <w:t>发生违约行为，如设备出现质量问题，或</w:t>
            </w:r>
            <w:r>
              <w:rPr>
                <w:rFonts w:hint="eastAsia" w:ascii="宋体" w:hAnsi="宋体" w:cs="宋体"/>
                <w:color w:val="auto"/>
                <w:szCs w:val="21"/>
                <w:lang w:eastAsia="zh-CN"/>
              </w:rPr>
              <w:t>中标人</w:t>
            </w:r>
            <w:r>
              <w:rPr>
                <w:rFonts w:hint="eastAsia" w:ascii="宋体" w:hAnsi="宋体" w:cs="宋体"/>
                <w:color w:val="auto"/>
                <w:szCs w:val="21"/>
              </w:rPr>
              <w:t>未按</w:t>
            </w:r>
            <w:r>
              <w:rPr>
                <w:rFonts w:hint="eastAsia" w:ascii="宋体" w:hAnsi="宋体" w:cs="宋体"/>
                <w:color w:val="auto"/>
                <w:szCs w:val="21"/>
                <w:lang w:eastAsia="zh-CN"/>
              </w:rPr>
              <w:t>采购人</w:t>
            </w:r>
            <w:r>
              <w:rPr>
                <w:rFonts w:hint="eastAsia" w:ascii="宋体" w:hAnsi="宋体" w:cs="宋体"/>
                <w:color w:val="auto"/>
                <w:szCs w:val="21"/>
              </w:rPr>
              <w:t>要求维修或替换，则</w:t>
            </w:r>
            <w:r>
              <w:rPr>
                <w:rFonts w:hint="eastAsia" w:ascii="宋体" w:hAnsi="宋体" w:cs="宋体"/>
                <w:color w:val="auto"/>
                <w:szCs w:val="21"/>
                <w:lang w:eastAsia="zh-CN"/>
              </w:rPr>
              <w:t>采购人</w:t>
            </w:r>
            <w:r>
              <w:rPr>
                <w:rFonts w:hint="eastAsia" w:ascii="宋体" w:hAnsi="宋体" w:cs="宋体"/>
                <w:color w:val="auto"/>
                <w:szCs w:val="21"/>
              </w:rPr>
              <w:t>有权扣除已收取的履约保证金，无需经过</w:t>
            </w:r>
            <w:r>
              <w:rPr>
                <w:rFonts w:hint="eastAsia" w:ascii="宋体" w:hAnsi="宋体" w:cs="宋体"/>
                <w:color w:val="auto"/>
                <w:szCs w:val="21"/>
                <w:lang w:eastAsia="zh-CN"/>
              </w:rPr>
              <w:t>中标人</w:t>
            </w:r>
            <w:r>
              <w:rPr>
                <w:rFonts w:hint="eastAsia" w:ascii="宋体" w:hAnsi="宋体" w:cs="宋体"/>
                <w:color w:val="auto"/>
                <w:szCs w:val="21"/>
              </w:rPr>
              <w:t>同意，由此造成的一切损失由</w:t>
            </w:r>
            <w:r>
              <w:rPr>
                <w:rFonts w:hint="eastAsia" w:ascii="宋体" w:hAnsi="宋体" w:cs="宋体"/>
                <w:color w:val="auto"/>
                <w:szCs w:val="21"/>
                <w:lang w:eastAsia="zh-CN"/>
              </w:rPr>
              <w:t>中标人</w:t>
            </w:r>
            <w:r>
              <w:rPr>
                <w:rFonts w:hint="eastAsia" w:ascii="宋体" w:hAnsi="宋体" w:cs="宋体"/>
                <w:color w:val="auto"/>
                <w:szCs w:val="21"/>
              </w:rPr>
              <w:t>承担。</w:t>
            </w:r>
          </w:p>
        </w:tc>
      </w:tr>
      <w:bookmark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gridSpan w:val="2"/>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lang w:eastAsia="zh-CN"/>
              </w:rPr>
            </w:pPr>
            <w:r>
              <w:rPr>
                <w:rFonts w:hint="eastAsia" w:ascii="宋体" w:hAnsi="宋体" w:cs="宋体"/>
                <w:bCs/>
                <w:color w:val="auto"/>
                <w:sz w:val="21"/>
                <w:szCs w:val="21"/>
                <w:lang w:val="en-US" w:eastAsia="zh-CN"/>
              </w:rPr>
              <w:t>3</w:t>
            </w:r>
          </w:p>
        </w:tc>
        <w:tc>
          <w:tcPr>
            <w:tcW w:w="1406" w:type="dxa"/>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Style w:val="48"/>
                <w:rFonts w:hint="eastAsia" w:ascii="宋体" w:hAnsi="宋体" w:eastAsia="宋体" w:cs="宋体"/>
                <w:b w:val="0"/>
                <w:color w:val="auto"/>
                <w:sz w:val="21"/>
                <w:szCs w:val="21"/>
              </w:rPr>
              <w:t>运输、安装条件</w:t>
            </w:r>
          </w:p>
        </w:tc>
        <w:tc>
          <w:tcPr>
            <w:tcW w:w="6019" w:type="dxa"/>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 投标供应商须在签订合同之日起 3天内向采购人提供设备的运行、安装、使用环境要求。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gridSpan w:val="2"/>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406"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6019" w:type="dxa"/>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2.2运输、安装按照仪器说明书要求。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gridSpan w:val="2"/>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lang w:eastAsia="zh-CN"/>
              </w:rPr>
            </w:pPr>
            <w:r>
              <w:rPr>
                <w:rFonts w:hint="eastAsia" w:ascii="宋体" w:hAnsi="宋体" w:cs="宋体"/>
                <w:bCs/>
                <w:color w:val="auto"/>
                <w:sz w:val="21"/>
                <w:szCs w:val="21"/>
                <w:lang w:val="en-US" w:eastAsia="zh-CN"/>
              </w:rPr>
              <w:t>4</w:t>
            </w:r>
          </w:p>
        </w:tc>
        <w:tc>
          <w:tcPr>
            <w:tcW w:w="1406" w:type="dxa"/>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培训</w:t>
            </w:r>
          </w:p>
        </w:tc>
        <w:tc>
          <w:tcPr>
            <w:tcW w:w="6019" w:type="dxa"/>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3.1投标供应商应派专业技术人员免费对采购单位指定人员进行定期培训及指导，直至其完全掌握设备的基本故障处理技术。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gridSpan w:val="2"/>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406" w:type="dxa"/>
            <w:vMerge w:val="continue"/>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rPr>
            </w:pPr>
          </w:p>
        </w:tc>
        <w:tc>
          <w:tcPr>
            <w:tcW w:w="6019" w:type="dxa"/>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 现场培训：投标供应商应提供现场技术培训，保证使用人员正常操作设备的各种功能。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gridSpan w:val="2"/>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lang w:eastAsia="zh-CN"/>
              </w:rPr>
            </w:pPr>
            <w:r>
              <w:rPr>
                <w:rFonts w:hint="eastAsia" w:ascii="宋体" w:hAnsi="宋体" w:cs="宋体"/>
                <w:bCs/>
                <w:color w:val="auto"/>
                <w:sz w:val="21"/>
                <w:szCs w:val="21"/>
                <w:lang w:val="en-US" w:eastAsia="zh-CN"/>
              </w:rPr>
              <w:t>5</w:t>
            </w:r>
          </w:p>
        </w:tc>
        <w:tc>
          <w:tcPr>
            <w:tcW w:w="1406" w:type="dxa"/>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知识产权</w:t>
            </w:r>
          </w:p>
        </w:tc>
        <w:tc>
          <w:tcPr>
            <w:tcW w:w="6019"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1.投标人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供应商承担全部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gridSpan w:val="2"/>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406" w:type="dxa"/>
            <w:vMerge w:val="continue"/>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rPr>
            </w:pPr>
          </w:p>
        </w:tc>
        <w:tc>
          <w:tcPr>
            <w:tcW w:w="6019"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2.采购人购买产品后，有权对该产品与其他设备进行配套、整合或适当改进，而免受侵犯专利权的起诉。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91" w:type="dxa"/>
            <w:gridSpan w:val="2"/>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6</w:t>
            </w:r>
          </w:p>
        </w:tc>
        <w:tc>
          <w:tcPr>
            <w:tcW w:w="1406" w:type="dxa"/>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其他</w:t>
            </w:r>
          </w:p>
        </w:tc>
        <w:tc>
          <w:tcPr>
            <w:tcW w:w="6019"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5.1 投标供应商应按其投标文件中的承诺，进行其他售后服务工作。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891" w:type="dxa"/>
            <w:gridSpan w:val="2"/>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406"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6019" w:type="dxa"/>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5.2交货时，设备出厂时间：≤1年。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91" w:type="dxa"/>
            <w:gridSpan w:val="2"/>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406"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6019" w:type="dxa"/>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5.3设备使用年限：≥10年。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91" w:type="dxa"/>
            <w:gridSpan w:val="2"/>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406"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6019" w:type="dxa"/>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5.4网络安全要求：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91" w:type="dxa"/>
            <w:gridSpan w:val="2"/>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406"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6019" w:type="dxa"/>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5.5★</w:t>
            </w:r>
            <w:r>
              <w:rPr>
                <w:rFonts w:hint="eastAsia" w:ascii="宋体" w:hAnsi="宋体" w:cs="宋体"/>
                <w:color w:val="auto"/>
                <w:szCs w:val="21"/>
              </w:rPr>
              <w:t>信息化系统：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91" w:type="dxa"/>
            <w:gridSpan w:val="2"/>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406"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6019"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b w:val="0"/>
                <w:bCs w:val="0"/>
                <w:color w:val="auto"/>
                <w:kern w:val="0"/>
                <w:sz w:val="21"/>
                <w:szCs w:val="21"/>
                <w:lang w:val="en-US" w:eastAsia="zh-CN"/>
              </w:rPr>
              <w:t>5.6</w:t>
            </w:r>
            <w:r>
              <w:rPr>
                <w:rFonts w:hint="eastAsia" w:ascii="宋体" w:hAnsi="宋体" w:eastAsia="宋体" w:cs="宋体"/>
                <w:color w:val="auto"/>
                <w:sz w:val="21"/>
                <w:szCs w:val="21"/>
              </w:rPr>
              <w:t>★</w:t>
            </w:r>
            <w:r>
              <w:rPr>
                <w:rFonts w:hint="eastAsia" w:ascii="宋体" w:hAnsi="宋体" w:eastAsia="宋体" w:cs="宋体"/>
                <w:b w:val="0"/>
                <w:bCs w:val="0"/>
                <w:color w:val="auto"/>
                <w:kern w:val="0"/>
                <w:sz w:val="21"/>
                <w:szCs w:val="21"/>
              </w:rPr>
              <w:t>所投产品必须提供医疗器械注册证书（或者备案凭证）扫描件。开标时，该证应在有效期内，若不在有效期内，则需提供该证和所投产品在该证有效期内生产的药监局出具的证明文件。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891" w:type="dxa"/>
            <w:gridSpan w:val="2"/>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406"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6019" w:type="dxa"/>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5.7</w:t>
            </w:r>
            <w:r>
              <w:rPr>
                <w:rFonts w:hint="eastAsia" w:ascii="宋体" w:hAnsi="宋体" w:eastAsia="宋体" w:cs="宋体"/>
                <w:color w:val="auto"/>
                <w:sz w:val="21"/>
                <w:szCs w:val="21"/>
              </w:rPr>
              <w:t>★其他要求</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配齐设备正常使用所需要的所有附件，如连线、架子、特殊插座插头、导管，无需另外购置即可满足临床需求。</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91" w:type="dxa"/>
            <w:gridSpan w:val="2"/>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406"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6019" w:type="dxa"/>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r>
    </w:tbl>
    <w:p>
      <w:pPr>
        <w:rPr>
          <w:rFonts w:ascii="Times New Roman" w:hAnsi="Times New Roman" w:eastAsia="宋体" w:cs="Times New Roman"/>
          <w:b/>
        </w:rPr>
      </w:pPr>
    </w:p>
    <w:p>
      <w:pPr>
        <w:pStyle w:val="9"/>
        <w:spacing w:before="60" w:beforeLines="25" w:after="60" w:afterLines="25"/>
        <w:ind w:firstLine="0" w:firstLineChars="0"/>
        <w:rPr>
          <w:rFonts w:ascii="宋体" w:hAnsi="宋体"/>
          <w:szCs w:val="21"/>
        </w:rPr>
      </w:pPr>
    </w:p>
    <w:p>
      <w:pPr>
        <w:pStyle w:val="7"/>
        <w:spacing w:before="120" w:beforeLines="50" w:after="120" w:afterLines="50"/>
        <w:rPr>
          <w:sz w:val="28"/>
          <w:szCs w:val="28"/>
        </w:rPr>
      </w:pPr>
      <w:r>
        <w:rPr>
          <w:rFonts w:hint="eastAsia"/>
          <w:sz w:val="28"/>
          <w:szCs w:val="28"/>
        </w:rPr>
        <w:t>六、其他重要条款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9"/>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lang w:val="en-US" w:eastAsia="zh-CN"/>
        </w:rPr>
        <w:t>4</w:t>
      </w:r>
      <w:r>
        <w:rPr>
          <w:rFonts w:hint="eastAsia"/>
          <w:bCs/>
          <w:szCs w:val="21"/>
        </w:rPr>
        <w:t>、除政府采购合同继续履行将损害国家利益和社会公共利益外，双方当事人不得擅自变更、中止或者终止合同。</w:t>
      </w:r>
    </w:p>
    <w:p>
      <w:pPr>
        <w:ind w:firstLine="420" w:firstLineChars="200"/>
        <w:rPr>
          <w:rFonts w:hint="eastAsia" w:eastAsia="宋体"/>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pPr>
        <w:pStyle w:val="37"/>
      </w:pPr>
    </w:p>
    <w:p>
      <w:pPr>
        <w:pStyle w:val="2"/>
        <w:rPr>
          <w:rFonts w:ascii="宋体" w:hAnsi="宋体"/>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7"/>
        <w:rPr>
          <w:kern w:val="2"/>
        </w:rPr>
      </w:pPr>
      <w:r>
        <w:rPr>
          <w:rFonts w:hint="eastAsia"/>
          <w:kern w:val="2"/>
        </w:rPr>
        <w:t>第四章</w:t>
      </w:r>
      <w:r>
        <w:rPr>
          <w:kern w:val="2"/>
        </w:rPr>
        <w:t xml:space="preserve"> </w:t>
      </w:r>
      <w:r>
        <w:rPr>
          <w:rFonts w:hint="eastAsia"/>
          <w:kern w:val="2"/>
        </w:rPr>
        <w:t xml:space="preserve"> 投标文件组成要求及格式</w:t>
      </w:r>
    </w:p>
    <w:p>
      <w:pPr>
        <w:rPr>
          <w:rStyle w:val="68"/>
          <w:sz w:val="24"/>
        </w:rPr>
      </w:pPr>
      <w:r>
        <w:rPr>
          <w:rStyle w:val="68"/>
          <w:rFonts w:hint="eastAsia"/>
          <w:sz w:val="24"/>
        </w:rPr>
        <w:t>特别提醒：</w:t>
      </w:r>
    </w:p>
    <w:p>
      <w:pPr>
        <w:ind w:firstLine="480" w:firstLineChars="200"/>
        <w:rPr>
          <w:rFonts w:ascii="仿宋_GB2312" w:eastAsia="仿宋_GB2312"/>
          <w:sz w:val="24"/>
        </w:rPr>
      </w:pPr>
      <w:r>
        <w:rPr>
          <w:rFonts w:hint="eastAsia" w:ascii="仿宋_GB2312" w:eastAsia="仿宋_GB2312"/>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pPr>
        <w:rPr>
          <w:rFonts w:ascii="仿宋_GB2312" w:eastAsia="仿宋_GB2312"/>
          <w:sz w:val="24"/>
        </w:rPr>
      </w:pPr>
      <w:r>
        <w:rPr>
          <w:rFonts w:hint="eastAsia" w:ascii="仿宋_GB2312" w:eastAsia="仿宋_GB2312"/>
          <w:sz w:val="24"/>
        </w:rPr>
        <w:t xml:space="preserve">    投标文件正文（信息公开部分）必须编制于“正文（公开部分）”部分，投标文件附件（非信息公开部分）必须编制于“附件（不公开部分）”部分，如下图所示。</w:t>
      </w:r>
    </w:p>
    <w:p>
      <w:pPr>
        <w:widowControl/>
        <w:jc w:val="left"/>
        <w:rPr>
          <w:rFonts w:ascii="宋体" w:hAnsi="宋体" w:cs="宋体"/>
          <w:kern w:val="0"/>
          <w:sz w:val="24"/>
        </w:rPr>
      </w:pPr>
      <w:r>
        <w:drawing>
          <wp:inline distT="0" distB="0" distL="114300" distR="114300">
            <wp:extent cx="5162550" cy="4011295"/>
            <wp:effectExtent l="0" t="0" r="3810" b="12065"/>
            <wp:docPr id="1" name="图片 1" descr="c66f322b8feee32c1a3f0d48f365c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66f322b8feee32c1a3f0d48f365c82"/>
                    <pic:cNvPicPr>
                      <a:picLocks noChangeAspect="1"/>
                    </pic:cNvPicPr>
                  </pic:nvPicPr>
                  <pic:blipFill>
                    <a:blip r:embed="rId9"/>
                    <a:stretch>
                      <a:fillRect/>
                    </a:stretch>
                  </pic:blipFill>
                  <pic:spPr>
                    <a:xfrm>
                      <a:off x="0" y="0"/>
                      <a:ext cx="5162550" cy="4011295"/>
                    </a:xfrm>
                    <a:prstGeom prst="rect">
                      <a:avLst/>
                    </a:prstGeom>
                  </pic:spPr>
                </pic:pic>
              </a:graphicData>
            </a:graphic>
          </wp:inline>
        </w:drawing>
      </w:r>
    </w:p>
    <w:p>
      <w:pPr>
        <w:ind w:firstLine="480" w:firstLineChars="200"/>
        <w:rPr>
          <w:rFonts w:ascii="仿宋_GB2312" w:eastAsia="仿宋_GB2312"/>
          <w:sz w:val="24"/>
        </w:rPr>
      </w:pPr>
      <w:bookmarkStart w:id="46" w:name="_Hlk72257167"/>
      <w:r>
        <w:rPr>
          <w:rFonts w:hint="eastAsia" w:ascii="仿宋_GB2312" w:eastAsia="仿宋_GB2312"/>
          <w:sz w:val="24"/>
        </w:rPr>
        <w:t>政府集中采购机构公布投标文件正文（信息公开部分）时为计算机截取信息自动公布，</w:t>
      </w:r>
      <w:r>
        <w:rPr>
          <w:rFonts w:hint="eastAsia" w:ascii="仿宋_GB2312" w:eastAsia="仿宋_GB2312"/>
          <w:b/>
          <w:bCs/>
          <w:sz w:val="24"/>
        </w:rPr>
        <w:t>如投标人误将涉及个人隐私的信息放入投标文件正文，相关后果由投标人自负；</w:t>
      </w:r>
      <w:r>
        <w:rPr>
          <w:rFonts w:hint="eastAsia" w:ascii="仿宋_GB2312" w:eastAsia="仿宋_GB2312"/>
          <w:sz w:val="24"/>
          <w:highlight w:val="yellow"/>
        </w:rPr>
        <w:t>如投标人将必须放于投标文件正文（信息公开部分）的内容放入投标文件附件（非信息公开部分），将作投标无效处理。</w:t>
      </w:r>
    </w:p>
    <w:bookmarkEnd w:id="46"/>
    <w:p>
      <w:pPr>
        <w:rPr>
          <w:rFonts w:ascii="宋体" w:hAnsi="宋体"/>
          <w:szCs w:val="21"/>
        </w:rPr>
      </w:pPr>
      <w:r>
        <w:rPr>
          <w:rFonts w:ascii="宋体" w:hAnsi="宋体"/>
          <w:szCs w:val="21"/>
        </w:rPr>
        <w:br w:type="page"/>
      </w:r>
    </w:p>
    <w:p>
      <w:pPr>
        <w:rPr>
          <w:rFonts w:ascii="仿宋_GB2312" w:eastAsia="仿宋_GB2312"/>
          <w:sz w:val="24"/>
        </w:rPr>
      </w:pPr>
    </w:p>
    <w:p>
      <w:pPr>
        <w:outlineLvl w:val="0"/>
        <w:rPr>
          <w:rStyle w:val="68"/>
          <w:sz w:val="28"/>
          <w:szCs w:val="28"/>
        </w:rPr>
      </w:pPr>
      <w:r>
        <w:rPr>
          <w:rStyle w:val="68"/>
          <w:rFonts w:hint="eastAsia"/>
          <w:sz w:val="28"/>
          <w:szCs w:val="28"/>
        </w:rPr>
        <w:t>投标文件组成：</w:t>
      </w:r>
    </w:p>
    <w:p>
      <w:pPr>
        <w:ind w:firstLine="1200" w:firstLineChars="500"/>
        <w:outlineLvl w:val="0"/>
        <w:rPr>
          <w:rFonts w:ascii="宋体" w:hAnsi="宋体"/>
          <w:sz w:val="24"/>
        </w:rPr>
      </w:pPr>
      <w:bookmarkStart w:id="47" w:name="_Hlk72257253"/>
      <w:r>
        <w:rPr>
          <w:rFonts w:hint="eastAsia" w:ascii="宋体" w:hAnsi="宋体"/>
          <w:sz w:val="24"/>
        </w:rPr>
        <w:t>1.投标文件正文</w:t>
      </w:r>
      <w:r>
        <w:rPr>
          <w:rFonts w:hint="eastAsia" w:ascii="宋体" w:hAnsi="宋体"/>
          <w:b/>
          <w:color w:val="FF0000"/>
          <w:sz w:val="24"/>
        </w:rPr>
        <w:t>（信息公开部分）</w:t>
      </w:r>
      <w:r>
        <w:rPr>
          <w:rFonts w:hint="eastAsia" w:ascii="宋体" w:hAnsi="宋体"/>
          <w:sz w:val="24"/>
        </w:rPr>
        <w:t>，主要包括以下内容：</w:t>
      </w:r>
    </w:p>
    <w:p>
      <w:pPr>
        <w:ind w:left="718" w:leftChars="342" w:firstLine="1417" w:firstLineChars="675"/>
        <w:rPr>
          <w:szCs w:val="21"/>
        </w:rPr>
      </w:pPr>
      <w:r>
        <w:rPr>
          <w:rFonts w:hint="eastAsia"/>
          <w:szCs w:val="21"/>
        </w:rPr>
        <w:t>（1）</w:t>
      </w:r>
      <w:bookmarkStart w:id="48" w:name="_Hlk72070784"/>
      <w:r>
        <w:rPr>
          <w:rFonts w:hint="eastAsia"/>
          <w:szCs w:val="21"/>
        </w:rPr>
        <w:t>投标函</w:t>
      </w:r>
      <w:bookmarkEnd w:id="48"/>
    </w:p>
    <w:p>
      <w:pPr>
        <w:ind w:left="718" w:leftChars="342" w:firstLine="1417" w:firstLineChars="675"/>
        <w:rPr>
          <w:szCs w:val="21"/>
        </w:rPr>
      </w:pPr>
      <w:r>
        <w:rPr>
          <w:rFonts w:hint="eastAsia"/>
          <w:szCs w:val="21"/>
        </w:rPr>
        <w:t>（2）</w:t>
      </w:r>
      <w:bookmarkStart w:id="49" w:name="_Hlk72062521"/>
      <w:r>
        <w:rPr>
          <w:rFonts w:hint="eastAsia"/>
          <w:szCs w:val="21"/>
        </w:rPr>
        <w:t>政府采购投标及履约承诺函</w:t>
      </w:r>
      <w:bookmarkEnd w:id="49"/>
    </w:p>
    <w:p>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pPr>
        <w:ind w:left="718" w:leftChars="342" w:firstLine="1417" w:firstLineChars="675"/>
        <w:rPr>
          <w:szCs w:val="21"/>
        </w:rPr>
      </w:pPr>
      <w:bookmarkStart w:id="50" w:name="_Hlk72257201"/>
      <w:r>
        <w:rPr>
          <w:rFonts w:hint="eastAsia"/>
          <w:szCs w:val="21"/>
        </w:rPr>
        <w:t>（</w:t>
      </w:r>
      <w:r>
        <w:rPr>
          <w:szCs w:val="21"/>
        </w:rPr>
        <w:t>4</w:t>
      </w:r>
      <w:r>
        <w:rPr>
          <w:rFonts w:hint="eastAsia"/>
          <w:szCs w:val="21"/>
        </w:rPr>
        <w:t>）项目详细报价</w:t>
      </w:r>
    </w:p>
    <w:bookmarkEnd w:id="50"/>
    <w:p>
      <w:pPr>
        <w:ind w:left="718" w:leftChars="342" w:firstLine="1417" w:firstLineChars="675"/>
        <w:rPr>
          <w:szCs w:val="21"/>
        </w:rPr>
      </w:pPr>
      <w:r>
        <w:rPr>
          <w:rFonts w:hint="eastAsia"/>
          <w:szCs w:val="21"/>
        </w:rPr>
        <w:t>（</w:t>
      </w:r>
      <w:r>
        <w:rPr>
          <w:rFonts w:hint="eastAsia"/>
          <w:szCs w:val="21"/>
          <w:lang w:val="en-US" w:eastAsia="zh-CN"/>
        </w:rPr>
        <w:t>5</w:t>
      </w:r>
      <w:r>
        <w:rPr>
          <w:rFonts w:hint="eastAsia"/>
          <w:szCs w:val="21"/>
        </w:rPr>
        <w:t>）</w:t>
      </w:r>
      <w:bookmarkStart w:id="51" w:name="OLE_LINK2"/>
      <w:r>
        <w:rPr>
          <w:rFonts w:hint="eastAsia"/>
          <w:szCs w:val="21"/>
        </w:rPr>
        <w:t>体系认证情况评价</w:t>
      </w:r>
      <w:bookmarkEnd w:id="51"/>
    </w:p>
    <w:p>
      <w:pPr>
        <w:ind w:left="718" w:leftChars="342" w:firstLine="1627" w:firstLineChars="775"/>
        <w:rPr>
          <w:rFonts w:hint="eastAsia" w:ascii="宋体" w:hAnsi="宋体"/>
          <w:szCs w:val="21"/>
        </w:rPr>
      </w:pPr>
    </w:p>
    <w:p>
      <w:pPr>
        <w:ind w:firstLine="1200" w:firstLineChars="500"/>
        <w:outlineLvl w:val="0"/>
        <w:rPr>
          <w:rFonts w:ascii="宋体" w:hAnsi="宋体"/>
          <w:sz w:val="24"/>
        </w:rPr>
      </w:pPr>
      <w:r>
        <w:rPr>
          <w:rFonts w:hint="eastAsia" w:ascii="宋体" w:hAnsi="宋体"/>
          <w:sz w:val="24"/>
        </w:rPr>
        <w:t>2.投标文件附件</w:t>
      </w:r>
      <w:r>
        <w:rPr>
          <w:rFonts w:hint="eastAsia" w:ascii="宋体" w:hAnsi="宋体"/>
          <w:b/>
          <w:color w:val="FF0000"/>
          <w:sz w:val="24"/>
        </w:rPr>
        <w:t>（信息不公开部分）</w:t>
      </w:r>
      <w:r>
        <w:rPr>
          <w:rFonts w:hint="eastAsia" w:ascii="宋体" w:hAnsi="宋体"/>
          <w:sz w:val="24"/>
        </w:rPr>
        <w:t>：主要包括以下内容：</w:t>
      </w:r>
    </w:p>
    <w:p>
      <w:pPr>
        <w:ind w:firstLine="2100" w:firstLineChars="1000"/>
        <w:rPr>
          <w:rFonts w:hint="eastAsia" w:eastAsia="宋体"/>
          <w:szCs w:val="21"/>
          <w:lang w:eastAsia="zh-CN"/>
        </w:rPr>
      </w:pPr>
      <w:r>
        <w:rPr>
          <w:rFonts w:hint="eastAsia"/>
          <w:szCs w:val="21"/>
          <w:lang w:eastAsia="zh-CN"/>
        </w:rPr>
        <w:t>（</w:t>
      </w:r>
      <w:r>
        <w:rPr>
          <w:rFonts w:hint="eastAsia"/>
          <w:szCs w:val="21"/>
          <w:lang w:val="en-US" w:eastAsia="zh-CN"/>
        </w:rPr>
        <w:t>1</w:t>
      </w:r>
      <w:r>
        <w:rPr>
          <w:rFonts w:hint="eastAsia"/>
          <w:szCs w:val="21"/>
          <w:lang w:eastAsia="zh-CN"/>
        </w:rPr>
        <w:t>）供应商基本情况表</w:t>
      </w:r>
    </w:p>
    <w:p>
      <w:pPr>
        <w:ind w:firstLine="2100" w:firstLineChars="1000"/>
        <w:rPr>
          <w:szCs w:val="21"/>
        </w:rPr>
      </w:pPr>
      <w:r>
        <w:rPr>
          <w:rFonts w:hint="eastAsia"/>
          <w:szCs w:val="21"/>
        </w:rPr>
        <w:t>（</w:t>
      </w:r>
      <w:r>
        <w:rPr>
          <w:rFonts w:hint="eastAsia"/>
          <w:szCs w:val="21"/>
          <w:lang w:val="en-US" w:eastAsia="zh-CN"/>
        </w:rPr>
        <w:t>2</w:t>
      </w:r>
      <w:r>
        <w:rPr>
          <w:rFonts w:hint="eastAsia"/>
          <w:szCs w:val="21"/>
        </w:rPr>
        <w:t>）法定代表人（负责人）证明书</w:t>
      </w:r>
    </w:p>
    <w:p>
      <w:pPr>
        <w:ind w:left="718" w:leftChars="342" w:firstLine="1417" w:firstLineChars="675"/>
        <w:rPr>
          <w:szCs w:val="21"/>
        </w:rPr>
      </w:pPr>
      <w:r>
        <w:rPr>
          <w:rFonts w:hint="eastAsia"/>
          <w:szCs w:val="21"/>
        </w:rPr>
        <w:t>（</w:t>
      </w:r>
      <w:r>
        <w:rPr>
          <w:rFonts w:hint="eastAsia"/>
          <w:szCs w:val="21"/>
          <w:lang w:val="en-US" w:eastAsia="zh-CN"/>
        </w:rPr>
        <w:t>3</w:t>
      </w:r>
      <w:r>
        <w:rPr>
          <w:rFonts w:hint="eastAsia"/>
          <w:szCs w:val="21"/>
        </w:rPr>
        <w:t>）投标文件签署授权委托书</w:t>
      </w:r>
    </w:p>
    <w:p>
      <w:pPr>
        <w:ind w:left="718" w:leftChars="342" w:firstLine="1417" w:firstLineChars="675"/>
        <w:rPr>
          <w:szCs w:val="21"/>
        </w:rPr>
      </w:pPr>
      <w:r>
        <w:rPr>
          <w:rFonts w:hint="eastAsia"/>
          <w:szCs w:val="21"/>
        </w:rPr>
        <w:t>（</w:t>
      </w:r>
      <w:r>
        <w:rPr>
          <w:rFonts w:hint="eastAsia"/>
          <w:szCs w:val="21"/>
          <w:lang w:val="en-US" w:eastAsia="zh-CN"/>
        </w:rPr>
        <w:t>4</w:t>
      </w:r>
      <w:r>
        <w:rPr>
          <w:rFonts w:hint="eastAsia"/>
          <w:szCs w:val="21"/>
        </w:rPr>
        <w:t>）实质性条款响应情况表</w:t>
      </w:r>
    </w:p>
    <w:p>
      <w:pPr>
        <w:ind w:left="718" w:leftChars="342" w:firstLine="1417" w:firstLineChars="675"/>
        <w:rPr>
          <w:szCs w:val="21"/>
        </w:rPr>
      </w:pPr>
      <w:r>
        <w:rPr>
          <w:rFonts w:hint="eastAsia"/>
          <w:szCs w:val="21"/>
        </w:rPr>
        <w:t>（</w:t>
      </w:r>
      <w:r>
        <w:rPr>
          <w:rFonts w:hint="eastAsia"/>
          <w:szCs w:val="21"/>
          <w:lang w:val="en-US" w:eastAsia="zh-CN"/>
        </w:rPr>
        <w:t>5</w:t>
      </w:r>
      <w:r>
        <w:rPr>
          <w:rFonts w:hint="eastAsia"/>
          <w:szCs w:val="21"/>
        </w:rPr>
        <w:t>）技术要求偏离表</w:t>
      </w:r>
    </w:p>
    <w:p>
      <w:pPr>
        <w:ind w:left="718" w:leftChars="342" w:firstLine="1417" w:firstLineChars="675"/>
        <w:rPr>
          <w:szCs w:val="21"/>
        </w:rPr>
      </w:pPr>
      <w:r>
        <w:rPr>
          <w:rFonts w:hint="eastAsia"/>
          <w:szCs w:val="21"/>
        </w:rPr>
        <w:t>（</w:t>
      </w:r>
      <w:r>
        <w:rPr>
          <w:rFonts w:hint="eastAsia"/>
          <w:szCs w:val="21"/>
          <w:lang w:val="en-US" w:eastAsia="zh-CN"/>
        </w:rPr>
        <w:t>6</w:t>
      </w:r>
      <w:r>
        <w:rPr>
          <w:rFonts w:hint="eastAsia"/>
          <w:szCs w:val="21"/>
        </w:rPr>
        <w:t>）项目经验评价</w:t>
      </w:r>
    </w:p>
    <w:p>
      <w:pPr>
        <w:ind w:left="718" w:leftChars="342" w:firstLine="1417" w:firstLineChars="675"/>
        <w:rPr>
          <w:szCs w:val="21"/>
        </w:rPr>
      </w:pPr>
      <w:r>
        <w:rPr>
          <w:rFonts w:hint="eastAsia"/>
          <w:szCs w:val="21"/>
        </w:rPr>
        <w:t>（</w:t>
      </w:r>
      <w:r>
        <w:rPr>
          <w:rFonts w:hint="eastAsia"/>
          <w:szCs w:val="21"/>
          <w:lang w:val="en-US" w:eastAsia="zh-CN"/>
        </w:rPr>
        <w:t>7</w:t>
      </w:r>
      <w:r>
        <w:rPr>
          <w:rFonts w:hint="eastAsia"/>
          <w:szCs w:val="21"/>
        </w:rPr>
        <w:t>）售后服务人员配备情况及应急措施</w:t>
      </w:r>
    </w:p>
    <w:p>
      <w:pPr>
        <w:ind w:left="718" w:leftChars="342" w:firstLine="1417" w:firstLineChars="675"/>
        <w:rPr>
          <w:rFonts w:hint="eastAsia"/>
          <w:szCs w:val="21"/>
        </w:rPr>
      </w:pPr>
      <w:r>
        <w:rPr>
          <w:rFonts w:hint="eastAsia"/>
          <w:szCs w:val="21"/>
        </w:rPr>
        <w:t>（</w:t>
      </w:r>
      <w:r>
        <w:rPr>
          <w:rFonts w:hint="eastAsia"/>
          <w:szCs w:val="21"/>
          <w:lang w:val="en-US" w:eastAsia="zh-CN"/>
        </w:rPr>
        <w:t>8</w:t>
      </w:r>
      <w:r>
        <w:rPr>
          <w:rFonts w:hint="eastAsia"/>
          <w:szCs w:val="21"/>
        </w:rPr>
        <w:t>）投标人认为需要加以说明的其他内容</w:t>
      </w:r>
    </w:p>
    <w:p>
      <w:pPr>
        <w:pStyle w:val="2"/>
      </w:pPr>
    </w:p>
    <w:bookmarkEnd w:id="47"/>
    <w:p>
      <w:pPr>
        <w:ind w:left="718" w:leftChars="342" w:firstLine="1417" w:firstLineChars="675"/>
        <w:rPr>
          <w:szCs w:val="21"/>
        </w:rPr>
      </w:pPr>
    </w:p>
    <w:p>
      <w:pPr>
        <w:ind w:firstLine="426" w:firstLineChars="202"/>
        <w:rPr>
          <w:rFonts w:ascii="宋体" w:hAnsi="宋体"/>
          <w:b/>
          <w:szCs w:val="21"/>
        </w:rPr>
      </w:pPr>
      <w:bookmarkStart w:id="52" w:name="_Hlk72257771"/>
      <w:r>
        <w:rPr>
          <w:rFonts w:hint="eastAsia" w:ascii="宋体" w:hAnsi="宋体"/>
          <w:b/>
          <w:szCs w:val="21"/>
        </w:rPr>
        <w:t>备注：</w:t>
      </w:r>
    </w:p>
    <w:p>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pPr>
        <w:ind w:firstLine="422" w:firstLineChars="200"/>
        <w:rPr>
          <w:rFonts w:ascii="宋体" w:hAnsi="宋体"/>
          <w:color w:val="FF0000"/>
          <w:sz w:val="24"/>
        </w:rPr>
      </w:pPr>
      <w:bookmarkStart w:id="53" w:name="_Hlk72263559"/>
      <w:r>
        <w:rPr>
          <w:rFonts w:hint="eastAsia" w:ascii="宋体" w:hAnsi="宋体"/>
          <w:b/>
          <w:szCs w:val="21"/>
        </w:rPr>
        <w:t>2.关于填写“开标一览表”的说明：“开标一览表”中除“投标总价”外，其他信息不作评审依据。</w:t>
      </w:r>
      <w:bookmarkEnd w:id="52"/>
      <w:bookmarkEnd w:id="53"/>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outlineLvl w:val="1"/>
        <w:rPr>
          <w:rFonts w:ascii="宋体" w:hAnsi="宋体"/>
          <w:b/>
          <w:color w:val="FF0000"/>
          <w:sz w:val="28"/>
          <w:szCs w:val="28"/>
        </w:rPr>
      </w:pPr>
      <w:r>
        <w:rPr>
          <w:rFonts w:hint="eastAsia" w:ascii="宋体" w:hAnsi="宋体"/>
          <w:b/>
          <w:color w:val="FF0000"/>
          <w:sz w:val="28"/>
          <w:szCs w:val="28"/>
        </w:rPr>
        <w:t>投标文件正文（信息公开部分）</w:t>
      </w:r>
    </w:p>
    <w:p>
      <w:pPr>
        <w:pStyle w:val="5"/>
        <w:jc w:val="center"/>
        <w:rPr>
          <w:rFonts w:ascii="黑体" w:eastAsia="黑体"/>
          <w:b w:val="0"/>
          <w:sz w:val="24"/>
        </w:rPr>
      </w:pPr>
      <w:r>
        <w:rPr>
          <w:rFonts w:hint="eastAsia" w:ascii="黑体" w:eastAsia="黑体"/>
          <w:b w:val="0"/>
          <w:sz w:val="24"/>
        </w:rPr>
        <w:t>一、投标函</w:t>
      </w:r>
    </w:p>
    <w:p>
      <w:pPr>
        <w:spacing w:line="360" w:lineRule="auto"/>
        <w:rPr>
          <w:rFonts w:ascii="宋体" w:hAnsi="宋体"/>
          <w:szCs w:val="21"/>
        </w:rPr>
      </w:pPr>
      <w:bookmarkStart w:id="54"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bookmarkStart w:id="55" w:name="_Hlk73818812"/>
      <w:r>
        <w:rPr>
          <w:rFonts w:hint="eastAsia"/>
          <w:szCs w:val="21"/>
        </w:rPr>
        <w:t>1、根据已收到贵单位的项目编号为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lang w:val="en-US" w:eastAsia="zh-CN"/>
        </w:rPr>
        <w:t xml:space="preserve">  </w:t>
      </w:r>
      <w:r>
        <w:rPr>
          <w:rFonts w:hint="eastAsia"/>
          <w:szCs w:val="21"/>
          <w:u w:val="thick"/>
          <w:lang w:eastAsia="zh-CN"/>
        </w:rPr>
        <w:t>（</w:t>
      </w:r>
      <w:r>
        <w:rPr>
          <w:rFonts w:hint="eastAsia"/>
          <w:szCs w:val="21"/>
          <w:u w:val="thick"/>
        </w:rPr>
        <w:t>项目</w:t>
      </w:r>
      <w:r>
        <w:rPr>
          <w:rFonts w:hint="eastAsia"/>
          <w:szCs w:val="21"/>
          <w:u w:val="thick"/>
          <w:lang w:val="en-US" w:eastAsia="zh-CN"/>
        </w:rPr>
        <w:t>名称</w:t>
      </w:r>
      <w:r>
        <w:rPr>
          <w:rFonts w:hint="eastAsia"/>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56" w:name="_Hlk72263588"/>
      <w:r>
        <w:rPr>
          <w:rFonts w:hint="eastAsia"/>
          <w:szCs w:val="21"/>
        </w:rPr>
        <w:t>愿意按照招标文件要求承包上述项目并修补其任何缺陷。</w:t>
      </w:r>
      <w:bookmarkEnd w:id="56"/>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ascii="宋体" w:hAnsi="宋体"/>
          <w:szCs w:val="21"/>
        </w:rPr>
        <w:t>2</w:t>
      </w:r>
      <w:r>
        <w:rPr>
          <w:rFonts w:hint="eastAsia" w:ascii="宋体" w:hAnsi="宋体"/>
          <w:szCs w:val="21"/>
        </w:rPr>
        <w:t>、</w:t>
      </w:r>
      <w:bookmarkStart w:id="57" w:name="_Hlk73819847"/>
      <w:r>
        <w:rPr>
          <w:rFonts w:hint="eastAsia" w:ascii="宋体" w:hAnsi="宋体"/>
          <w:szCs w:val="21"/>
        </w:rPr>
        <w:t>投标价格见</w:t>
      </w:r>
      <w:r>
        <w:rPr>
          <w:rFonts w:hint="eastAsia"/>
          <w:szCs w:val="21"/>
        </w:rPr>
        <w:t>投标书编制软件中《开标一览表》中填写的投标总价。</w:t>
      </w:r>
      <w:bookmarkEnd w:id="57"/>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szCs w:val="21"/>
          <w:lang w:eastAsia="zh-CN"/>
        </w:rPr>
      </w:pPr>
      <w:r>
        <w:rPr>
          <w:rFonts w:hint="eastAsia" w:ascii="宋体" w:hAnsi="宋体"/>
          <w:szCs w:val="21"/>
        </w:rPr>
        <w:t>6、我单位理解贵单位将不受必须接受所收到的最低报价或其它任何投标文件的约束</w:t>
      </w:r>
      <w:bookmarkEnd w:id="55"/>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ind w:left="0" w:leftChars="0" w:firstLine="422" w:firstLineChars="200"/>
        <w:textAlignment w:val="auto"/>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rFonts w:hint="eastAsia"/>
          <w:szCs w:val="21"/>
        </w:rPr>
      </w:pPr>
    </w:p>
    <w:p>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szCs w:val="21"/>
        </w:rPr>
        <w:t xml:space="preserve">  </w:t>
      </w:r>
      <w:r>
        <w:rPr>
          <w:rFonts w:hint="eastAsia"/>
          <w:szCs w:val="21"/>
          <w:lang w:eastAsia="zh-CN"/>
        </w:rPr>
        <w:t>；</w:t>
      </w:r>
      <w:r>
        <w:rPr>
          <w:rFonts w:hint="eastAsia"/>
          <w:szCs w:val="21"/>
        </w:rPr>
        <w:t xml:space="preserve">  单位地址：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u w:val="none"/>
          <w:lang w:eastAsia="zh-CN"/>
        </w:rPr>
        <w:t>；</w:t>
      </w:r>
      <w:r>
        <w:rPr>
          <w:rFonts w:hint="eastAsia"/>
          <w:szCs w:val="21"/>
          <w:u w:val="none"/>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rPr>
          <w:rFonts w:ascii="黑体" w:hAnsi="宋体" w:eastAsia="黑体"/>
        </w:rPr>
      </w:pPr>
    </w:p>
    <w:p>
      <w:pPr>
        <w:rPr>
          <w:rFonts w:ascii="黑体" w:hAnsi="宋体" w:eastAsia="黑体"/>
        </w:rPr>
      </w:pPr>
      <w:r>
        <w:rPr>
          <w:rFonts w:ascii="黑体" w:hAnsi="宋体" w:eastAsia="黑体"/>
        </w:rPr>
        <w:br w:type="page"/>
      </w:r>
    </w:p>
    <w:bookmarkEnd w:id="54"/>
    <w:p>
      <w:pPr>
        <w:pStyle w:val="5"/>
        <w:jc w:val="center"/>
        <w:rPr>
          <w:rFonts w:ascii="黑体" w:eastAsia="黑体"/>
          <w:b w:val="0"/>
          <w:sz w:val="24"/>
        </w:rPr>
      </w:pPr>
      <w:r>
        <w:rPr>
          <w:rFonts w:hint="eastAsia" w:ascii="黑体" w:eastAsia="黑体"/>
          <w:b w:val="0"/>
          <w:sz w:val="24"/>
        </w:rPr>
        <w:t>二、政府采购投标及履约承诺函</w:t>
      </w:r>
    </w:p>
    <w:p>
      <w:pPr>
        <w:rPr>
          <w:rFonts w:ascii="宋体" w:hAnsi="宋体"/>
          <w:color w:val="FF0000"/>
          <w:szCs w:val="21"/>
        </w:rPr>
      </w:pPr>
      <w:bookmarkStart w:id="58" w:name="_Hlk72257530"/>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hint="eastAsia" w:ascii="宋体" w:hAnsi="宋体"/>
          <w:b/>
          <w:szCs w:val="21"/>
        </w:rPr>
      </w:pPr>
      <w:r>
        <w:rPr>
          <w:rFonts w:hint="eastAsia" w:ascii="宋体" w:hAnsi="宋体"/>
          <w:b w:val="0"/>
          <w:bCs/>
          <w:szCs w:val="21"/>
        </w:rPr>
        <w:t>1.我单位参与本项目所投标（响应）的货物、工程或服务，不存在侵犯知识产权的情况。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rPr>
          <w:rFonts w:hint="eastAsia"/>
        </w:rPr>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rPr>
          <w:rFonts w:hint="default" w:eastAsia="宋体"/>
          <w:color w:val="FF0000"/>
          <w:lang w:val="en-US" w:eastAsia="zh-CN"/>
        </w:rPr>
      </w:pPr>
      <w:r>
        <w:rPr>
          <w:rFonts w:hint="eastAsia"/>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bookmarkStart w:id="59" w:name="_Hlk72587269"/>
      <w:bookmarkStart w:id="60"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9"/>
      <w:r>
        <w:rPr>
          <w:rFonts w:hint="eastAsia" w:ascii="宋体" w:hAnsi="宋体"/>
          <w:szCs w:val="21"/>
        </w:rPr>
        <w:t>。</w:t>
      </w:r>
    </w:p>
    <w:bookmarkEnd w:id="60"/>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eastAsia="宋体"/>
          <w:lang w:val="en-US" w:eastAsia="zh-CN"/>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lang w:eastAsia="zh-CN"/>
        </w:rPr>
        <w:t>（</w:t>
      </w:r>
      <w:r>
        <w:rPr>
          <w:rFonts w:hint="eastAsia"/>
        </w:rPr>
        <w:t>财库〔2023〕7号）</w:t>
      </w:r>
      <w:r>
        <w:rPr>
          <w:rFonts w:hint="eastAsia"/>
          <w:lang w:val="en-US" w:eastAsia="zh-CN"/>
        </w:rPr>
        <w:t>要求。若所投产品涉及国家强制性标准的，所投产品应符合国家强制性标准相关要求。</w:t>
      </w:r>
    </w:p>
    <w:p>
      <w:pPr>
        <w:ind w:firstLine="420" w:firstLineChars="200"/>
        <w:rPr>
          <w:rFonts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pPr>
        <w:ind w:firstLine="420" w:firstLineChars="200"/>
        <w:rPr>
          <w:rFonts w:hint="eastAsia" w:ascii="宋体" w:hAnsi="宋体" w:eastAsia="宋体" w:cs="宋体"/>
          <w:b/>
          <w:color w:val="FF0000"/>
          <w:kern w:val="0"/>
          <w:szCs w:val="21"/>
          <w:lang w:eastAsia="zh-CN"/>
        </w:rPr>
      </w:pPr>
      <w:r>
        <w:rPr>
          <w:rFonts w:hint="eastAsia" w:ascii="宋体" w:hAnsi="宋体"/>
          <w:b w:val="0"/>
          <w:bCs/>
        </w:rPr>
        <w:t>1</w:t>
      </w:r>
      <w:r>
        <w:rPr>
          <w:rFonts w:hint="eastAsia" w:ascii="宋体" w:hAnsi="宋体"/>
          <w:b w:val="0"/>
          <w:bCs/>
          <w:lang w:val="en-US" w:eastAsia="zh-CN"/>
        </w:rPr>
        <w:t>3</w:t>
      </w:r>
      <w:r>
        <w:rPr>
          <w:rFonts w:ascii="宋体" w:hAnsi="宋体"/>
          <w:b w:val="0"/>
          <w:bCs/>
        </w:rPr>
        <w:t>.我单位保证，符合《中华人民共和国政府采购法实施条例》第十八条规定，与其他投标供应商不存在单位负责人为同一人或者存在直接控股</w:t>
      </w:r>
      <w:r>
        <w:rPr>
          <w:rFonts w:ascii="宋体" w:hAnsi="宋体"/>
          <w:b w:val="0"/>
          <w:bCs/>
          <w:color w:val="auto"/>
        </w:rPr>
        <w:t>、管理关系；</w:t>
      </w:r>
      <w:r>
        <w:rPr>
          <w:rFonts w:hint="eastAsia" w:ascii="宋体" w:hAnsi="宋体"/>
          <w:b w:val="0"/>
          <w:bCs/>
          <w:color w:val="auto"/>
          <w:lang w:val="en-US" w:eastAsia="zh-CN"/>
        </w:rPr>
        <w:t>不存在为</w:t>
      </w:r>
      <w:r>
        <w:rPr>
          <w:rFonts w:ascii="宋体" w:hAnsi="宋体"/>
          <w:b w:val="0"/>
          <w:bCs/>
          <w:color w:val="auto"/>
        </w:rPr>
        <w:t>本次采购项目提供整体设计、规范编制或者项目管理、监理、检测等服务的情形。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pPr>
        <w:ind w:firstLine="422" w:firstLineChars="200"/>
        <w:rPr>
          <w:rFonts w:hint="default" w:ascii="宋体" w:hAnsi="宋体"/>
          <w:b/>
          <w:szCs w:val="21"/>
          <w:lang w:val="en-US"/>
        </w:rPr>
      </w:pPr>
      <w:r>
        <w:rPr>
          <w:rFonts w:hint="eastAsia" w:ascii="宋体" w:hAnsi="宋体"/>
          <w:b/>
          <w:lang w:val="en-US" w:eastAsia="zh-CN"/>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hint="eastAsia" w:ascii="宋体" w:hAnsi="宋体"/>
          <w:szCs w:val="21"/>
        </w:rPr>
        <w:t xml:space="preserve">                                    </w:t>
      </w:r>
    </w:p>
    <w:bookmarkEnd w:id="58"/>
    <w:p>
      <w:pPr>
        <w:spacing w:before="60" w:beforeLines="25" w:after="60" w:afterLines="25"/>
        <w:ind w:firstLine="5460" w:firstLineChars="2600"/>
        <w:rPr>
          <w:rFonts w:hint="eastAsia" w:eastAsia="宋体"/>
          <w:color w:val="FF0000"/>
          <w:u w:val="none"/>
          <w:lang w:eastAsia="zh-CN"/>
        </w:rPr>
      </w:pPr>
      <w:r>
        <w:rPr>
          <w:rFonts w:hint="eastAsia"/>
          <w:color w:val="FF0000"/>
          <w:szCs w:val="21"/>
        </w:rPr>
        <w:t>投标人</w:t>
      </w:r>
      <w:r>
        <w:rPr>
          <w:rFonts w:hint="eastAsia"/>
          <w:color w:val="FF0000"/>
          <w:szCs w:val="21"/>
          <w:u w:val="none"/>
        </w:rPr>
        <w:t>：</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color w:val="FF0000"/>
          <w:szCs w:val="21"/>
          <w:u w:val="none"/>
          <w:lang w:val="en-US" w:eastAsia="zh-CN"/>
        </w:rPr>
        <w:t>.</w:t>
      </w:r>
    </w:p>
    <w:p>
      <w:pPr>
        <w:ind w:firstLine="645"/>
        <w:rPr>
          <w:rFonts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日</w:t>
      </w:r>
    </w:p>
    <w:p>
      <w:pPr>
        <w:ind w:firstLine="645"/>
        <w:rPr>
          <w:rFonts w:ascii="宋体" w:hAnsi="宋体"/>
          <w:szCs w:val="21"/>
        </w:rPr>
      </w:pPr>
    </w:p>
    <w:p>
      <w:pPr>
        <w:rPr>
          <w:rFonts w:ascii="宋体"/>
          <w:b/>
          <w:szCs w:val="21"/>
        </w:rPr>
      </w:pPr>
      <w:r>
        <w:rPr>
          <w:rFonts w:ascii="宋体"/>
          <w:b/>
          <w:szCs w:val="21"/>
        </w:rPr>
        <w:br w:type="page"/>
      </w:r>
    </w:p>
    <w:p>
      <w:pPr>
        <w:pStyle w:val="5"/>
        <w:jc w:val="center"/>
        <w:rPr>
          <w:rFonts w:ascii="黑体" w:eastAsia="黑体"/>
          <w:b w:val="0"/>
          <w:sz w:val="24"/>
          <w:szCs w:val="24"/>
        </w:rPr>
      </w:pPr>
      <w:r>
        <w:rPr>
          <w:rFonts w:hint="eastAsia" w:ascii="黑体" w:eastAsia="黑体"/>
          <w:b w:val="0"/>
          <w:sz w:val="24"/>
          <w:szCs w:val="24"/>
        </w:rPr>
        <w:t>三、投标人情况及资格证明文件</w:t>
      </w:r>
    </w:p>
    <w:p>
      <w:pPr>
        <w:rPr>
          <w:b/>
          <w:bCs/>
          <w:sz w:val="24"/>
        </w:rPr>
      </w:pPr>
    </w:p>
    <w:p>
      <w:pPr>
        <w:ind w:firstLine="2640" w:firstLineChars="1100"/>
        <w:outlineLvl w:val="3"/>
        <w:rPr>
          <w:rFonts w:ascii="黑体" w:hAnsi="宋体" w:eastAsia="黑体"/>
          <w:bCs/>
          <w:kern w:val="0"/>
          <w:sz w:val="24"/>
          <w:szCs w:val="32"/>
        </w:rPr>
      </w:pPr>
      <w:bookmarkStart w:id="61" w:name="_Hlk72257590"/>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其中要求提供《政府采购投标及履约承诺函》《供应商基本情况表》且已在规定章节中提供的，此处不重复提供</w:t>
      </w:r>
      <w:r>
        <w:rPr>
          <w:rFonts w:hint="eastAsia"/>
          <w:b/>
          <w:bCs/>
          <w:color w:val="FF0000"/>
        </w:rPr>
        <w:t>。）</w:t>
      </w:r>
    </w:p>
    <w:p>
      <w:pPr>
        <w:rPr>
          <w:b/>
          <w:bCs/>
          <w:sz w:val="24"/>
        </w:rPr>
      </w:pPr>
    </w:p>
    <w:p>
      <w:pPr>
        <w:ind w:firstLine="480" w:firstLineChars="200"/>
        <w:outlineLvl w:val="3"/>
        <w:rPr>
          <w:rFonts w:ascii="黑体" w:hAnsi="宋体" w:eastAsia="黑体"/>
          <w:bCs/>
          <w:kern w:val="0"/>
          <w:sz w:val="24"/>
          <w:szCs w:val="32"/>
        </w:rPr>
      </w:pPr>
      <w:bookmarkStart w:id="62" w:name="_Hlk72257908"/>
      <w:r>
        <w:rPr>
          <w:rFonts w:hint="eastAsia" w:ascii="黑体" w:hAnsi="宋体" w:eastAsia="黑体"/>
          <w:bCs/>
          <w:kern w:val="0"/>
          <w:sz w:val="24"/>
          <w:szCs w:val="32"/>
        </w:rPr>
        <w:t>（二）中小企业声明函、残疾人福利性单位声明函及监狱企业声明函</w:t>
      </w:r>
    </w:p>
    <w:bookmarkEnd w:id="61"/>
    <w:p>
      <w:pPr>
        <w:jc w:val="left"/>
        <w:outlineLvl w:val="9"/>
        <w:rPr>
          <w:rFonts w:ascii="黑体" w:hAnsi="宋体" w:eastAsia="黑体"/>
          <w:bCs/>
          <w:kern w:val="0"/>
          <w:sz w:val="24"/>
          <w:szCs w:val="32"/>
        </w:rPr>
      </w:pP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9"/>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outlineLvl w:val="9"/>
        <w:rPr>
          <w:rFonts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pPr>
        <w:ind w:firstLine="420" w:firstLineChars="200"/>
        <w:outlineLvl w:val="9"/>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w:t>
      </w:r>
      <w:r>
        <w:rPr>
          <w:rFonts w:hint="eastAsia" w:ascii="黑体" w:hAnsi="宋体" w:eastAsia="黑体"/>
          <w:bCs/>
          <w:color w:val="FF0000"/>
          <w:kern w:val="0"/>
          <w:szCs w:val="21"/>
          <w:lang w:val="en-US" w:eastAsia="zh-CN"/>
        </w:rPr>
        <w:t>清单</w:t>
      </w:r>
      <w:r>
        <w:rPr>
          <w:rFonts w:hint="eastAsia" w:ascii="黑体" w:hAnsi="宋体" w:eastAsia="黑体"/>
          <w:bCs/>
          <w:color w:val="FF0000"/>
          <w:kern w:val="0"/>
          <w:szCs w:val="21"/>
        </w:rPr>
        <w:t>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pPr>
        <w:pStyle w:val="62"/>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numPr>
          <w:ilvl w:val="0"/>
          <w:numId w:val="0"/>
        </w:num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pStyle w:val="62"/>
        <w:ind w:firstLine="420" w:firstLineChars="200"/>
        <w:outlineLvl w:val="9"/>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outlineLvl w:val="9"/>
      </w:pPr>
    </w:p>
    <w:p>
      <w:pPr>
        <w:numPr>
          <w:ilvl w:val="0"/>
          <w:numId w:val="7"/>
        </w:numPr>
        <w:jc w:val="center"/>
        <w:outlineLvl w:val="9"/>
        <w:rPr>
          <w:b/>
          <w:sz w:val="24"/>
        </w:rPr>
      </w:pPr>
      <w:r>
        <w:rPr>
          <w:b/>
          <w:sz w:val="24"/>
        </w:rPr>
        <w:t>中小企业声明函（货物）</w:t>
      </w:r>
    </w:p>
    <w:p>
      <w:pPr>
        <w:pStyle w:val="2"/>
        <w:widowControl w:val="0"/>
        <w:numPr>
          <w:ilvl w:val="0"/>
          <w:numId w:val="0"/>
        </w:numPr>
        <w:spacing w:line="360" w:lineRule="auto"/>
        <w:jc w:val="both"/>
        <w:outlineLvl w:val="9"/>
      </w:pP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63" w:name="_Hlk73562203"/>
      <w:r>
        <w:rPr>
          <w:rFonts w:hint="eastAsia" w:asciiTheme="minorEastAsia" w:hAnsiTheme="minorEastAsia" w:eastAsiaTheme="minorEastAsia" w:cstheme="minorEastAsia"/>
          <w:kern w:val="2"/>
          <w:sz w:val="21"/>
          <w:szCs w:val="21"/>
          <w:lang w:val="en-US" w:eastAsia="zh-CN" w:bidi="ar-SA"/>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63"/>
    </w:p>
    <w:p>
      <w:pPr>
        <w:ind w:firstLine="420" w:firstLineChars="200"/>
        <w:outlineLvl w:val="9"/>
        <w:rPr>
          <w:rFonts w:ascii="宋体" w:hAnsi="宋体"/>
          <w:bCs/>
          <w:color w:val="FF0000"/>
          <w:kern w:val="0"/>
          <w:szCs w:val="21"/>
        </w:rPr>
      </w:pPr>
    </w:p>
    <w:p>
      <w:pPr>
        <w:outlineLvl w:val="9"/>
      </w:pPr>
    </w:p>
    <w:p>
      <w:pPr>
        <w:ind w:firstLine="420" w:firstLineChars="200"/>
        <w:outlineLvl w:val="9"/>
      </w:pPr>
    </w:p>
    <w:p>
      <w:pPr>
        <w:jc w:val="center"/>
        <w:outlineLvl w:val="9"/>
        <w:rPr>
          <w:b/>
          <w:sz w:val="24"/>
        </w:rPr>
      </w:pPr>
      <w:r>
        <w:rPr>
          <w:rFonts w:hint="eastAsia"/>
          <w:b/>
          <w:sz w:val="24"/>
        </w:rPr>
        <w:t>2、残疾人福利性单位声明函（货物类）</w:t>
      </w:r>
    </w:p>
    <w:p>
      <w:pPr>
        <w:outlineLvl w:val="9"/>
        <w:rPr>
          <w:b/>
          <w:bCs/>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64" w:name="_Hlk73562331"/>
      <w:bookmarkStart w:id="65" w:name="_Hlk73562245"/>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64"/>
    </w:p>
    <w:bookmarkEnd w:id="65"/>
    <w:p>
      <w:pPr>
        <w:ind w:firstLine="420" w:firstLineChars="200"/>
        <w:outlineLvl w:val="9"/>
        <w:rPr>
          <w:rFonts w:ascii="宋体" w:hAnsi="宋体"/>
          <w:szCs w:val="21"/>
        </w:rPr>
      </w:pPr>
    </w:p>
    <w:p>
      <w:pPr>
        <w:ind w:firstLine="420" w:firstLineChars="200"/>
        <w:outlineLvl w:val="9"/>
        <w:rPr>
          <w:rFonts w:ascii="宋体" w:hAnsi="宋体"/>
          <w:szCs w:val="21"/>
        </w:rPr>
      </w:pPr>
    </w:p>
    <w:p>
      <w:pPr>
        <w:jc w:val="center"/>
        <w:outlineLvl w:val="9"/>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hint="eastAsia" w:ascii="宋体" w:hAnsi="宋体"/>
          <w:sz w:val="21"/>
          <w:szCs w:val="21"/>
        </w:rPr>
        <w:t>本投标人郑重声明，根据《财政部司法部关于政府采购支持监狱企业发展有关问题的通知》（财库〔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cstheme="minorBidi"/>
          <w:sz w:val="21"/>
          <w:szCs w:val="21"/>
        </w:rPr>
        <w:t>本</w:t>
      </w:r>
      <w:r>
        <w:rPr>
          <w:rFonts w:hint="eastAsia" w:ascii="宋体" w:hAnsi="宋体" w:cstheme="minorBidi"/>
          <w:sz w:val="21"/>
          <w:szCs w:val="21"/>
        </w:rPr>
        <w:t>投标人</w:t>
      </w:r>
      <w:r>
        <w:rPr>
          <w:rFonts w:ascii="宋体" w:hAnsi="宋体"/>
          <w:sz w:val="21"/>
          <w:szCs w:val="21"/>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b/>
          <w:bCs/>
          <w:color w:val="FF0000"/>
          <w:sz w:val="21"/>
          <w:szCs w:val="21"/>
        </w:rPr>
      </w:pPr>
      <w:r>
        <w:rPr>
          <w:rFonts w:hint="eastAsia" w:ascii="宋体" w:hAnsi="宋体"/>
          <w:sz w:val="21"/>
          <w:szCs w:val="21"/>
        </w:rPr>
        <w:t>附：省级以上监狱管理局、戒毒管理局（含新疆生产建设兵团）出具的监狱企业证明文件。</w:t>
      </w:r>
      <w:bookmarkEnd w:id="62"/>
    </w:p>
    <w:p>
      <w:pPr>
        <w:pStyle w:val="5"/>
        <w:jc w:val="center"/>
        <w:rPr>
          <w:rFonts w:ascii="黑体" w:eastAsia="黑体"/>
          <w:b w:val="0"/>
          <w:sz w:val="24"/>
          <w:szCs w:val="24"/>
        </w:rPr>
      </w:pPr>
      <w:bookmarkStart w:id="66" w:name="_Hlk72259976"/>
      <w:r>
        <w:rPr>
          <w:rFonts w:hint="eastAsia" w:ascii="黑体" w:eastAsia="黑体"/>
          <w:b w:val="0"/>
          <w:sz w:val="24"/>
          <w:szCs w:val="24"/>
        </w:rPr>
        <w:t>四、项目详细报价</w:t>
      </w:r>
    </w:p>
    <w:p>
      <w:pPr>
        <w:tabs>
          <w:tab w:val="left" w:pos="720"/>
        </w:tabs>
        <w:ind w:firstLine="3132" w:firstLineChars="1300"/>
        <w:rPr>
          <w:b/>
          <w:sz w:val="24"/>
        </w:rPr>
      </w:pPr>
      <w:r>
        <w:rPr>
          <w:rFonts w:hint="eastAsia"/>
          <w:b/>
          <w:sz w:val="24"/>
        </w:rPr>
        <w:t>（一）分项报价表</w:t>
      </w:r>
    </w:p>
    <w:tbl>
      <w:tblPr>
        <w:tblStyle w:val="4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892"/>
        <w:gridCol w:w="470"/>
        <w:gridCol w:w="684"/>
        <w:gridCol w:w="684"/>
        <w:gridCol w:w="684"/>
        <w:gridCol w:w="684"/>
        <w:gridCol w:w="684"/>
        <w:gridCol w:w="684"/>
        <w:gridCol w:w="1219"/>
        <w:gridCol w:w="11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货物名称（标的名称）</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型号</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原产地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制造商名称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彩色多普勒诊断仪器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1290000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合计（即投标总价；币种：人民币；单位：元） 小写：            大写：</w:t>
            </w:r>
          </w:p>
        </w:tc>
      </w:tr>
    </w:tbl>
    <w:p>
      <w:pPr>
        <w:ind w:firstLine="482" w:firstLineChars="200"/>
        <w:rPr>
          <w:rFonts w:hint="eastAsia" w:ascii="宋体" w:hAnsi="宋体"/>
          <w:b/>
          <w:sz w:val="24"/>
        </w:rPr>
      </w:pPr>
    </w:p>
    <w:p>
      <w:pPr>
        <w:ind w:firstLine="482" w:firstLineChars="200"/>
        <w:rPr>
          <w:rFonts w:ascii="宋体" w:hAnsi="宋体"/>
          <w:b/>
          <w:sz w:val="24"/>
        </w:rPr>
      </w:pPr>
      <w:r>
        <w:rPr>
          <w:rFonts w:hint="eastAsia" w:ascii="宋体" w:hAnsi="宋体"/>
          <w:b/>
          <w:sz w:val="24"/>
        </w:rPr>
        <w:t>注：1.本表可按同样格式扩展。</w:t>
      </w:r>
    </w:p>
    <w:p>
      <w:pPr>
        <w:ind w:firstLine="472" w:firstLineChars="196"/>
        <w:rPr>
          <w:rFonts w:hint="default" w:ascii="宋体" w:hAnsi="宋体" w:eastAsia="宋体"/>
          <w:b/>
          <w:sz w:val="24"/>
          <w:lang w:val="en-US" w:eastAsia="zh-CN"/>
        </w:rPr>
      </w:pPr>
      <w:r>
        <w:rPr>
          <w:rFonts w:hint="eastAsia" w:ascii="宋体" w:hAnsi="宋体"/>
          <w:b/>
          <w:sz w:val="24"/>
        </w:rPr>
        <w:t>2</w:t>
      </w:r>
      <w:r>
        <w:rPr>
          <w:rFonts w:ascii="宋体" w:hAnsi="宋体"/>
          <w:b/>
          <w:sz w:val="24"/>
        </w:rPr>
        <w:t>.</w:t>
      </w:r>
      <w:r>
        <w:rPr>
          <w:rFonts w:hint="eastAsia" w:ascii="宋体" w:hAnsi="宋体"/>
          <w:b/>
          <w:sz w:val="24"/>
          <w:lang w:eastAsia="zh-CN"/>
        </w:rPr>
        <w:t>“</w:t>
      </w:r>
      <w:r>
        <w:rPr>
          <w:rFonts w:hint="eastAsia" w:ascii="宋体" w:hAnsi="宋体"/>
          <w:b/>
          <w:sz w:val="24"/>
          <w:lang w:val="en-US" w:eastAsia="zh-CN"/>
        </w:rPr>
        <w:t>品牌</w:t>
      </w:r>
      <w:r>
        <w:rPr>
          <w:rFonts w:hint="eastAsia" w:ascii="宋体" w:hAnsi="宋体"/>
          <w:b/>
          <w:sz w:val="24"/>
          <w:lang w:eastAsia="zh-CN"/>
        </w:rPr>
        <w:t>”</w:t>
      </w:r>
      <w:r>
        <w:rPr>
          <w:rFonts w:hint="eastAsia" w:ascii="宋体" w:hAnsi="宋体"/>
          <w:b/>
          <w:sz w:val="24"/>
          <w:lang w:val="en-US" w:eastAsia="zh-CN"/>
        </w:rPr>
        <w:t>可以与商标一致，也可以填写便于区分其他公司商品的制造商简称或者制造商认可的品牌名称</w:t>
      </w:r>
      <w:r>
        <w:rPr>
          <w:rFonts w:hint="eastAsia" w:ascii="宋体" w:hAnsi="宋体"/>
          <w:b/>
          <w:sz w:val="24"/>
        </w:rPr>
        <w:t>。此类填写错误或缺漏的不利后果由供应商承担。经评审委员会认定，在使用综合评分法的项目中一项此类填写错误或缺漏将按照一项普通招标技术要求（一般参数/普通参数）负偏离扣分处理。</w:t>
      </w:r>
    </w:p>
    <w:p>
      <w:pPr>
        <w:ind w:firstLine="472" w:firstLineChars="196"/>
        <w:rPr>
          <w:rFonts w:hint="eastAsia"/>
          <w:b/>
          <w:sz w:val="24"/>
        </w:rPr>
      </w:pPr>
      <w:r>
        <w:rPr>
          <w:rFonts w:hint="eastAsia" w:ascii="宋体" w:hAnsi="宋体"/>
          <w:b/>
          <w:sz w:val="24"/>
          <w:lang w:val="en-US" w:eastAsia="zh-CN"/>
        </w:rPr>
        <w:t>3.</w:t>
      </w:r>
      <w:r>
        <w:rPr>
          <w:rFonts w:hint="eastAsia" w:ascii="宋体" w:hAnsi="宋体"/>
          <w:b/>
          <w:sz w:val="24"/>
        </w:rPr>
        <w:t>如所投货物属于定制类的非量产货物或无具体型号的货物，可以在“规格/型号”</w:t>
      </w:r>
      <w:r>
        <w:rPr>
          <w:rFonts w:hint="eastAsia" w:ascii="宋体" w:hAnsi="宋体"/>
          <w:b/>
          <w:sz w:val="24"/>
          <w:lang w:val="en-US" w:eastAsia="zh-CN"/>
        </w:rPr>
        <w:t>栏目</w:t>
      </w:r>
      <w:r>
        <w:rPr>
          <w:rFonts w:hint="eastAsia" w:ascii="宋体" w:hAnsi="宋体"/>
          <w:b/>
          <w:sz w:val="24"/>
        </w:rPr>
        <w:t>仅填写规格信息而不填型号信息（型号信息用“定制”描述即可）；</w:t>
      </w:r>
      <w:bookmarkStart w:id="67" w:name="_Hlk73646428"/>
      <w:r>
        <w:rPr>
          <w:rFonts w:hint="eastAsia" w:ascii="宋体" w:hAnsi="宋体"/>
          <w:b/>
          <w:sz w:val="24"/>
        </w:rPr>
        <w:t>此类填写错误</w:t>
      </w:r>
      <w:r>
        <w:rPr>
          <w:rFonts w:hint="eastAsia" w:ascii="宋体" w:hAnsi="宋体"/>
          <w:b/>
          <w:sz w:val="24"/>
          <w:lang w:val="en-US" w:eastAsia="zh-CN"/>
        </w:rPr>
        <w:t>或缺漏</w:t>
      </w:r>
      <w:r>
        <w:rPr>
          <w:rFonts w:hint="eastAsia" w:ascii="宋体" w:hAnsi="宋体"/>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67"/>
    </w:p>
    <w:p>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pPr>
        <w:ind w:firstLine="472" w:firstLineChars="196"/>
        <w:rPr>
          <w:rFonts w:ascii="宋体" w:hAnsi="宋体"/>
          <w:b/>
          <w:sz w:val="24"/>
        </w:rPr>
      </w:pPr>
      <w:r>
        <w:rPr>
          <w:rFonts w:ascii="宋体" w:hAnsi="宋体"/>
          <w:b/>
          <w:sz w:val="24"/>
        </w:rPr>
        <w:t>4</w:t>
      </w:r>
      <w:r>
        <w:rPr>
          <w:rFonts w:hint="eastAsia" w:ascii="宋体" w:hAnsi="宋体"/>
          <w:b/>
          <w:sz w:val="24"/>
        </w:rPr>
        <w:t>.所投货物均应填写制造商名称</w:t>
      </w:r>
      <w:r>
        <w:rPr>
          <w:rFonts w:hint="eastAsia" w:ascii="宋体" w:hAnsi="宋体"/>
          <w:b/>
          <w:sz w:val="24"/>
          <w:lang w:eastAsia="zh-CN"/>
        </w:rPr>
        <w:t>，</w:t>
      </w:r>
      <w:r>
        <w:rPr>
          <w:rFonts w:hint="eastAsia" w:ascii="宋体" w:hAnsi="宋体"/>
          <w:b/>
          <w:sz w:val="24"/>
        </w:rPr>
        <w:t>“制造商”是指产品品牌厂商，产品代工制造的，应填写接受委托生产制造的制造商。</w:t>
      </w:r>
    </w:p>
    <w:p>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pPr>
        <w:ind w:firstLine="482" w:firstLineChars="200"/>
        <w:rPr>
          <w:rFonts w:ascii="宋体" w:hAnsi="宋体"/>
          <w:b/>
          <w:color w:val="FF0000"/>
          <w:sz w:val="24"/>
        </w:rPr>
      </w:pPr>
    </w:p>
    <w:p>
      <w:pPr>
        <w:ind w:firstLine="482" w:firstLineChars="200"/>
        <w:rPr>
          <w:rFonts w:ascii="宋体" w:hAnsi="宋体"/>
          <w:b/>
          <w:color w:val="FF0000"/>
          <w:sz w:val="24"/>
        </w:rPr>
      </w:pPr>
    </w:p>
    <w:p>
      <w:pPr>
        <w:tabs>
          <w:tab w:val="left" w:pos="720"/>
        </w:tabs>
        <w:jc w:val="center"/>
        <w:rPr>
          <w:b/>
          <w:sz w:val="24"/>
        </w:rPr>
      </w:pPr>
      <w:r>
        <w:rPr>
          <w:rFonts w:hint="eastAsia"/>
          <w:b/>
          <w:sz w:val="24"/>
        </w:rPr>
        <w:t>（二）核心产品品牌</w:t>
      </w:r>
    </w:p>
    <w:p>
      <w:pPr>
        <w:ind w:firstLine="482" w:firstLineChars="200"/>
        <w:rPr>
          <w:rFonts w:ascii="宋体" w:hAnsi="宋体"/>
          <w:b/>
          <w:color w:val="FF0000"/>
          <w:sz w:val="24"/>
        </w:rPr>
      </w:pPr>
    </w:p>
    <w:p>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pPr>
        <w:ind w:firstLine="482" w:firstLineChars="200"/>
        <w:rPr>
          <w:rFonts w:ascii="宋体" w:hAnsi="宋体"/>
          <w:b/>
          <w:color w:val="FF0000"/>
          <w:sz w:val="24"/>
        </w:rPr>
      </w:pPr>
    </w:p>
    <w:p>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pPr>
        <w:ind w:firstLine="482" w:firstLineChars="200"/>
        <w:rPr>
          <w:rFonts w:ascii="宋体" w:hAnsi="宋体"/>
          <w:b/>
          <w:color w:val="FF0000"/>
          <w:sz w:val="24"/>
        </w:rPr>
      </w:pPr>
    </w:p>
    <w:p>
      <w:pPr>
        <w:ind w:firstLine="482" w:firstLineChars="200"/>
        <w:rPr>
          <w:rFonts w:ascii="宋体" w:hAnsi="宋体"/>
          <w:b/>
          <w:color w:val="FF0000"/>
          <w:sz w:val="24"/>
        </w:rPr>
      </w:pPr>
    </w:p>
    <w:p>
      <w:pPr>
        <w:rPr>
          <w:b/>
          <w:sz w:val="24"/>
        </w:rPr>
      </w:pPr>
    </w:p>
    <w:p>
      <w:pPr>
        <w:tabs>
          <w:tab w:val="left" w:pos="720"/>
        </w:tabs>
        <w:ind w:firstLine="1928" w:firstLineChars="800"/>
        <w:rPr>
          <w:b/>
          <w:sz w:val="24"/>
        </w:rPr>
      </w:pPr>
      <w:r>
        <w:rPr>
          <w:rFonts w:hint="eastAsia"/>
          <w:b/>
          <w:sz w:val="24"/>
        </w:rPr>
        <w:t>（三）可选配件报价清单（不包括在总报价内）</w:t>
      </w:r>
    </w:p>
    <w:p>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pPr>
        <w:ind w:firstLine="482" w:firstLineChars="200"/>
        <w:rPr>
          <w:rFonts w:hAnsi="宋体"/>
          <w:b/>
          <w:bCs/>
          <w:sz w:val="24"/>
        </w:rPr>
      </w:pPr>
    </w:p>
    <w:p>
      <w:pPr>
        <w:ind w:firstLine="482" w:firstLineChars="200"/>
        <w:rPr>
          <w:rFonts w:hAnsi="宋体"/>
          <w:b/>
          <w:bCs/>
          <w:sz w:val="24"/>
        </w:rPr>
      </w:pPr>
    </w:p>
    <w:p>
      <w:pPr>
        <w:tabs>
          <w:tab w:val="left" w:pos="720"/>
        </w:tabs>
        <w:jc w:val="center"/>
        <w:rPr>
          <w:b/>
          <w:sz w:val="24"/>
        </w:rPr>
      </w:pPr>
      <w:r>
        <w:rPr>
          <w:rFonts w:hint="eastAsia"/>
          <w:b/>
          <w:sz w:val="24"/>
        </w:rPr>
        <w:t>（四）</w:t>
      </w:r>
      <w:bookmarkStart w:id="68" w:name="_Hlk72073235"/>
      <w:r>
        <w:rPr>
          <w:rFonts w:hint="eastAsia"/>
          <w:b/>
          <w:sz w:val="24"/>
        </w:rPr>
        <w:t>投标人认为需要涉及的其他内容报价清单</w:t>
      </w:r>
      <w:bookmarkEnd w:id="68"/>
    </w:p>
    <w:p>
      <w:pPr>
        <w:rPr>
          <w:b/>
          <w:bCs/>
        </w:rPr>
      </w:pPr>
    </w:p>
    <w:p>
      <w:pPr>
        <w:pStyle w:val="5"/>
        <w:jc w:val="center"/>
        <w:rPr>
          <w:rFonts w:hint="eastAsia" w:ascii="黑体" w:eastAsia="黑体"/>
          <w:b w:val="0"/>
          <w:sz w:val="24"/>
          <w:szCs w:val="24"/>
        </w:rPr>
      </w:pPr>
      <w:r>
        <w:rPr>
          <w:rFonts w:hint="eastAsia" w:ascii="黑体" w:eastAsia="黑体"/>
          <w:b w:val="0"/>
          <w:sz w:val="24"/>
          <w:szCs w:val="24"/>
          <w:lang w:val="en-US" w:eastAsia="zh-CN"/>
        </w:rPr>
        <w:t>五、</w:t>
      </w:r>
      <w:r>
        <w:rPr>
          <w:rFonts w:hint="eastAsia" w:ascii="黑体" w:eastAsia="黑体"/>
          <w:b w:val="0"/>
          <w:sz w:val="24"/>
          <w:szCs w:val="24"/>
        </w:rPr>
        <w:t>体系认证情况评价</w:t>
      </w:r>
    </w:p>
    <w:p/>
    <w:p>
      <w:pPr>
        <w:ind w:firstLine="723" w:firstLineChars="300"/>
        <w:rPr>
          <w:b/>
          <w:color w:val="FF0000"/>
          <w:sz w:val="24"/>
        </w:rPr>
      </w:pPr>
      <w:r>
        <w:rPr>
          <w:rFonts w:hint="eastAsia"/>
          <w:b/>
          <w:color w:val="FF0000"/>
          <w:sz w:val="24"/>
        </w:rPr>
        <w:t>（信息公开部分的内容到此为止！以下为信息不公开部分。）</w:t>
      </w:r>
    </w:p>
    <w:bookmarkEnd w:id="66"/>
    <w:p>
      <w:r>
        <w:br w:type="page"/>
      </w:r>
    </w:p>
    <w:p>
      <w:pPr>
        <w:outlineLvl w:val="1"/>
        <w:rPr>
          <w:rFonts w:hint="eastAsia" w:ascii="宋体" w:hAnsi="宋体"/>
          <w:b/>
          <w:color w:val="FF0000"/>
          <w:sz w:val="28"/>
          <w:szCs w:val="28"/>
        </w:rPr>
      </w:pPr>
      <w:bookmarkStart w:id="69" w:name="_Hlk72260530"/>
      <w:r>
        <w:rPr>
          <w:rFonts w:hint="eastAsia" w:ascii="宋体" w:hAnsi="宋体"/>
          <w:b/>
          <w:color w:val="FF0000"/>
          <w:sz w:val="28"/>
          <w:szCs w:val="28"/>
        </w:rPr>
        <w:t>投标文件附件（信息不公开部分）</w:t>
      </w:r>
    </w:p>
    <w:p>
      <w:pPr>
        <w:widowControl w:val="0"/>
        <w:snapToGrid w:val="0"/>
        <w:spacing w:before="0" w:after="0" w:line="240" w:lineRule="auto"/>
        <w:jc w:val="center"/>
        <w:outlineLvl w:val="2"/>
        <w:rPr>
          <w:rFonts w:hint="eastAsia" w:ascii="黑体" w:hAnsi="宋体" w:eastAsia="黑体" w:cs="Times New Roman"/>
          <w:b w:val="0"/>
          <w:bCs/>
          <w:kern w:val="2"/>
          <w:sz w:val="24"/>
          <w:szCs w:val="32"/>
          <w:lang w:val="en-US" w:eastAsia="zh-CN" w:bidi="ar-SA"/>
        </w:rPr>
      </w:pPr>
      <w:r>
        <w:rPr>
          <w:rFonts w:hint="eastAsia" w:ascii="黑体" w:hAnsi="宋体" w:eastAsia="黑体" w:cs="Times New Roman"/>
          <w:b w:val="0"/>
          <w:bCs/>
          <w:kern w:val="2"/>
          <w:sz w:val="24"/>
          <w:szCs w:val="32"/>
          <w:lang w:val="en-US" w:eastAsia="zh-CN" w:bidi="ar-SA"/>
        </w:rPr>
        <w:t>一、供应商基本情况表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pStyle w:val="62"/>
        <w:rPr>
          <w:rFonts w:hint="eastAsia" w:ascii="宋体" w:hAnsi="宋体"/>
          <w:b/>
          <w:color w:val="FF0000"/>
          <w:sz w:val="28"/>
          <w:szCs w:val="28"/>
        </w:rPr>
      </w:pPr>
    </w:p>
    <w:p>
      <w:pPr>
        <w:rPr>
          <w:rFonts w:hint="eastAsia" w:ascii="宋体" w:hAnsi="宋体"/>
          <w:b/>
          <w:color w:val="FF0000"/>
          <w:sz w:val="28"/>
          <w:szCs w:val="28"/>
        </w:rPr>
      </w:pPr>
      <w:r>
        <w:rPr>
          <w:rFonts w:hint="eastAsia" w:ascii="宋体" w:hAnsi="宋体"/>
          <w:b/>
          <w:color w:val="FF0000"/>
          <w:sz w:val="28"/>
          <w:szCs w:val="28"/>
        </w:rPr>
        <w:br w:type="page"/>
      </w:r>
    </w:p>
    <w:p>
      <w:pPr>
        <w:pStyle w:val="5"/>
        <w:jc w:val="center"/>
        <w:rPr>
          <w:rFonts w:ascii="黑体" w:eastAsia="黑体"/>
          <w:b w:val="0"/>
          <w:sz w:val="24"/>
        </w:rPr>
      </w:pPr>
      <w:r>
        <w:rPr>
          <w:rFonts w:hint="eastAsia" w:ascii="黑体" w:eastAsia="黑体"/>
          <w:b w:val="0"/>
          <w:sz w:val="24"/>
          <w:lang w:val="en-US" w:eastAsia="zh-CN"/>
        </w:rPr>
        <w:t>二</w:t>
      </w:r>
      <w:r>
        <w:rPr>
          <w:rFonts w:hint="eastAsia" w:ascii="黑体" w:eastAsia="黑体"/>
          <w:b w:val="0"/>
          <w:sz w:val="24"/>
        </w:rPr>
        <w:t>、</w:t>
      </w:r>
      <w:bookmarkStart w:id="70" w:name="_Hlk72092499"/>
      <w:r>
        <w:rPr>
          <w:rFonts w:hint="eastAsia" w:ascii="黑体" w:eastAsia="黑体"/>
          <w:b w:val="0"/>
          <w:sz w:val="24"/>
        </w:rPr>
        <w:t>法定代表人（负责人）证明书</w:t>
      </w:r>
      <w:bookmarkEnd w:id="70"/>
    </w:p>
    <w:p>
      <w:pPr>
        <w:rPr>
          <w:sz w:val="24"/>
        </w:rPr>
      </w:pPr>
    </w:p>
    <w:p>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pPr>
        <w:numPr>
          <w:ilvl w:val="0"/>
          <w:numId w:val="8"/>
        </w:numPr>
        <w:spacing w:line="360" w:lineRule="auto"/>
        <w:ind w:firstLine="420" w:firstLineChars="200"/>
        <w:rPr>
          <w:rFonts w:hint="eastAsia"/>
          <w:color w:val="auto"/>
          <w:szCs w:val="21"/>
          <w:lang w:val="en-US" w:eastAsia="zh-CN"/>
        </w:rPr>
      </w:pPr>
      <w:r>
        <w:rPr>
          <w:rFonts w:hint="eastAsia"/>
          <w:color w:val="auto"/>
          <w:szCs w:val="21"/>
          <w:lang w:eastAsia="zh-Hans"/>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8"/>
        </w:numPr>
        <w:spacing w:line="360" w:lineRule="auto"/>
        <w:ind w:firstLine="420" w:firstLineChars="200"/>
        <w:rPr>
          <w:szCs w:val="21"/>
        </w:rPr>
      </w:pPr>
      <w:r>
        <w:rPr>
          <w:rFonts w:hint="eastAsia"/>
          <w:color w:val="auto"/>
          <w:szCs w:val="21"/>
          <w:lang w:eastAsia="zh-Hans"/>
        </w:rPr>
        <w:t>本项目投标授权代表为法定代表人（负责人）的，无需提供</w:t>
      </w:r>
      <w:r>
        <w:rPr>
          <w:rFonts w:hint="eastAsia"/>
          <w:color w:val="auto"/>
          <w:szCs w:val="21"/>
        </w:rPr>
        <w:t>《投标文件签署授权委托书》</w:t>
      </w:r>
      <w:r>
        <w:rPr>
          <w:rFonts w:hint="eastAsia"/>
          <w:color w:val="auto"/>
          <w:szCs w:val="21"/>
          <w:lang w:eastAsia="zh-Hans"/>
        </w:rPr>
        <w:t>。</w:t>
      </w:r>
    </w:p>
    <w:p>
      <w:pPr>
        <w:numPr>
          <w:ilvl w:val="0"/>
          <w:numId w:val="8"/>
        </w:numPr>
        <w:spacing w:line="360" w:lineRule="auto"/>
        <w:ind w:firstLine="420" w:firstLineChars="200"/>
        <w:rPr>
          <w:szCs w:val="21"/>
        </w:rPr>
      </w:pPr>
      <w:r>
        <w:rPr>
          <w:rFonts w:hint="eastAsia"/>
          <w:szCs w:val="21"/>
        </w:rPr>
        <w:t>内容必须填写真实、清楚，涂改无效，不得转让、买卖。</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lang w:val="en-US" w:eastAsia="zh-CN"/>
              </w:rPr>
              <w:t>证件扫描件正面</w:t>
            </w:r>
          </w:p>
          <w:p>
            <w:pPr>
              <w:pStyle w:val="2"/>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lang w:val="en-US" w:eastAsia="zh-CN"/>
              </w:rPr>
              <w:t>证件扫描件反面</w:t>
            </w:r>
          </w:p>
          <w:p>
            <w:pPr>
              <w:pStyle w:val="2"/>
              <w:jc w:val="center"/>
              <w:rPr>
                <w:rFonts w:hint="eastAsia"/>
                <w:lang w:val="en-US" w:eastAsia="zh-CN"/>
              </w:rPr>
            </w:pPr>
          </w:p>
          <w:p>
            <w:pPr>
              <w:pStyle w:val="37"/>
              <w:jc w:val="center"/>
              <w:rPr>
                <w:rFonts w:hint="eastAsia"/>
                <w:sz w:val="24"/>
                <w:vertAlign w:val="baseline"/>
                <w:lang w:val="en-US" w:eastAsia="zh-CN"/>
              </w:rPr>
            </w:pPr>
          </w:p>
        </w:tc>
      </w:tr>
    </w:tbl>
    <w:p>
      <w:pPr>
        <w:rPr>
          <w:sz w:val="24"/>
        </w:rPr>
      </w:pPr>
    </w:p>
    <w:p>
      <w:pPr>
        <w:pStyle w:val="62"/>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pStyle w:val="62"/>
        <w:rPr>
          <w:sz w:val="24"/>
        </w:rPr>
      </w:pPr>
    </w:p>
    <w:p>
      <w:pPr>
        <w:pStyle w:val="62"/>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62"/>
        <w:rPr>
          <w:sz w:val="24"/>
        </w:rPr>
      </w:pPr>
    </w:p>
    <w:p>
      <w:pPr>
        <w:pStyle w:val="5"/>
        <w:spacing w:before="120" w:after="120"/>
        <w:jc w:val="center"/>
        <w:rPr>
          <w:rFonts w:ascii="黑体" w:eastAsia="黑体"/>
          <w:b w:val="0"/>
          <w:sz w:val="24"/>
        </w:rPr>
      </w:pPr>
      <w:r>
        <w:rPr>
          <w:rFonts w:hint="eastAsia" w:ascii="黑体" w:eastAsia="黑体"/>
          <w:b w:val="0"/>
          <w:sz w:val="24"/>
          <w:lang w:val="en-US" w:eastAsia="zh-CN"/>
        </w:rPr>
        <w:t>三</w:t>
      </w:r>
      <w:r>
        <w:rPr>
          <w:rFonts w:hint="eastAsia" w:ascii="黑体" w:eastAsia="黑体"/>
          <w:b w:val="0"/>
          <w:sz w:val="24"/>
        </w:rPr>
        <w:t>、投标文件签署授权委托书</w:t>
      </w: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2"/>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2"/>
              <w:jc w:val="center"/>
              <w:rPr>
                <w:rFonts w:hint="eastAsia"/>
                <w:lang w:val="en-US" w:eastAsia="zh-CN"/>
              </w:rPr>
            </w:pPr>
          </w:p>
          <w:p>
            <w:pPr>
              <w:pStyle w:val="37"/>
              <w:jc w:val="center"/>
              <w:rPr>
                <w:rFonts w:hint="eastAsia"/>
                <w:sz w:val="24"/>
                <w:vertAlign w:val="baseline"/>
                <w:lang w:val="en-US" w:eastAsia="zh-CN"/>
              </w:rPr>
            </w:pPr>
          </w:p>
        </w:tc>
      </w:tr>
    </w:tbl>
    <w:p>
      <w:pPr>
        <w:widowControl w:val="0"/>
        <w:jc w:val="both"/>
        <w:rPr>
          <w:rFonts w:hint="eastAsia" w:ascii="黑体" w:hAnsi="黑体" w:eastAsia="黑体" w:cs="黑体"/>
          <w:b/>
          <w:bCs/>
          <w:color w:val="auto"/>
          <w:kern w:val="2"/>
          <w:sz w:val="24"/>
          <w:szCs w:val="24"/>
          <w:u w:val="none"/>
          <w:lang w:val="en-US" w:eastAsia="zh-CN" w:bidi="ar-SA"/>
        </w:rPr>
      </w:pPr>
    </w:p>
    <w:p>
      <w:pPr>
        <w:widowControl w:val="0"/>
        <w:jc w:val="both"/>
        <w:rPr>
          <w:rFonts w:ascii="Calibri" w:hAnsi="Calibri" w:eastAsia="宋体" w:cs="Times New Roman"/>
          <w:kern w:val="2"/>
          <w:sz w:val="21"/>
          <w:szCs w:val="22"/>
          <w:lang w:val="en-US" w:eastAsia="zh-CN" w:bidi="ar-SA"/>
        </w:rPr>
      </w:pPr>
      <w:r>
        <w:rPr>
          <w:rFonts w:hint="eastAsia" w:ascii="黑体" w:hAnsi="黑体" w:eastAsia="黑体" w:cs="黑体"/>
          <w:b/>
          <w:bCs/>
          <w:color w:val="auto"/>
          <w:kern w:val="2"/>
          <w:sz w:val="24"/>
          <w:szCs w:val="24"/>
          <w:u w:val="none"/>
          <w:lang w:val="en-US" w:eastAsia="zh-CN" w:bidi="ar-SA"/>
        </w:rPr>
        <w:t>温馨提示</w:t>
      </w:r>
      <w:r>
        <w:rPr>
          <w:rFonts w:hint="eastAsia" w:ascii="黑体" w:hAnsi="黑体" w:eastAsia="黑体" w:cs="黑体"/>
          <w:color w:val="auto"/>
          <w:kern w:val="2"/>
          <w:sz w:val="24"/>
          <w:szCs w:val="24"/>
          <w:u w:val="none"/>
          <w:lang w:val="en-US" w:eastAsia="zh-CN" w:bidi="ar-SA"/>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widowControl w:val="0"/>
        <w:jc w:val="both"/>
        <w:rPr>
          <w:rFonts w:ascii="Calibri" w:hAnsi="Calibri" w:eastAsia="宋体" w:cs="Times New Roman"/>
          <w:kern w:val="2"/>
          <w:sz w:val="21"/>
          <w:szCs w:val="22"/>
          <w:lang w:val="en-US" w:eastAsia="zh-CN" w:bidi="ar-SA"/>
        </w:rPr>
      </w:pPr>
    </w:p>
    <w:p>
      <w:pPr>
        <w:widowControl w:val="0"/>
        <w:jc w:val="both"/>
        <w:rPr>
          <w:rFonts w:ascii="Calibri" w:hAnsi="Calibri" w:eastAsia="宋体" w:cs="Times New Roman"/>
          <w:kern w:val="2"/>
          <w:sz w:val="21"/>
          <w:szCs w:val="22"/>
          <w:lang w:val="en-US" w:eastAsia="zh-CN" w:bidi="ar-SA"/>
        </w:rPr>
      </w:pPr>
    </w:p>
    <w:p>
      <w:pPr>
        <w:widowControl w:val="0"/>
        <w:jc w:val="both"/>
        <w:rPr>
          <w:rFonts w:hint="eastAsia" w:ascii="Calibri" w:hAnsi="Calibri" w:eastAsia="宋体" w:cs="Times New Roman"/>
          <w:kern w:val="2"/>
          <w:sz w:val="21"/>
          <w:szCs w:val="22"/>
          <w:lang w:val="en-US" w:eastAsia="zh-CN" w:bidi="ar-SA"/>
        </w:rPr>
      </w:pPr>
    </w:p>
    <w:p>
      <w:pPr>
        <w:rPr>
          <w:rFonts w:hint="eastAsia" w:ascii="黑体" w:eastAsia="黑体"/>
          <w:b w:val="0"/>
          <w:kern w:val="0"/>
          <w:sz w:val="24"/>
          <w:szCs w:val="24"/>
        </w:rPr>
      </w:pPr>
    </w:p>
    <w:p>
      <w:pPr>
        <w:pStyle w:val="62"/>
        <w:rPr>
          <w:rFonts w:hint="eastAsia" w:ascii="黑体" w:eastAsia="黑体"/>
          <w:b w:val="0"/>
          <w:kern w:val="0"/>
          <w:sz w:val="24"/>
          <w:szCs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jc w:val="center"/>
        <w:rPr>
          <w:rFonts w:ascii="黑体" w:eastAsia="黑体"/>
          <w:b w:val="0"/>
          <w:kern w:val="0"/>
          <w:sz w:val="24"/>
          <w:szCs w:val="24"/>
        </w:rPr>
      </w:pPr>
      <w:r>
        <w:rPr>
          <w:rFonts w:hint="eastAsia" w:ascii="黑体" w:eastAsia="黑体"/>
          <w:b w:val="0"/>
          <w:kern w:val="0"/>
          <w:sz w:val="24"/>
          <w:szCs w:val="24"/>
          <w:lang w:val="en-US" w:eastAsia="zh-CN"/>
        </w:rPr>
        <w:t>四</w:t>
      </w:r>
      <w:r>
        <w:rPr>
          <w:rFonts w:hint="eastAsia" w:ascii="黑体" w:eastAsia="黑体"/>
          <w:b w:val="0"/>
          <w:kern w:val="0"/>
          <w:sz w:val="24"/>
          <w:szCs w:val="24"/>
        </w:rPr>
        <w:t>、</w:t>
      </w:r>
      <w:bookmarkStart w:id="71" w:name="_Hlk72092634"/>
      <w:r>
        <w:rPr>
          <w:rFonts w:hint="eastAsia" w:ascii="黑体" w:eastAsia="黑体"/>
          <w:b w:val="0"/>
          <w:kern w:val="0"/>
          <w:sz w:val="24"/>
          <w:szCs w:val="24"/>
        </w:rPr>
        <w:t>实质性条款响应情况表</w:t>
      </w:r>
      <w:bookmarkEnd w:id="71"/>
    </w:p>
    <w:tbl>
      <w:tblPr>
        <w:tblStyle w:val="4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ascii="宋体" w:hAnsi="宋体"/>
                <w:kern w:val="0"/>
                <w:szCs w:val="21"/>
              </w:rPr>
            </w:pPr>
            <w:bookmarkStart w:id="72" w:name="_Hlk72092651"/>
            <w:r>
              <w:rPr>
                <w:rFonts w:hint="eastAsia" w:ascii="宋体" w:hAnsi="宋体"/>
                <w:kern w:val="0"/>
                <w:szCs w:val="21"/>
              </w:rPr>
              <w:t>序号</w:t>
            </w:r>
          </w:p>
        </w:tc>
        <w:tc>
          <w:tcPr>
            <w:tcW w:w="2664"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88" w:type="dxa"/>
            <w:vAlign w:val="center"/>
          </w:tcPr>
          <w:p>
            <w:pPr>
              <w:adjustRightInd w:val="0"/>
              <w:snapToGrid w:val="0"/>
              <w:spacing w:line="360" w:lineRule="auto"/>
              <w:jc w:val="center"/>
              <w:rPr>
                <w:rFonts w:ascii="宋体" w:hAnsi="宋体"/>
                <w:kern w:val="0"/>
                <w:szCs w:val="21"/>
              </w:rPr>
            </w:pPr>
            <w:r>
              <w:rPr>
                <w:rFonts w:hint="eastAsia"/>
              </w:rPr>
              <w:t>投标响应</w:t>
            </w:r>
          </w:p>
        </w:tc>
        <w:tc>
          <w:tcPr>
            <w:tcW w:w="1842" w:type="dxa"/>
            <w:vAlign w:val="center"/>
          </w:tcPr>
          <w:p>
            <w:pPr>
              <w:adjustRightInd w:val="0"/>
              <w:snapToGrid w:val="0"/>
              <w:spacing w:line="360" w:lineRule="auto"/>
              <w:jc w:val="center"/>
              <w:rPr>
                <w:rFonts w:ascii="宋体" w:hAnsi="宋体"/>
                <w:kern w:val="0"/>
                <w:szCs w:val="21"/>
              </w:rPr>
            </w:pPr>
            <w:r>
              <w:rPr>
                <w:rFonts w:hint="eastAsia"/>
              </w:rPr>
              <w:t>偏离情况</w:t>
            </w:r>
          </w:p>
        </w:tc>
        <w:tc>
          <w:tcPr>
            <w:tcW w:w="1418" w:type="dxa"/>
            <w:vAlign w:val="center"/>
          </w:tcPr>
          <w:p>
            <w:pPr>
              <w:adjustRightInd w:val="0"/>
              <w:snapToGrid w:val="0"/>
              <w:spacing w:line="360" w:lineRule="auto"/>
              <w:jc w:val="center"/>
              <w:rPr>
                <w:rFonts w:ascii="宋体" w:hAnsi="宋体"/>
                <w:kern w:val="0"/>
                <w:szCs w:val="21"/>
              </w:rPr>
            </w:pPr>
            <w:r>
              <w:rPr>
                <w:rFonts w:hint="eastAsia"/>
              </w:rPr>
              <w:t>说明</w:t>
            </w:r>
          </w:p>
        </w:tc>
      </w:tr>
      <w:bookmarkEnd w:id="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2664" w:type="dxa"/>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Cs/>
                <w:color w:val="auto"/>
                <w:sz w:val="21"/>
                <w:szCs w:val="21"/>
              </w:rPr>
              <w:t>★1.货物免费保修期</w:t>
            </w:r>
            <w:r>
              <w:rPr>
                <w:rFonts w:hint="eastAsia" w:ascii="宋体" w:hAnsi="宋体" w:eastAsia="宋体" w:cs="宋体"/>
                <w:bCs/>
                <w:color w:val="auto"/>
                <w:sz w:val="21"/>
                <w:szCs w:val="21"/>
                <w:u w:val="single"/>
              </w:rPr>
              <w:t>5</w:t>
            </w:r>
            <w:r>
              <w:rPr>
                <w:rFonts w:hint="eastAsia" w:ascii="宋体" w:hAnsi="宋体" w:eastAsia="宋体" w:cs="宋体"/>
                <w:bCs/>
                <w:color w:val="auto"/>
                <w:sz w:val="21"/>
                <w:szCs w:val="21"/>
              </w:rPr>
              <w:t>年，时间自最终验收合格并交付使用之日起计算。</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2664" w:type="dxa"/>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★2.免费保修期内，</w:t>
            </w:r>
            <w:r>
              <w:rPr>
                <w:rFonts w:hint="eastAsia" w:ascii="宋体" w:hAnsi="宋体" w:eastAsia="宋体" w:cs="宋体"/>
                <w:color w:val="auto"/>
                <w:sz w:val="21"/>
                <w:szCs w:val="21"/>
              </w:rPr>
              <w:t>所有服务及配件全部免费。</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3</w:t>
            </w:r>
          </w:p>
        </w:tc>
        <w:tc>
          <w:tcPr>
            <w:tcW w:w="2664" w:type="dxa"/>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color w:val="auto"/>
                <w:sz w:val="21"/>
                <w:szCs w:val="21"/>
              </w:rPr>
              <w:t>★1.1履约时间和地点：投标供应商在签订合同之日起30天内交货，交货地点为</w:t>
            </w:r>
            <w:r>
              <w:rPr>
                <w:rFonts w:hint="eastAsia" w:ascii="宋体" w:hAnsi="宋体" w:eastAsia="宋体" w:cs="宋体"/>
                <w:color w:val="auto"/>
                <w:sz w:val="21"/>
                <w:szCs w:val="21"/>
                <w:u w:val="none"/>
              </w:rPr>
              <w:t>采购人指定地点。</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4</w:t>
            </w:r>
          </w:p>
        </w:tc>
        <w:tc>
          <w:tcPr>
            <w:tcW w:w="2664" w:type="dxa"/>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5.5★</w:t>
            </w:r>
            <w:r>
              <w:rPr>
                <w:rFonts w:hint="eastAsia" w:ascii="宋体" w:hAnsi="宋体" w:cs="宋体"/>
                <w:color w:val="auto"/>
                <w:szCs w:val="21"/>
              </w:rPr>
              <w:t>信息化系统：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5</w:t>
            </w:r>
          </w:p>
        </w:tc>
        <w:tc>
          <w:tcPr>
            <w:tcW w:w="2664"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kern w:val="0"/>
                <w:sz w:val="21"/>
                <w:szCs w:val="21"/>
                <w:lang w:val="en-US" w:eastAsia="zh-CN"/>
              </w:rPr>
              <w:t>5.6</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kern w:val="0"/>
                <w:sz w:val="21"/>
                <w:szCs w:val="21"/>
              </w:rPr>
              <w:t>所投产品必须提供医疗器械注册证书（或者备案凭证）扫描件。开标时，该证应在有效期内，若不在有效期内，则需提供该证和所投产品在该证有效期内生产的药监局出具的证明文件。</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6</w:t>
            </w:r>
          </w:p>
        </w:tc>
        <w:tc>
          <w:tcPr>
            <w:tcW w:w="2664" w:type="dxa"/>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5.7</w:t>
            </w:r>
            <w:r>
              <w:rPr>
                <w:rFonts w:hint="eastAsia" w:ascii="宋体" w:hAnsi="宋体" w:eastAsia="宋体" w:cs="宋体"/>
                <w:color w:val="auto"/>
                <w:sz w:val="21"/>
                <w:szCs w:val="21"/>
              </w:rPr>
              <w:t>★其他要求</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配齐设备正常使用所需要的所有附件，如连线、架子、特殊插座插头、导管，无需另外购置即可满足临床需求。</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360" w:lineRule="auto"/>
              <w:jc w:val="center"/>
              <w:rPr>
                <w:rFonts w:hint="default" w:ascii="宋体" w:hAnsi="宋体"/>
                <w:kern w:val="0"/>
                <w:szCs w:val="21"/>
                <w:lang w:val="en-US" w:eastAsia="zh-CN"/>
              </w:rPr>
            </w:pPr>
            <w:r>
              <w:rPr>
                <w:rFonts w:hint="eastAsia" w:ascii="宋体" w:hAnsi="宋体"/>
                <w:kern w:val="0"/>
                <w:szCs w:val="21"/>
                <w:lang w:val="en-US" w:eastAsia="zh-CN"/>
              </w:rPr>
              <w:t>7</w:t>
            </w:r>
          </w:p>
        </w:tc>
        <w:tc>
          <w:tcPr>
            <w:tcW w:w="2664" w:type="dxa"/>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bl>
    <w:p>
      <w:pPr>
        <w:ind w:firstLine="482" w:firstLineChars="200"/>
        <w:rPr>
          <w:b/>
          <w:sz w:val="24"/>
          <w:szCs w:val="22"/>
        </w:rPr>
      </w:pPr>
    </w:p>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82" w:firstLineChars="200"/>
        <w:rPr>
          <w:b/>
          <w:sz w:val="24"/>
        </w:rPr>
      </w:pPr>
      <w:r>
        <w:rPr>
          <w:b/>
          <w:sz w:val="24"/>
        </w:rPr>
        <w:t>4.</w:t>
      </w:r>
      <w:r>
        <w:rPr>
          <w:rFonts w:hint="eastAsia"/>
          <w:b/>
          <w:sz w:val="24"/>
        </w:rPr>
        <w:t>评审委员会有权对投标响应情况作出判断（作出评审结论）。</w:t>
      </w:r>
    </w:p>
    <w:p>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69"/>
    </w:p>
    <w:p>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p>
      <w:r>
        <w:br w:type="page"/>
      </w:r>
    </w:p>
    <w:p>
      <w:pPr>
        <w:pStyle w:val="5"/>
        <w:jc w:val="center"/>
        <w:rPr>
          <w:sz w:val="24"/>
        </w:rPr>
      </w:pPr>
      <w:r>
        <w:rPr>
          <w:rFonts w:hint="eastAsia" w:ascii="黑体" w:eastAsia="黑体"/>
          <w:b w:val="0"/>
          <w:sz w:val="24"/>
          <w:szCs w:val="24"/>
          <w:lang w:val="en-US" w:eastAsia="zh-CN"/>
        </w:rPr>
        <w:t>五</w:t>
      </w:r>
      <w:r>
        <w:rPr>
          <w:rFonts w:hint="eastAsia" w:ascii="黑体" w:eastAsia="黑体"/>
          <w:b w:val="0"/>
          <w:sz w:val="24"/>
          <w:szCs w:val="24"/>
        </w:rPr>
        <w:t>、技术要求偏离表</w:t>
      </w:r>
    </w:p>
    <w:p>
      <w:pPr>
        <w:rPr>
          <w:sz w:val="24"/>
        </w:rPr>
      </w:pPr>
    </w:p>
    <w:p>
      <w:pPr>
        <w:pStyle w:val="2"/>
        <w:rPr>
          <w:sz w:val="24"/>
        </w:rPr>
      </w:pPr>
    </w:p>
    <w:tbl>
      <w:tblPr>
        <w:tblStyle w:val="4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27"/>
        <w:gridCol w:w="2336"/>
        <w:gridCol w:w="1667"/>
        <w:gridCol w:w="1249"/>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49"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序号</w:t>
            </w:r>
          </w:p>
        </w:tc>
        <w:tc>
          <w:tcPr>
            <w:tcW w:w="544" w:type="pct"/>
            <w:vAlign w:val="center"/>
          </w:tcPr>
          <w:p>
            <w:pPr>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货物名称</w:t>
            </w:r>
          </w:p>
        </w:tc>
        <w:tc>
          <w:tcPr>
            <w:tcW w:w="1369"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招标技术要求</w:t>
            </w:r>
          </w:p>
        </w:tc>
        <w:tc>
          <w:tcPr>
            <w:tcW w:w="977"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sz w:val="21"/>
                <w:szCs w:val="21"/>
              </w:rPr>
              <w:t>投标技术响应</w:t>
            </w:r>
          </w:p>
        </w:tc>
        <w:tc>
          <w:tcPr>
            <w:tcW w:w="732"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sz w:val="21"/>
                <w:szCs w:val="21"/>
              </w:rPr>
              <w:t>偏离情况</w:t>
            </w:r>
          </w:p>
        </w:tc>
        <w:tc>
          <w:tcPr>
            <w:tcW w:w="1125"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49"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w:t>
            </w:r>
          </w:p>
        </w:tc>
        <w:tc>
          <w:tcPr>
            <w:tcW w:w="544" w:type="pct"/>
            <w:vMerge w:val="restar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cs="宋体"/>
                <w:b w:val="0"/>
                <w:bCs w:val="0"/>
                <w:sz w:val="21"/>
                <w:szCs w:val="21"/>
                <w:u w:val="none"/>
                <w:lang w:eastAsia="zh-CN"/>
              </w:rPr>
              <w:t>彩色多普勒诊断仪器</w:t>
            </w:r>
          </w:p>
        </w:tc>
        <w:tc>
          <w:tcPr>
            <w:tcW w:w="1369" w:type="pct"/>
            <w:vMerge w:val="restar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1.系统技术规格及概述：</w:t>
            </w:r>
          </w:p>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1.1.≥23英寸高分辨率彩色液晶显示器，操作面板自带≥13英寸的高灵敏度触摸屏，支持手势操作，触摸屏角度可调</w:t>
            </w:r>
          </w:p>
        </w:tc>
        <w:tc>
          <w:tcPr>
            <w:tcW w:w="977" w:type="pct"/>
            <w:vMerge w:val="restar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732" w:type="pct"/>
            <w:vMerge w:val="restar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125" w:type="pct"/>
            <w:vMerge w:val="restar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w:t>
            </w:r>
          </w:p>
        </w:tc>
        <w:tc>
          <w:tcPr>
            <w:tcW w:w="544"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369" w:type="pct"/>
            <w:vMerge w:val="continue"/>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977" w:type="pct"/>
            <w:vMerge w:val="continue"/>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732" w:type="pct"/>
            <w:vMerge w:val="continue"/>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125" w:type="pct"/>
            <w:vMerge w:val="continue"/>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49"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w:t>
            </w:r>
          </w:p>
        </w:tc>
        <w:tc>
          <w:tcPr>
            <w:tcW w:w="544"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369" w:type="pct"/>
          </w:tcPr>
          <w:p>
            <w:pPr>
              <w:pStyle w:val="5"/>
              <w:pageBreakBefore w:val="0"/>
              <w:numPr>
                <w:ilvl w:val="2"/>
                <w:numId w:val="0"/>
              </w:numPr>
              <w:kinsoku/>
              <w:wordWrap/>
              <w:overflowPunct/>
              <w:topLinePunct w:val="0"/>
              <w:autoSpaceDE/>
              <w:autoSpaceDN/>
              <w:bidi w:val="0"/>
              <w:adjustRightInd/>
              <w:snapToGrid/>
              <w:spacing w:before="0" w:after="0"/>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1.2.</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支持数字化全域聚焦，支持图像上无焦点显示和焦点独立显示个数12个</w:t>
            </w:r>
          </w:p>
        </w:tc>
        <w:tc>
          <w:tcPr>
            <w:tcW w:w="977" w:type="pct"/>
          </w:tcPr>
          <w:p>
            <w:pPr>
              <w:pStyle w:val="5"/>
              <w:pageBreakBefore w:val="0"/>
              <w:numPr>
                <w:ilvl w:val="2"/>
                <w:numId w:val="0"/>
              </w:numPr>
              <w:kinsoku/>
              <w:wordWrap/>
              <w:overflowPunct/>
              <w:topLinePunct w:val="0"/>
              <w:autoSpaceDE/>
              <w:autoSpaceDN/>
              <w:bidi w:val="0"/>
              <w:adjustRightInd/>
              <w:snapToGrid/>
              <w:spacing w:before="0" w:after="0"/>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732" w:type="pct"/>
          </w:tcPr>
          <w:p>
            <w:pPr>
              <w:pStyle w:val="5"/>
              <w:pageBreakBefore w:val="0"/>
              <w:numPr>
                <w:ilvl w:val="2"/>
                <w:numId w:val="0"/>
              </w:numPr>
              <w:kinsoku/>
              <w:wordWrap/>
              <w:overflowPunct/>
              <w:topLinePunct w:val="0"/>
              <w:autoSpaceDE/>
              <w:autoSpaceDN/>
              <w:bidi w:val="0"/>
              <w:adjustRightInd/>
              <w:snapToGrid/>
              <w:spacing w:before="0" w:after="0"/>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125" w:type="pct"/>
          </w:tcPr>
          <w:p>
            <w:pPr>
              <w:pStyle w:val="5"/>
              <w:pageBreakBefore w:val="0"/>
              <w:numPr>
                <w:ilvl w:val="2"/>
                <w:numId w:val="0"/>
              </w:numPr>
              <w:kinsoku/>
              <w:wordWrap/>
              <w:overflowPunct/>
              <w:topLinePunct w:val="0"/>
              <w:autoSpaceDE/>
              <w:autoSpaceDN/>
              <w:bidi w:val="0"/>
              <w:adjustRightInd/>
              <w:snapToGrid/>
              <w:spacing w:before="0" w:after="0"/>
              <w:textAlignment w:val="auto"/>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4</w:t>
            </w:r>
          </w:p>
        </w:tc>
        <w:tc>
          <w:tcPr>
            <w:tcW w:w="544"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369"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1.3.数字化通道数≥</w:t>
            </w:r>
            <w:r>
              <w:rPr>
                <w:rFonts w:hint="eastAsia" w:ascii="宋体" w:hAnsi="宋体" w:eastAsia="宋体" w:cs="宋体"/>
                <w:b w:val="0"/>
                <w:bCs w:val="0"/>
                <w:color w:val="000000" w:themeColor="text1"/>
                <w:sz w:val="21"/>
                <w:szCs w:val="21"/>
                <w:lang w:val="en-US" w:eastAsia="zh-CN"/>
                <w14:textFill>
                  <w14:solidFill>
                    <w14:schemeClr w14:val="tx1"/>
                  </w14:solidFill>
                </w14:textFill>
              </w:rPr>
              <w:t>460</w:t>
            </w:r>
            <w:r>
              <w:rPr>
                <w:rFonts w:hint="eastAsia" w:ascii="宋体" w:hAnsi="宋体" w:eastAsia="宋体" w:cs="宋体"/>
                <w:b w:val="0"/>
                <w:bCs w:val="0"/>
                <w:color w:val="000000" w:themeColor="text1"/>
                <w:sz w:val="21"/>
                <w:szCs w:val="21"/>
                <w14:textFill>
                  <w14:solidFill>
                    <w14:schemeClr w14:val="tx1"/>
                  </w14:solidFill>
                </w14:textFill>
              </w:rPr>
              <w:t>0000，多倍信号并行处理</w:t>
            </w:r>
          </w:p>
        </w:tc>
        <w:tc>
          <w:tcPr>
            <w:tcW w:w="977"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732"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125"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5</w:t>
            </w:r>
          </w:p>
        </w:tc>
        <w:tc>
          <w:tcPr>
            <w:tcW w:w="544"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369"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1.4.声速匹配技术，可根据人体组织真实情况，一键实时自动匹配至最佳成像声速，并以具体数值在屏幕上显示</w:t>
            </w:r>
          </w:p>
        </w:tc>
        <w:tc>
          <w:tcPr>
            <w:tcW w:w="977"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732"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125"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6</w:t>
            </w:r>
          </w:p>
        </w:tc>
        <w:tc>
          <w:tcPr>
            <w:tcW w:w="544"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369"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1.5.具备二维灰阶模式，谐波成像模式，M型模式，彩色M型模式，解剖M型模式等</w:t>
            </w:r>
          </w:p>
        </w:tc>
        <w:tc>
          <w:tcPr>
            <w:tcW w:w="977"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732"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125"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7</w:t>
            </w:r>
          </w:p>
        </w:tc>
        <w:tc>
          <w:tcPr>
            <w:tcW w:w="544"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369"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1.6.彩色多普勒成像：包括彩色、能量、方向能量多普勒模式；频谱多普勒成像：包括脉冲多普勒、高脉冲重复频率、连续波多普勒；组织多普勒成像：包括组织速度图、能量图、M型、频谱成像≥4种模式</w:t>
            </w:r>
          </w:p>
        </w:tc>
        <w:tc>
          <w:tcPr>
            <w:tcW w:w="977"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732"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125"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8</w:t>
            </w:r>
          </w:p>
        </w:tc>
        <w:tc>
          <w:tcPr>
            <w:tcW w:w="544"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369"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1.7.具备立体血流功能，具备自由臂三维成像功能，空间复合成像功能，精细血流自动识别成像</w:t>
            </w:r>
          </w:p>
        </w:tc>
        <w:tc>
          <w:tcPr>
            <w:tcW w:w="977"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732"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125"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9</w:t>
            </w:r>
          </w:p>
        </w:tc>
        <w:tc>
          <w:tcPr>
            <w:tcW w:w="544"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369" w:type="pct"/>
            <w:vMerge w:val="restart"/>
            <w:vAlign w:val="center"/>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2.测量/分析和报告：</w:t>
            </w:r>
          </w:p>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xml:space="preserve">2.1.血管内中膜自动测量，可同时进行血管前、后壁的内中膜一段距离的自动描记、自动生成测量数据结果，并具备IMT评估曲线分析 </w:t>
            </w:r>
          </w:p>
        </w:tc>
        <w:tc>
          <w:tcPr>
            <w:tcW w:w="977" w:type="pct"/>
            <w:vMerge w:val="restart"/>
            <w:vAlign w:val="center"/>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732" w:type="pct"/>
            <w:vMerge w:val="restart"/>
            <w:vAlign w:val="center"/>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125" w:type="pct"/>
            <w:vMerge w:val="restart"/>
            <w:vAlign w:val="center"/>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10</w:t>
            </w:r>
          </w:p>
        </w:tc>
        <w:tc>
          <w:tcPr>
            <w:tcW w:w="544"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369" w:type="pct"/>
            <w:vMerge w:val="continue"/>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977" w:type="pct"/>
            <w:vMerge w:val="continue"/>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732" w:type="pct"/>
            <w:vMerge w:val="continue"/>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125" w:type="pct"/>
            <w:vMerge w:val="continue"/>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11</w:t>
            </w:r>
          </w:p>
        </w:tc>
        <w:tc>
          <w:tcPr>
            <w:tcW w:w="544"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369"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2.2.支持小儿髋关节自动测量功能，可自动计算α角，β角，自动进行临床分型</w:t>
            </w:r>
          </w:p>
        </w:tc>
        <w:tc>
          <w:tcPr>
            <w:tcW w:w="977"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732"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125"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12</w:t>
            </w:r>
          </w:p>
        </w:tc>
        <w:tc>
          <w:tcPr>
            <w:tcW w:w="544"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369"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2.3.支持自动肝肾比测量，可自动计算肝脏与肾皮层增益比值，提供HRI值</w:t>
            </w:r>
            <w:r>
              <w:rPr>
                <w:rFonts w:hint="eastAsia" w:ascii="宋体" w:hAnsi="宋体" w:eastAsia="宋体" w:cs="宋体"/>
                <w:b w:val="0"/>
                <w:bCs w:val="0"/>
                <w:color w:val="FF0000"/>
                <w:sz w:val="21"/>
                <w:szCs w:val="21"/>
              </w:rPr>
              <w:t>（提供证明材料：</w:t>
            </w:r>
            <w:r>
              <w:rPr>
                <w:rFonts w:hint="eastAsia" w:ascii="宋体" w:hAnsi="宋体" w:cs="宋体"/>
                <w:color w:val="FF0000"/>
                <w:szCs w:val="21"/>
              </w:rPr>
              <w:t>注册证附页的详细技术参数清单</w:t>
            </w:r>
            <w:r>
              <w:rPr>
                <w:rFonts w:hint="eastAsia" w:ascii="宋体" w:hAnsi="宋体" w:eastAsia="宋体" w:cs="宋体"/>
                <w:b w:val="0"/>
                <w:bCs w:val="0"/>
                <w:color w:val="FF0000"/>
                <w:sz w:val="21"/>
                <w:szCs w:val="21"/>
              </w:rPr>
              <w:t>）</w:t>
            </w:r>
          </w:p>
        </w:tc>
        <w:tc>
          <w:tcPr>
            <w:tcW w:w="977"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732"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125"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13</w:t>
            </w:r>
          </w:p>
        </w:tc>
        <w:tc>
          <w:tcPr>
            <w:tcW w:w="544"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369"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2.4.支持自动血流像素比计算，可自动计算取样框内彩色血流像素百分比，支持Color/Power多种模式</w:t>
            </w:r>
            <w:r>
              <w:rPr>
                <w:rFonts w:hint="eastAsia" w:ascii="宋体" w:hAnsi="宋体" w:eastAsia="宋体" w:cs="宋体"/>
                <w:b w:val="0"/>
                <w:bCs w:val="0"/>
                <w:color w:val="FF0000"/>
                <w:sz w:val="21"/>
                <w:szCs w:val="21"/>
              </w:rPr>
              <w:t>（提供证明材料：</w:t>
            </w:r>
            <w:r>
              <w:rPr>
                <w:rFonts w:hint="eastAsia" w:ascii="宋体" w:hAnsi="宋体" w:cs="宋体"/>
                <w:color w:val="FF0000"/>
                <w:szCs w:val="21"/>
              </w:rPr>
              <w:t>注册证附页的详细技术参数清单</w:t>
            </w:r>
            <w:r>
              <w:rPr>
                <w:rFonts w:hint="eastAsia" w:ascii="宋体" w:hAnsi="宋体" w:eastAsia="宋体" w:cs="宋体"/>
                <w:b w:val="0"/>
                <w:bCs w:val="0"/>
                <w:color w:val="FF0000"/>
                <w:sz w:val="21"/>
                <w:szCs w:val="21"/>
              </w:rPr>
              <w:t>）</w:t>
            </w:r>
          </w:p>
        </w:tc>
        <w:tc>
          <w:tcPr>
            <w:tcW w:w="977"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732"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125"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14</w:t>
            </w:r>
          </w:p>
        </w:tc>
        <w:tc>
          <w:tcPr>
            <w:tcW w:w="544"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369" w:type="pct"/>
            <w:vAlign w:val="center"/>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2.5.支持声衰减成像技术，可对肝脏组织的衰减系数进行测量及可视化显示，用干脂肪肝和肝纤维化的量化评估诊断</w:t>
            </w:r>
            <w:r>
              <w:rPr>
                <w:rFonts w:hint="eastAsia" w:ascii="宋体" w:hAnsi="宋体" w:eastAsia="宋体" w:cs="宋体"/>
                <w:b w:val="0"/>
                <w:bCs w:val="0"/>
                <w:color w:val="FF0000"/>
                <w:sz w:val="21"/>
                <w:szCs w:val="21"/>
              </w:rPr>
              <w:t>（提供证明材料：生产厂商盖章的技术白皮书）</w:t>
            </w:r>
          </w:p>
        </w:tc>
        <w:tc>
          <w:tcPr>
            <w:tcW w:w="977" w:type="pct"/>
            <w:vAlign w:val="center"/>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732" w:type="pct"/>
            <w:vAlign w:val="center"/>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125" w:type="pct"/>
            <w:vAlign w:val="center"/>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15</w:t>
            </w:r>
          </w:p>
        </w:tc>
        <w:tc>
          <w:tcPr>
            <w:tcW w:w="544"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369" w:type="pct"/>
            <w:vMerge w:val="restart"/>
            <w:vAlign w:val="center"/>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3.系统技术参数及要求：</w:t>
            </w:r>
          </w:p>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3.1.二维灰阶模式最大帧率：≥650 帧/秒</w:t>
            </w:r>
          </w:p>
        </w:tc>
        <w:tc>
          <w:tcPr>
            <w:tcW w:w="977" w:type="pct"/>
            <w:vMerge w:val="restart"/>
            <w:vAlign w:val="center"/>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732" w:type="pct"/>
            <w:vMerge w:val="restart"/>
            <w:vAlign w:val="center"/>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125" w:type="pct"/>
            <w:vMerge w:val="restart"/>
            <w:vAlign w:val="center"/>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16</w:t>
            </w:r>
          </w:p>
        </w:tc>
        <w:tc>
          <w:tcPr>
            <w:tcW w:w="544"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369" w:type="pct"/>
            <w:vMerge w:val="continue"/>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977" w:type="pct"/>
            <w:vMerge w:val="continue"/>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732" w:type="pct"/>
            <w:vMerge w:val="continue"/>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125" w:type="pct"/>
            <w:vMerge w:val="continue"/>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17</w:t>
            </w:r>
          </w:p>
        </w:tc>
        <w:tc>
          <w:tcPr>
            <w:tcW w:w="544"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369"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3.1.1.TGC：≥8段，LGC：≥8段</w:t>
            </w:r>
          </w:p>
        </w:tc>
        <w:tc>
          <w:tcPr>
            <w:tcW w:w="977"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732"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125"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18</w:t>
            </w:r>
          </w:p>
        </w:tc>
        <w:tc>
          <w:tcPr>
            <w:tcW w:w="544"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369"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3.2.彩色多普勒成像显示方式：B/C、B/C/M、B/POWER、B/C/PW</w:t>
            </w:r>
          </w:p>
        </w:tc>
        <w:tc>
          <w:tcPr>
            <w:tcW w:w="977"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732"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125"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19</w:t>
            </w:r>
          </w:p>
        </w:tc>
        <w:tc>
          <w:tcPr>
            <w:tcW w:w="544"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369"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3.2.1.彩色多普勒成像模式下线阵探头取样框偏转：≥±30度</w:t>
            </w:r>
          </w:p>
        </w:tc>
        <w:tc>
          <w:tcPr>
            <w:tcW w:w="977"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732"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125"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20</w:t>
            </w:r>
          </w:p>
        </w:tc>
        <w:tc>
          <w:tcPr>
            <w:tcW w:w="544"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369"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3.3.频谱多普勒模式显示方式：B，PW，B/PW，B/C/PW，B/CW，B/C/CW等</w:t>
            </w:r>
          </w:p>
        </w:tc>
        <w:tc>
          <w:tcPr>
            <w:tcW w:w="977"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732"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125"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21</w:t>
            </w:r>
          </w:p>
        </w:tc>
        <w:tc>
          <w:tcPr>
            <w:tcW w:w="544"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369"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3.3.1.最大速度：≥7.60m/s（连续多普勒速度：≥30m/s），最小速度：≤1 mm/s（非噪声信号）</w:t>
            </w:r>
          </w:p>
        </w:tc>
        <w:tc>
          <w:tcPr>
            <w:tcW w:w="977"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732"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125"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22</w:t>
            </w:r>
          </w:p>
        </w:tc>
        <w:tc>
          <w:tcPr>
            <w:tcW w:w="544"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369"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3.3.2.取样容积：0.5-30mm，支持所有探头</w:t>
            </w:r>
          </w:p>
        </w:tc>
        <w:tc>
          <w:tcPr>
            <w:tcW w:w="977"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732"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125"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23</w:t>
            </w:r>
          </w:p>
        </w:tc>
        <w:tc>
          <w:tcPr>
            <w:tcW w:w="544"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369"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3.3.3.频谱多普勒模式下线阵探头取样框偏转：≥±30度</w:t>
            </w:r>
          </w:p>
        </w:tc>
        <w:tc>
          <w:tcPr>
            <w:tcW w:w="977"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732"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125"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24</w:t>
            </w:r>
          </w:p>
        </w:tc>
        <w:tc>
          <w:tcPr>
            <w:tcW w:w="544"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369"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3.4.剪切波弹性成像：支持二维实时剪切波和单点式剪切波成像</w:t>
            </w:r>
          </w:p>
        </w:tc>
        <w:tc>
          <w:tcPr>
            <w:tcW w:w="977"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732"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125"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w:t>
            </w:r>
            <w:r>
              <w:rPr>
                <w:rFonts w:hint="eastAsia" w:ascii="宋体" w:hAnsi="宋体" w:eastAsia="宋体" w:cs="宋体"/>
                <w:b w:val="0"/>
                <w:bCs w:val="0"/>
                <w:color w:val="000000" w:themeColor="text1"/>
                <w:sz w:val="21"/>
                <w:szCs w:val="21"/>
                <w:lang w:val="en-US" w:eastAsia="zh-CN"/>
                <w14:textFill>
                  <w14:solidFill>
                    <w14:schemeClr w14:val="tx1"/>
                  </w14:solidFill>
                </w14:textFill>
              </w:rPr>
              <w:t>5</w:t>
            </w:r>
          </w:p>
        </w:tc>
        <w:tc>
          <w:tcPr>
            <w:tcW w:w="544"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369"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3.4.</w:t>
            </w: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r>
              <w:rPr>
                <w:rFonts w:hint="eastAsia" w:ascii="宋体" w:hAnsi="宋体" w:eastAsia="宋体" w:cs="宋体"/>
                <w:b w:val="0"/>
                <w:bCs w:val="0"/>
                <w:color w:val="000000" w:themeColor="text1"/>
                <w:sz w:val="21"/>
                <w:szCs w:val="21"/>
                <w14:textFill>
                  <w14:solidFill>
                    <w14:schemeClr w14:val="tx1"/>
                  </w14:solidFill>
                </w14:textFill>
              </w:rPr>
              <w:t>支持在同一切面下同时进行应变式弹性成像和剪切波弹性成像并实时双幅显示</w:t>
            </w:r>
            <w:r>
              <w:rPr>
                <w:rFonts w:hint="eastAsia" w:ascii="宋体" w:hAnsi="宋体" w:eastAsia="宋体" w:cs="宋体"/>
                <w:b w:val="0"/>
                <w:bCs w:val="0"/>
                <w:color w:val="FF0000"/>
                <w:sz w:val="21"/>
                <w:szCs w:val="21"/>
              </w:rPr>
              <w:t>（提供证明材料：生产厂商盖章的技术白皮书）</w:t>
            </w:r>
          </w:p>
        </w:tc>
        <w:tc>
          <w:tcPr>
            <w:tcW w:w="977"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732"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125"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w:t>
            </w:r>
            <w:r>
              <w:rPr>
                <w:rFonts w:hint="eastAsia" w:ascii="宋体" w:hAnsi="宋体" w:eastAsia="宋体" w:cs="宋体"/>
                <w:b w:val="0"/>
                <w:bCs w:val="0"/>
                <w:color w:val="000000" w:themeColor="text1"/>
                <w:sz w:val="21"/>
                <w:szCs w:val="21"/>
                <w:lang w:val="en-US" w:eastAsia="zh-CN"/>
                <w14:textFill>
                  <w14:solidFill>
                    <w14:schemeClr w14:val="tx1"/>
                  </w14:solidFill>
                </w14:textFill>
              </w:rPr>
              <w:t>6</w:t>
            </w:r>
          </w:p>
        </w:tc>
        <w:tc>
          <w:tcPr>
            <w:tcW w:w="544"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369"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w:t>
            </w:r>
            <w:r>
              <w:rPr>
                <w:rFonts w:hint="eastAsia" w:ascii="宋体" w:hAnsi="宋体" w:eastAsia="宋体" w:cs="宋体"/>
                <w:b w:val="0"/>
                <w:bCs w:val="0"/>
                <w:color w:val="000000" w:themeColor="text1"/>
                <w:sz w:val="21"/>
                <w:szCs w:val="21"/>
                <w:lang w:val="en-US" w:eastAsia="zh-CN"/>
                <w14:textFill>
                  <w14:solidFill>
                    <w14:schemeClr w14:val="tx1"/>
                  </w14:solidFill>
                </w14:textFill>
              </w:rPr>
              <w:t>4</w:t>
            </w:r>
            <w:r>
              <w:rPr>
                <w:rFonts w:hint="eastAsia" w:ascii="宋体" w:hAnsi="宋体" w:eastAsia="宋体" w:cs="宋体"/>
                <w:b w:val="0"/>
                <w:bCs w:val="0"/>
                <w:color w:val="000000" w:themeColor="text1"/>
                <w:sz w:val="21"/>
                <w:szCs w:val="21"/>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2</w:t>
            </w:r>
            <w:r>
              <w:rPr>
                <w:rFonts w:hint="eastAsia" w:ascii="宋体" w:hAnsi="宋体" w:eastAsia="宋体" w:cs="宋体"/>
                <w:b w:val="0"/>
                <w:bCs w:val="0"/>
                <w:color w:val="000000" w:themeColor="text1"/>
                <w:sz w:val="21"/>
                <w:szCs w:val="21"/>
                <w14:textFill>
                  <w14:solidFill>
                    <w14:schemeClr w14:val="tx1"/>
                  </w14:solidFill>
                </w14:textFill>
              </w:rPr>
              <w:t>.具备高帧率造影成像功能：凸阵探头10cm深度，扫描角度45°，帧率≥30帧/秒；线阵探头4cm深度，帧率≥50帧/秒</w:t>
            </w:r>
          </w:p>
        </w:tc>
        <w:tc>
          <w:tcPr>
            <w:tcW w:w="977"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732"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125"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w:t>
            </w:r>
            <w:r>
              <w:rPr>
                <w:rFonts w:hint="eastAsia" w:ascii="宋体" w:hAnsi="宋体" w:eastAsia="宋体" w:cs="宋体"/>
                <w:b w:val="0"/>
                <w:bCs w:val="0"/>
                <w:color w:val="000000" w:themeColor="text1"/>
                <w:sz w:val="21"/>
                <w:szCs w:val="21"/>
                <w:lang w:val="en-US" w:eastAsia="zh-CN"/>
                <w14:textFill>
                  <w14:solidFill>
                    <w14:schemeClr w14:val="tx1"/>
                  </w14:solidFill>
                </w14:textFill>
              </w:rPr>
              <w:t>7</w:t>
            </w:r>
          </w:p>
        </w:tc>
        <w:tc>
          <w:tcPr>
            <w:tcW w:w="544"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369" w:type="pct"/>
            <w:vMerge w:val="restar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4.探头规格：</w:t>
            </w:r>
          </w:p>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4.1.探头频率最高可支持≥30MHz</w:t>
            </w:r>
            <w:r>
              <w:rPr>
                <w:rFonts w:hint="eastAsia" w:ascii="宋体" w:hAnsi="宋体" w:eastAsia="宋体" w:cs="宋体"/>
                <w:b w:val="0"/>
                <w:bCs w:val="0"/>
                <w:color w:val="FF0000"/>
                <w:sz w:val="21"/>
                <w:szCs w:val="21"/>
              </w:rPr>
              <w:t>（提供证明材料：</w:t>
            </w:r>
            <w:r>
              <w:rPr>
                <w:rFonts w:hint="eastAsia" w:ascii="宋体" w:hAnsi="宋体" w:eastAsia="宋体" w:cs="宋体"/>
                <w:b w:val="0"/>
                <w:bCs w:val="0"/>
                <w:color w:val="FF0000"/>
                <w:sz w:val="21"/>
                <w:szCs w:val="21"/>
                <w:lang w:val="en-US" w:eastAsia="zh-CN"/>
              </w:rPr>
              <w:t>注册证附页的详细技术参数清单</w:t>
            </w:r>
            <w:r>
              <w:rPr>
                <w:rFonts w:hint="eastAsia" w:ascii="宋体" w:hAnsi="宋体" w:eastAsia="宋体" w:cs="宋体"/>
                <w:b w:val="0"/>
                <w:bCs w:val="0"/>
                <w:color w:val="FF0000"/>
                <w:sz w:val="21"/>
                <w:szCs w:val="21"/>
              </w:rPr>
              <w:t>）</w:t>
            </w:r>
          </w:p>
        </w:tc>
        <w:tc>
          <w:tcPr>
            <w:tcW w:w="977" w:type="pct"/>
            <w:vMerge w:val="restar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732" w:type="pct"/>
            <w:vMerge w:val="restar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125" w:type="pct"/>
            <w:vMerge w:val="restar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28</w:t>
            </w:r>
          </w:p>
        </w:tc>
        <w:tc>
          <w:tcPr>
            <w:tcW w:w="544"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369" w:type="pct"/>
            <w:vMerge w:val="continue"/>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977" w:type="pct"/>
            <w:vMerge w:val="continue"/>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732" w:type="pct"/>
            <w:vMerge w:val="continue"/>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125" w:type="pct"/>
            <w:vMerge w:val="continue"/>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29</w:t>
            </w:r>
          </w:p>
        </w:tc>
        <w:tc>
          <w:tcPr>
            <w:tcW w:w="544" w:type="pct"/>
            <w:vMerge w:val="continue"/>
            <w:vAlign w:val="center"/>
          </w:tcPr>
          <w:p>
            <w:pPr>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369"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4.2.探头频率：①单晶体凸阵探头：带宽：1.2-6.0MHz，角度≥72°；②单晶体相控阵探头：带宽1.5- 4.5MHz，角度≥90°；③高频线阵探头：带宽：3.8-13 MHz；④腔内凸阵探头：带宽：3.0-11.0 MHz，角度≥180°；⑤小儿心脏探头：带宽：2.3-8.0 MHz</w:t>
            </w:r>
          </w:p>
        </w:tc>
        <w:tc>
          <w:tcPr>
            <w:tcW w:w="977"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732"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125" w:type="pct"/>
          </w:tcPr>
          <w:p>
            <w:pPr>
              <w:pageBreakBefore w:val="0"/>
              <w:kinsoku/>
              <w:wordWrap/>
              <w:overflowPunct/>
              <w:topLinePunct w:val="0"/>
              <w:autoSpaceDE/>
              <w:autoSpaceDN/>
              <w:bidi w:val="0"/>
              <w:adjustRightInd/>
              <w:snapToGrid/>
              <w:textAlignment w:val="auto"/>
              <w:rPr>
                <w:rFonts w:hint="eastAsia" w:ascii="宋体" w:hAnsi="宋体" w:eastAsia="宋体" w:cs="宋体"/>
                <w:b w:val="0"/>
                <w:bCs w:val="0"/>
                <w:color w:val="000000" w:themeColor="text1"/>
                <w:sz w:val="21"/>
                <w:szCs w:val="21"/>
                <w14:textFill>
                  <w14:solidFill>
                    <w14:schemeClr w14:val="tx1"/>
                  </w14:solidFill>
                </w14:textFill>
              </w:rPr>
            </w:pPr>
          </w:p>
        </w:tc>
      </w:tr>
    </w:tbl>
    <w:p>
      <w:pPr>
        <w:pStyle w:val="3"/>
      </w:pPr>
    </w:p>
    <w:p>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73" w:name="_Hlk72095977"/>
      <w:r>
        <w:rPr>
          <w:rFonts w:hint="eastAsia"/>
          <w:sz w:val="21"/>
          <w:szCs w:val="21"/>
        </w:rPr>
        <w:t>证明资料【如有的话，提供的证明资料应统一编号（排序），格式自定】</w:t>
      </w:r>
      <w:bookmarkEnd w:id="73"/>
      <w:r>
        <w:rPr>
          <w:rFonts w:hint="eastAsia"/>
          <w:sz w:val="21"/>
          <w:szCs w:val="21"/>
        </w:rPr>
        <w:t>：</w:t>
      </w: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1、技术要求偏离表的序号、货物名称、招标技术要求等栏目</w:t>
      </w:r>
      <w:bookmarkStart w:id="74" w:name="_Hlk72094407"/>
      <w:r>
        <w:rPr>
          <w:rFonts w:hint="eastAsia"/>
          <w:b w:val="0"/>
          <w:bCs/>
          <w:sz w:val="21"/>
          <w:szCs w:val="21"/>
        </w:rPr>
        <w:t>对应“用户需求书”中的“技术要求”章节</w:t>
      </w:r>
      <w:bookmarkEnd w:id="74"/>
      <w:r>
        <w:rPr>
          <w:rFonts w:hint="eastAsia"/>
          <w:b w:val="0"/>
          <w:bCs/>
          <w:sz w:val="21"/>
          <w:szCs w:val="21"/>
        </w:rPr>
        <w:t>相关内容。</w:t>
      </w:r>
    </w:p>
    <w:p>
      <w:pPr>
        <w:pStyle w:val="39"/>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hint="eastAsia" w:ascii="Times New Roman" w:hAnsi="Times New Roman" w:eastAsia="宋体" w:cs="Times New Roman"/>
          <w:b w:val="0"/>
          <w:bCs/>
          <w:color w:val="FF0000"/>
          <w:kern w:val="2"/>
          <w:sz w:val="21"/>
          <w:szCs w:val="21"/>
          <w:lang w:val="en-US" w:eastAsia="zh-CN"/>
        </w:rPr>
      </w:pPr>
      <w:r>
        <w:rPr>
          <w:b w:val="0"/>
          <w:bCs/>
          <w:sz w:val="21"/>
          <w:szCs w:val="21"/>
        </w:rPr>
        <w:t>2</w:t>
      </w:r>
      <w:r>
        <w:rPr>
          <w:rFonts w:hint="eastAsia"/>
          <w:b w:val="0"/>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 w:val="0"/>
          <w:bCs/>
          <w:color w:val="FF0000"/>
          <w:kern w:val="2"/>
          <w:sz w:val="21"/>
          <w:szCs w:val="21"/>
          <w:u w:val="none"/>
          <w:lang w:val="en-US" w:eastAsia="zh-CN"/>
        </w:rPr>
        <w:t>“投标技术响应”必须与</w:t>
      </w:r>
      <w:r>
        <w:rPr>
          <w:rFonts w:hint="eastAsia" w:cs="Times New Roman"/>
          <w:b w:val="0"/>
          <w:bCs/>
          <w:color w:val="FF0000"/>
          <w:kern w:val="2"/>
          <w:sz w:val="21"/>
          <w:szCs w:val="21"/>
          <w:u w:val="none"/>
          <w:lang w:val="en-US" w:eastAsia="zh-CN"/>
        </w:rPr>
        <w:t>所投产品</w:t>
      </w:r>
      <w:r>
        <w:rPr>
          <w:rFonts w:hint="eastAsia" w:ascii="Times New Roman" w:hAnsi="Times New Roman" w:eastAsia="宋体" w:cs="Times New Roman"/>
          <w:b w:val="0"/>
          <w:bCs/>
          <w:color w:val="FF0000"/>
          <w:kern w:val="2"/>
          <w:sz w:val="21"/>
          <w:szCs w:val="21"/>
          <w:u w:val="none"/>
          <w:lang w:val="en-US" w:eastAsia="zh-CN"/>
        </w:rPr>
        <w:t>客观实际保持一致，响应不实且情节严重的，经查实，将依法记入供应商诚信档案或受到行政处罚。</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75" w:name="_Hlk72158270"/>
      <w:r>
        <w:rPr>
          <w:rFonts w:hint="eastAsia"/>
          <w:b w:val="0"/>
          <w:bCs/>
          <w:sz w:val="21"/>
          <w:szCs w:val="21"/>
        </w:rPr>
        <w:t>“偏离情况”</w:t>
      </w:r>
      <w:bookmarkEnd w:id="75"/>
      <w:r>
        <w:rPr>
          <w:rFonts w:hint="eastAsia"/>
          <w:b w:val="0"/>
          <w:bCs/>
          <w:sz w:val="21"/>
          <w:szCs w:val="21"/>
        </w:rPr>
        <w:t>一栏填写如实填写“正偏离”、“负偏离”或“无偏离”，其中：</w:t>
      </w:r>
      <w:bookmarkStart w:id="76" w:name="_Hlk72093866"/>
      <w:r>
        <w:rPr>
          <w:rFonts w:hint="eastAsia"/>
          <w:b w:val="0"/>
          <w:bCs/>
          <w:sz w:val="21"/>
          <w:szCs w:val="21"/>
        </w:rPr>
        <w:t>“正偏离”表示“投标响应优于招标技术要求”，“负偏离”表示“投标响应不满足招标技术要求”，“无偏离”表示“投标响应与招标技术要求一致”</w:t>
      </w:r>
      <w:bookmarkEnd w:id="76"/>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hint="eastAsia" w:eastAsia="宋体"/>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hint="eastAsia" w:ascii="Times New Roman" w:hAnsi="Times New Roman" w:eastAsia="宋体" w:cs="Times New Roman"/>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pPr>
        <w:ind w:firstLine="420" w:firstLineChars="200"/>
        <w:rPr>
          <w:b w:val="0"/>
          <w:bCs/>
          <w:sz w:val="21"/>
          <w:szCs w:val="21"/>
        </w:rPr>
      </w:pPr>
      <w:r>
        <w:rPr>
          <w:rFonts w:hint="eastAsia"/>
          <w:b w:val="0"/>
          <w:bCs/>
          <w:sz w:val="21"/>
          <w:szCs w:val="21"/>
        </w:rPr>
        <w:t>5、</w:t>
      </w:r>
      <w:bookmarkStart w:id="77" w:name="_Hlk72096106"/>
      <w:r>
        <w:rPr>
          <w:rFonts w:hint="eastAsia"/>
          <w:b w:val="0"/>
          <w:bCs/>
          <w:sz w:val="21"/>
          <w:szCs w:val="21"/>
        </w:rPr>
        <w:t>证明资料条款响应要求</w:t>
      </w:r>
      <w:bookmarkEnd w:id="77"/>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8"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9" w:name="_Hlk73558164"/>
      <w:r>
        <w:rPr>
          <w:rFonts w:hint="eastAsia"/>
          <w:b w:val="0"/>
          <w:bCs/>
          <w:sz w:val="21"/>
          <w:szCs w:val="21"/>
        </w:rPr>
        <w:t>且投标人在“偏离情况”一栏响应为“正偏离”或“无偏离”的，经评审委员会认定，将判定为负偏离。</w:t>
      </w:r>
      <w:bookmarkEnd w:id="78"/>
      <w:bookmarkEnd w:id="79"/>
    </w:p>
    <w:p>
      <w:pPr>
        <w:ind w:firstLine="420" w:firstLineChars="200"/>
        <w:rPr>
          <w:b w:val="0"/>
          <w:bCs/>
          <w:sz w:val="21"/>
          <w:szCs w:val="21"/>
        </w:rPr>
      </w:pPr>
      <w:r>
        <w:rPr>
          <w:rFonts w:hint="eastAsia"/>
          <w:b w:val="0"/>
          <w:bCs/>
          <w:sz w:val="21"/>
          <w:szCs w:val="21"/>
        </w:rPr>
        <w:t>6、</w:t>
      </w:r>
      <w:bookmarkStart w:id="80" w:name="_Hlk72096137"/>
      <w:r>
        <w:rPr>
          <w:rFonts w:hint="eastAsia"/>
          <w:b w:val="0"/>
          <w:bCs/>
          <w:sz w:val="21"/>
          <w:szCs w:val="21"/>
        </w:rPr>
        <w:t>表后“证明资料”部分内容的编制</w:t>
      </w:r>
      <w:bookmarkEnd w:id="80"/>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81" w:name="_Hlk73558180"/>
      <w:r>
        <w:rPr>
          <w:rFonts w:hint="eastAsia"/>
          <w:b w:val="0"/>
          <w:bCs/>
          <w:sz w:val="21"/>
          <w:szCs w:val="21"/>
        </w:rPr>
        <w:t>未按照招标文件要求在表后放置证明材料的供应商将承担不利后果，经评审委员会认定，相关技术要求将判定为负偏离。</w:t>
      </w:r>
      <w:bookmarkEnd w:id="81"/>
    </w:p>
    <w:p>
      <w:pPr>
        <w:ind w:firstLine="420" w:firstLineChars="200"/>
        <w:rPr>
          <w:b w:val="0"/>
          <w:bCs/>
          <w:sz w:val="21"/>
          <w:szCs w:val="21"/>
        </w:rPr>
      </w:pPr>
      <w:r>
        <w:rPr>
          <w:rFonts w:hint="eastAsia"/>
          <w:b w:val="0"/>
          <w:bCs/>
          <w:sz w:val="21"/>
          <w:szCs w:val="21"/>
        </w:rPr>
        <w:t>7、</w:t>
      </w:r>
      <w:bookmarkStart w:id="82" w:name="_Hlk72096176"/>
      <w:r>
        <w:rPr>
          <w:rFonts w:hint="eastAsia"/>
          <w:b w:val="0"/>
          <w:bCs/>
          <w:sz w:val="21"/>
          <w:szCs w:val="21"/>
        </w:rPr>
        <w:t>证明资料的形式及其它具体要求</w:t>
      </w:r>
      <w:bookmarkEnd w:id="82"/>
      <w:r>
        <w:rPr>
          <w:rFonts w:hint="eastAsia"/>
          <w:b w:val="0"/>
          <w:bCs/>
          <w:sz w:val="21"/>
          <w:szCs w:val="21"/>
        </w:rPr>
        <w:t>：</w:t>
      </w:r>
    </w:p>
    <w:p>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 w:val="0"/>
          <w:bCs/>
          <w:sz w:val="21"/>
          <w:szCs w:val="21"/>
        </w:rPr>
      </w:pPr>
      <w:r>
        <w:rPr>
          <w:rFonts w:hint="eastAsia"/>
          <w:b w:val="0"/>
          <w:bCs/>
          <w:sz w:val="21"/>
          <w:szCs w:val="21"/>
        </w:rPr>
        <w:t>其它证明资料的形式要求参照以上要求执行；</w:t>
      </w:r>
    </w:p>
    <w:p>
      <w:pPr>
        <w:ind w:firstLine="420" w:firstLineChars="200"/>
        <w:rPr>
          <w:b w:val="0"/>
          <w:bCs/>
          <w:sz w:val="21"/>
          <w:szCs w:val="21"/>
        </w:rPr>
      </w:pPr>
      <w:r>
        <w:rPr>
          <w:rFonts w:hint="eastAsia"/>
          <w:b w:val="0"/>
          <w:bCs/>
          <w:sz w:val="21"/>
          <w:szCs w:val="21"/>
        </w:rPr>
        <w:t>（4）证明资料均要求原件备查。</w:t>
      </w:r>
    </w:p>
    <w:p>
      <w:pPr>
        <w:ind w:firstLine="420" w:firstLineChars="200"/>
        <w:rPr>
          <w:b w:val="0"/>
          <w:bCs/>
          <w:sz w:val="21"/>
          <w:szCs w:val="21"/>
        </w:rPr>
      </w:pPr>
      <w:r>
        <w:rPr>
          <w:rFonts w:hint="eastAsia"/>
          <w:b w:val="0"/>
          <w:bCs/>
          <w:sz w:val="21"/>
          <w:szCs w:val="21"/>
        </w:rPr>
        <w:t>8、其它注意事项：</w:t>
      </w:r>
    </w:p>
    <w:p>
      <w:pPr>
        <w:ind w:firstLine="420" w:firstLineChars="200"/>
        <w:rPr>
          <w:b w:val="0"/>
          <w:bCs/>
          <w:sz w:val="21"/>
          <w:szCs w:val="21"/>
        </w:rPr>
      </w:pPr>
      <w:r>
        <w:rPr>
          <w:rFonts w:hint="eastAsia"/>
          <w:b w:val="0"/>
          <w:bCs/>
          <w:sz w:val="21"/>
          <w:szCs w:val="21"/>
        </w:rPr>
        <w:t>（1）评审委员会有权对投标人的响应情况作出判断（评审结论）；</w:t>
      </w:r>
    </w:p>
    <w:p>
      <w:pPr>
        <w:ind w:firstLine="420" w:firstLineChars="200"/>
        <w:rPr>
          <w:b w:val="0"/>
          <w:bCs/>
          <w:sz w:val="21"/>
          <w:szCs w:val="21"/>
        </w:rPr>
      </w:pPr>
      <w:r>
        <w:rPr>
          <w:rFonts w:hint="eastAsia"/>
          <w:b w:val="0"/>
          <w:bCs/>
          <w:sz w:val="21"/>
          <w:szCs w:val="21"/>
        </w:rPr>
        <w:t>（2）</w:t>
      </w:r>
      <w:bookmarkStart w:id="83"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83"/>
    </w:p>
    <w:p>
      <w:pPr>
        <w:ind w:firstLine="482" w:firstLineChars="200"/>
        <w:rPr>
          <w:b/>
          <w:sz w:val="24"/>
        </w:rPr>
      </w:pPr>
    </w:p>
    <w:p>
      <w:pPr>
        <w:rPr>
          <w:sz w:val="24"/>
        </w:rPr>
      </w:pPr>
      <w:r>
        <w:rPr>
          <w:sz w:val="24"/>
        </w:rPr>
        <w:br w:type="page"/>
      </w:r>
    </w:p>
    <w:p>
      <w:pPr>
        <w:pStyle w:val="5"/>
        <w:jc w:val="center"/>
        <w:rPr>
          <w:rFonts w:hint="eastAsia" w:ascii="黑体" w:eastAsia="黑体"/>
          <w:b w:val="0"/>
          <w:sz w:val="24"/>
          <w:szCs w:val="24"/>
        </w:rPr>
      </w:pPr>
      <w:r>
        <w:rPr>
          <w:rFonts w:hint="eastAsia" w:ascii="黑体" w:eastAsia="黑体"/>
          <w:b w:val="0"/>
          <w:sz w:val="24"/>
          <w:szCs w:val="24"/>
          <w:lang w:val="en-US" w:eastAsia="zh-CN"/>
        </w:rPr>
        <w:t>六、</w:t>
      </w:r>
      <w:r>
        <w:rPr>
          <w:rFonts w:hint="eastAsia" w:ascii="黑体" w:eastAsia="黑体"/>
          <w:b w:val="0"/>
          <w:sz w:val="24"/>
          <w:szCs w:val="24"/>
        </w:rPr>
        <w:t>项目经验评价</w:t>
      </w:r>
    </w:p>
    <w:p>
      <w:pPr>
        <w:pStyle w:val="5"/>
        <w:jc w:val="center"/>
        <w:rPr>
          <w:rFonts w:hint="eastAsia" w:ascii="黑体" w:eastAsia="黑体"/>
          <w:b w:val="0"/>
          <w:sz w:val="24"/>
          <w:szCs w:val="24"/>
        </w:rPr>
      </w:pPr>
      <w:r>
        <w:rPr>
          <w:rFonts w:hint="eastAsia" w:ascii="黑体" w:eastAsia="黑体"/>
          <w:b w:val="0"/>
          <w:sz w:val="24"/>
          <w:szCs w:val="24"/>
          <w:lang w:val="en-US" w:eastAsia="zh-CN"/>
        </w:rPr>
        <w:t>七、</w:t>
      </w:r>
      <w:r>
        <w:rPr>
          <w:rFonts w:hint="eastAsia" w:ascii="黑体" w:eastAsia="黑体"/>
          <w:b w:val="0"/>
          <w:sz w:val="24"/>
          <w:szCs w:val="24"/>
        </w:rPr>
        <w:t>售后服务人员配备情况及应急措施</w:t>
      </w:r>
    </w:p>
    <w:p>
      <w:pPr>
        <w:pStyle w:val="5"/>
        <w:jc w:val="center"/>
        <w:rPr>
          <w:rFonts w:hint="eastAsia" w:ascii="黑体" w:eastAsia="黑体"/>
          <w:b w:val="0"/>
          <w:sz w:val="24"/>
          <w:szCs w:val="24"/>
        </w:rPr>
      </w:pPr>
      <w:r>
        <w:rPr>
          <w:rFonts w:hint="eastAsia" w:ascii="黑体" w:eastAsia="黑体"/>
          <w:b w:val="0"/>
          <w:sz w:val="24"/>
          <w:szCs w:val="24"/>
          <w:lang w:val="en-US" w:eastAsia="zh-CN"/>
        </w:rPr>
        <w:t>八、</w:t>
      </w:r>
      <w:r>
        <w:rPr>
          <w:rFonts w:hint="eastAsia" w:ascii="黑体" w:eastAsia="黑体"/>
          <w:b w:val="0"/>
          <w:sz w:val="24"/>
          <w:szCs w:val="24"/>
        </w:rPr>
        <w:t>投标人认为需要加以说明的其他内容</w:t>
      </w:r>
    </w:p>
    <w:p>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pPr>
        <w:widowControl/>
        <w:jc w:val="center"/>
        <w:rPr>
          <w:rFonts w:ascii="黑体" w:hAnsi="宋体" w:eastAsia="黑体"/>
          <w:kern w:val="0"/>
          <w:sz w:val="24"/>
          <w:szCs w:val="20"/>
        </w:rPr>
      </w:pPr>
    </w:p>
    <w:p>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78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pPr>
        <w:spacing w:before="157" w:beforeLines="50" w:line="38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一、</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已充分知悉“隐瞒真实情况，提供虚假资料”的法定情形，包括但不限于：</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（一）通过转让或者租借等方式从其他单位获取资格或者资质证书投标的</w:t>
      </w:r>
      <w:r>
        <w:rPr>
          <w:rFonts w:hint="eastAsia" w:ascii="宋体" w:hAnsi="宋体" w:eastAsia="宋体" w:cs="宋体"/>
          <w:color w:val="auto"/>
          <w:szCs w:val="21"/>
          <w:highlight w:val="none"/>
        </w:rPr>
        <w:t>。</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（二）由其他单位或者其他单位负责人在投标供应商编制的投标文件上加盖印章或者签字的。</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（三）项目负责人或者主要技术人员不是本单位人员的。</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（四）投标保证金不是从投标供应商基本账户转出的。</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（五）其他隐瞒真实情况、提供虚假资料的行为。</w:t>
      </w:r>
    </w:p>
    <w:p>
      <w:pPr>
        <w:spacing w:beforeLines="0" w:line="38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二、</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已充分知悉“与其他采购参加人串通投标”的法定情形，包括但不限于：</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（一）投标供应商之间相互约定给予未中标的供应商利益补偿。</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（三）不同投标供应商的投标文件由同一单位或者同一人编制，或者由同一人分阶段参与编制的。</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（四）不同投标供应商的投标文件或部分投标文件相互混装。</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（五）不同投标供应商的投标文件内容存在非正常一致。</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（六）由同一单位工作人员为两家以上（含两家）供应商进行同一项投标活动的。</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（七）不同投标人的投标报价呈规律性差异。</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（八）不同投标人的投标保证金从同一单位或者个人的账户转出。</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（九）主管部门依照法律、法规认定的其他情形。</w:t>
      </w:r>
    </w:p>
    <w:p>
      <w:pPr>
        <w:spacing w:beforeLines="0" w:line="34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三、</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已充分知悉下列情形</w:t>
      </w:r>
      <w:r>
        <w:rPr>
          <w:rFonts w:hint="eastAsia" w:ascii="宋体" w:hAnsi="宋体" w:eastAsia="宋体" w:cs="宋体"/>
          <w:b/>
          <w:color w:val="auto"/>
          <w:szCs w:val="21"/>
          <w:lang w:eastAsia="zh-CN"/>
        </w:rPr>
        <w:t>存在</w:t>
      </w:r>
      <w:r>
        <w:rPr>
          <w:rFonts w:hint="eastAsia" w:ascii="宋体" w:hAnsi="宋体" w:eastAsia="宋体" w:cs="宋体"/>
          <w:b/>
          <w:color w:val="auto"/>
          <w:szCs w:val="21"/>
        </w:rPr>
        <w:t>法律风险，在投标前已对相关风险事项进行排</w:t>
      </w:r>
      <w:r>
        <w:rPr>
          <w:rFonts w:hint="eastAsia" w:ascii="宋体" w:hAnsi="宋体" w:eastAsia="宋体" w:cs="宋体"/>
          <w:b/>
          <w:color w:val="auto"/>
          <w:szCs w:val="21"/>
          <w:highlight w:val="none"/>
        </w:rPr>
        <w:t>查。</w:t>
      </w:r>
    </w:p>
    <w:p>
      <w:pPr>
        <w:spacing w:beforeLines="0" w:line="340" w:lineRule="exact"/>
        <w:ind w:firstLine="420" w:firstLineChars="200"/>
        <w:rPr>
          <w:rFonts w:hint="eastAsia" w:ascii="宋体" w:hAnsi="宋体" w:eastAsia="宋体" w:cs="宋体"/>
          <w:b/>
          <w:color w:val="auto"/>
          <w:szCs w:val="21"/>
        </w:rPr>
      </w:pPr>
      <w:r>
        <w:rPr>
          <w:rFonts w:hint="eastAsia" w:ascii="宋体" w:hAnsi="宋体" w:eastAsia="宋体" w:cs="宋体"/>
          <w:color w:val="auto"/>
          <w:szCs w:val="21"/>
        </w:rPr>
        <w:t>（一）对于从其他主体获取的投标资料，</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应审慎核查，确保</w:t>
      </w:r>
      <w:r>
        <w:rPr>
          <w:rFonts w:hint="eastAsia" w:ascii="宋体" w:hAnsi="宋体" w:eastAsia="宋体" w:cs="宋体"/>
          <w:color w:val="auto"/>
          <w:szCs w:val="21"/>
          <w:lang w:eastAsia="zh-CN"/>
        </w:rPr>
        <w:t>其</w:t>
      </w:r>
      <w:r>
        <w:rPr>
          <w:rFonts w:hint="eastAsia" w:ascii="宋体" w:hAnsi="宋体" w:eastAsia="宋体" w:cs="宋体"/>
          <w:color w:val="auto"/>
          <w:szCs w:val="21"/>
        </w:rPr>
        <w:t>真实性。</w:t>
      </w:r>
      <w:r>
        <w:rPr>
          <w:rFonts w:hint="eastAsia" w:ascii="宋体" w:hAnsi="宋体" w:eastAsia="宋体" w:cs="宋体"/>
          <w:b/>
          <w:color w:val="auto"/>
          <w:szCs w:val="21"/>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Cs w:val="21"/>
          <w:lang w:eastAsia="zh-CN"/>
        </w:rPr>
        <w:t>处理</w:t>
      </w:r>
      <w:r>
        <w:rPr>
          <w:rFonts w:hint="eastAsia" w:ascii="宋体" w:hAnsi="宋体" w:eastAsia="宋体" w:cs="宋体"/>
          <w:color w:val="auto"/>
          <w:szCs w:val="21"/>
        </w:rPr>
        <w:t>。</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eastAsia="zh-CN"/>
        </w:rPr>
        <w:t>三</w:t>
      </w:r>
      <w:r>
        <w:rPr>
          <w:rFonts w:hint="eastAsia" w:ascii="宋体" w:hAnsi="宋体" w:eastAsia="宋体" w:cs="宋体"/>
          <w:color w:val="auto"/>
          <w:szCs w:val="21"/>
        </w:rPr>
        <w:t>）</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对投标电子密钥</w:t>
      </w:r>
      <w:r>
        <w:rPr>
          <w:rFonts w:hint="eastAsia" w:ascii="宋体" w:hAnsi="宋体" w:eastAsia="宋体" w:cs="宋体"/>
          <w:color w:val="auto"/>
          <w:szCs w:val="21"/>
          <w:lang w:eastAsia="zh-CN"/>
        </w:rPr>
        <w:t>或</w:t>
      </w:r>
      <w:r>
        <w:rPr>
          <w:rFonts w:hint="eastAsia" w:ascii="宋体" w:hAnsi="宋体" w:eastAsia="宋体" w:cs="宋体"/>
          <w:color w:val="auto"/>
          <w:szCs w:val="21"/>
          <w:lang w:val="en-US" w:eastAsia="zh-CN"/>
        </w:rPr>
        <w:t>电子营业执照</w:t>
      </w:r>
      <w:r>
        <w:rPr>
          <w:rFonts w:hint="eastAsia" w:ascii="宋体" w:hAnsi="宋体" w:eastAsia="宋体" w:cs="宋体"/>
          <w:color w:val="auto"/>
          <w:szCs w:val="21"/>
        </w:rPr>
        <w:t>负有妥善保管、及时变更和续期等主体责任</w:t>
      </w:r>
      <w:r>
        <w:rPr>
          <w:rFonts w:hint="eastAsia" w:ascii="宋体" w:hAnsi="宋体" w:eastAsia="宋体" w:cs="宋体"/>
          <w:color w:val="auto"/>
          <w:szCs w:val="21"/>
          <w:lang w:eastAsia="zh-CN"/>
        </w:rPr>
        <w:t>；</w:t>
      </w:r>
      <w:r>
        <w:rPr>
          <w:rFonts w:hint="eastAsia" w:ascii="宋体" w:hAnsi="宋体" w:eastAsia="宋体" w:cs="宋体"/>
          <w:color w:val="auto"/>
          <w:szCs w:val="21"/>
        </w:rPr>
        <w:t>使用电子密钥</w:t>
      </w:r>
      <w:r>
        <w:rPr>
          <w:rFonts w:hint="eastAsia" w:ascii="宋体" w:hAnsi="宋体" w:eastAsia="宋体" w:cs="宋体"/>
          <w:color w:val="auto"/>
          <w:szCs w:val="21"/>
          <w:lang w:eastAsia="zh-CN"/>
        </w:rPr>
        <w:t>或</w:t>
      </w:r>
      <w:r>
        <w:rPr>
          <w:rFonts w:hint="eastAsia" w:ascii="宋体" w:hAnsi="宋体" w:eastAsia="宋体" w:cs="宋体"/>
          <w:color w:val="auto"/>
          <w:szCs w:val="21"/>
          <w:lang w:val="en-US" w:eastAsia="zh-CN"/>
        </w:rPr>
        <w:t>电子营业执照</w:t>
      </w:r>
      <w:r>
        <w:rPr>
          <w:rFonts w:hint="eastAsia" w:ascii="宋体" w:hAnsi="宋体" w:eastAsia="宋体" w:cs="宋体"/>
          <w:color w:val="auto"/>
          <w:szCs w:val="21"/>
        </w:rPr>
        <w:t>在深圳政府采购网站进行的活动，均具有法律效力，须承担相应的法律后果。</w:t>
      </w:r>
      <w:r>
        <w:rPr>
          <w:rFonts w:hint="eastAsia" w:ascii="宋体" w:hAnsi="宋体" w:eastAsia="宋体" w:cs="宋体"/>
          <w:color w:val="auto"/>
          <w:szCs w:val="21"/>
          <w:lang w:eastAsia="zh-CN"/>
        </w:rPr>
        <w:t>若</w:t>
      </w:r>
      <w:r>
        <w:rPr>
          <w:rFonts w:hint="eastAsia" w:ascii="宋体" w:hAnsi="宋体" w:eastAsia="宋体" w:cs="宋体"/>
          <w:b/>
          <w:bCs/>
          <w:color w:val="auto"/>
          <w:szCs w:val="21"/>
        </w:rPr>
        <w:t>擅自将投标密钥</w:t>
      </w:r>
      <w:r>
        <w:rPr>
          <w:rFonts w:hint="eastAsia" w:ascii="宋体" w:hAnsi="宋体" w:eastAsia="宋体" w:cs="宋体"/>
          <w:b/>
          <w:bCs/>
          <w:color w:val="auto"/>
          <w:szCs w:val="21"/>
          <w:lang w:eastAsia="zh-CN"/>
        </w:rPr>
        <w:t>或</w:t>
      </w:r>
      <w:r>
        <w:rPr>
          <w:rFonts w:hint="eastAsia" w:ascii="宋体" w:hAnsi="宋体" w:eastAsia="宋体" w:cs="宋体"/>
          <w:b/>
          <w:bCs/>
          <w:color w:val="auto"/>
          <w:szCs w:val="21"/>
          <w:lang w:val="en-US" w:eastAsia="zh-CN"/>
        </w:rPr>
        <w:t>电子营业执照</w:t>
      </w:r>
      <w:r>
        <w:rPr>
          <w:rFonts w:hint="eastAsia" w:ascii="宋体" w:hAnsi="宋体" w:eastAsia="宋体" w:cs="宋体"/>
          <w:b/>
          <w:bCs/>
          <w:color w:val="auto"/>
          <w:szCs w:val="21"/>
        </w:rPr>
        <w:t>出借他人使用所造成的法律后果，由</w:t>
      </w:r>
      <w:r>
        <w:rPr>
          <w:rFonts w:hint="eastAsia" w:ascii="宋体" w:hAnsi="宋体" w:eastAsia="宋体" w:cs="宋体"/>
          <w:b/>
          <w:bCs/>
          <w:color w:val="auto"/>
          <w:szCs w:val="21"/>
          <w:lang w:eastAsia="zh-CN"/>
        </w:rPr>
        <w:t>我</w:t>
      </w:r>
      <w:r>
        <w:rPr>
          <w:rFonts w:hint="eastAsia" w:ascii="宋体" w:hAnsi="宋体" w:eastAsia="宋体" w:cs="宋体"/>
          <w:b/>
          <w:bCs/>
          <w:color w:val="auto"/>
          <w:szCs w:val="21"/>
          <w:lang w:val="en-US" w:eastAsia="zh-CN"/>
        </w:rPr>
        <w:t>单位</w:t>
      </w:r>
      <w:r>
        <w:rPr>
          <w:rFonts w:hint="eastAsia" w:ascii="宋体" w:hAnsi="宋体" w:eastAsia="宋体" w:cs="宋体"/>
          <w:b/>
          <w:bCs/>
          <w:color w:val="auto"/>
          <w:szCs w:val="21"/>
        </w:rPr>
        <w:t>自行承担</w:t>
      </w:r>
      <w:r>
        <w:rPr>
          <w:rFonts w:hint="eastAsia" w:ascii="宋体" w:hAnsi="宋体" w:eastAsia="宋体" w:cs="宋体"/>
          <w:color w:val="auto"/>
          <w:szCs w:val="21"/>
        </w:rPr>
        <w:t>。</w:t>
      </w:r>
    </w:p>
    <w:p>
      <w:pPr>
        <w:spacing w:beforeLines="0" w:line="34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四、</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已充分知悉政府采购违法、违规行为的法律</w:t>
      </w:r>
      <w:r>
        <w:rPr>
          <w:rFonts w:hint="eastAsia" w:ascii="宋体" w:hAnsi="宋体" w:eastAsia="宋体" w:cs="宋体"/>
          <w:b/>
          <w:color w:val="auto"/>
          <w:szCs w:val="21"/>
          <w:highlight w:val="none"/>
        </w:rPr>
        <w:t>后果。</w:t>
      </w:r>
    </w:p>
    <w:p>
      <w:pPr>
        <w:spacing w:beforeLines="0"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经查实，若</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Cs w:val="21"/>
          <w:highlight w:val="none"/>
        </w:rPr>
        <w:t>分之二十以上千分之三十以下罚款，由市场监管部门依法吊销营业执照。</w:t>
      </w:r>
    </w:p>
    <w:p>
      <w:pPr>
        <w:spacing w:beforeLines="0" w:line="340" w:lineRule="exact"/>
        <w:ind w:firstLine="420" w:firstLineChars="200"/>
        <w:rPr>
          <w:rFonts w:hint="eastAsia" w:ascii="宋体" w:hAnsi="宋体" w:eastAsia="宋体" w:cs="宋体"/>
          <w:color w:val="auto"/>
          <w:szCs w:val="21"/>
          <w:highlight w:val="yellow"/>
        </w:rPr>
      </w:pPr>
      <w:r>
        <w:rPr>
          <w:rFonts w:hint="eastAsia" w:ascii="宋体" w:hAnsi="宋体" w:eastAsia="宋体" w:cs="宋体"/>
          <w:color w:val="auto"/>
          <w:szCs w:val="21"/>
          <w:highlight w:val="yellow"/>
        </w:rPr>
        <w:t>以下文字请投标供应商抄写并确认：“</w:t>
      </w:r>
      <w:r>
        <w:rPr>
          <w:rFonts w:hint="eastAsia" w:ascii="宋体" w:hAnsi="宋体" w:eastAsia="宋体" w:cs="宋体"/>
          <w:color w:val="auto"/>
          <w:szCs w:val="21"/>
          <w:highlight w:val="yellow"/>
          <w:lang w:eastAsia="zh-CN"/>
        </w:rPr>
        <w:t>我</w:t>
      </w:r>
      <w:r>
        <w:rPr>
          <w:rFonts w:hint="eastAsia" w:ascii="宋体" w:hAnsi="宋体" w:eastAsia="宋体" w:cs="宋体"/>
          <w:color w:val="auto"/>
          <w:szCs w:val="21"/>
          <w:highlight w:val="yellow"/>
          <w:lang w:val="en-US" w:eastAsia="zh-CN"/>
        </w:rPr>
        <w:t>单位</w:t>
      </w:r>
      <w:r>
        <w:rPr>
          <w:rFonts w:hint="eastAsia" w:ascii="宋体" w:hAnsi="宋体" w:eastAsia="宋体" w:cs="宋体"/>
          <w:color w:val="auto"/>
          <w:szCs w:val="21"/>
          <w:highlight w:val="yellow"/>
        </w:rPr>
        <w:t>已仔细阅读《政府采购违法行为风险知悉确认书》，充分知悉违法行为的法律后果，并承诺将严谨、诚信、依法依规参与政府采购活动”。</w:t>
      </w:r>
    </w:p>
    <w:tbl>
      <w:tblPr>
        <w:tblStyle w:val="484"/>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pPr>
              <w:autoSpaceDE w:val="0"/>
              <w:autoSpaceDN w:val="0"/>
              <w:spacing w:beforeLines="0" w:line="340" w:lineRule="exact"/>
              <w:ind w:firstLine="1866"/>
              <w:rPr>
                <w:rFonts w:hint="eastAsia" w:ascii="宋体" w:hAnsi="宋体" w:eastAsia="宋体" w:cs="宋体"/>
                <w:color w:val="auto"/>
                <w:spacing w:val="-4"/>
                <w:kern w:val="0"/>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hint="eastAsia" w:ascii="宋体" w:hAnsi="宋体" w:eastAsia="宋体" w:cs="宋体"/>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hint="eastAsia" w:ascii="宋体" w:hAnsi="宋体" w:eastAsia="宋体" w:cs="宋体"/>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pPr>
              <w:autoSpaceDE w:val="0"/>
              <w:autoSpaceDN w:val="0"/>
              <w:spacing w:beforeLines="0" w:line="340" w:lineRule="exact"/>
              <w:ind w:firstLine="1866"/>
              <w:rPr>
                <w:rFonts w:hint="eastAsia" w:ascii="宋体" w:hAnsi="宋体" w:eastAsia="宋体" w:cs="宋体"/>
                <w:color w:val="auto"/>
                <w:spacing w:val="-4"/>
                <w:kern w:val="0"/>
                <w:szCs w:val="21"/>
              </w:rPr>
            </w:pPr>
          </w:p>
        </w:tc>
      </w:tr>
    </w:tbl>
    <w:p>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rPr>
      </w:pPr>
    </w:p>
    <w:p>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lang w:eastAsia="zh-CN"/>
        </w:rPr>
        <w:t>单位</w:t>
      </w:r>
      <w:r>
        <w:rPr>
          <w:rFonts w:hint="eastAsia" w:ascii="宋体" w:hAnsi="宋体" w:eastAsia="宋体" w:cs="宋体"/>
          <w:color w:val="auto"/>
          <w:spacing w:val="-4"/>
          <w:kern w:val="0"/>
          <w:szCs w:val="21"/>
        </w:rPr>
        <w:t>负责人签名：</w:t>
      </w:r>
      <w:r>
        <w:rPr>
          <w:rFonts w:hint="eastAsia" w:ascii="宋体" w:hAnsi="宋体" w:eastAsia="宋体" w:cs="宋体"/>
          <w:color w:val="auto"/>
          <w:spacing w:val="-4"/>
          <w:kern w:val="0"/>
          <w:szCs w:val="21"/>
          <w:u w:val="single"/>
        </w:rPr>
        <w:t xml:space="preserve">              </w:t>
      </w:r>
    </w:p>
    <w:p>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lang w:val="en-US" w:eastAsia="zh-CN"/>
        </w:rPr>
        <w:t xml:space="preserve">                                 </w:t>
      </w:r>
      <w:r>
        <w:rPr>
          <w:rFonts w:hint="eastAsia" w:ascii="宋体" w:hAnsi="宋体" w:eastAsia="宋体" w:cs="宋体"/>
          <w:color w:val="auto"/>
          <w:spacing w:val="-4"/>
          <w:kern w:val="0"/>
          <w:szCs w:val="21"/>
          <w:lang w:eastAsia="zh-CN"/>
        </w:rPr>
        <w:t>（加盖</w:t>
      </w:r>
      <w:r>
        <w:rPr>
          <w:rFonts w:hint="eastAsia" w:ascii="宋体" w:hAnsi="宋体" w:eastAsia="宋体" w:cs="宋体"/>
          <w:color w:val="auto"/>
          <w:spacing w:val="-4"/>
          <w:kern w:val="0"/>
          <w:szCs w:val="21"/>
        </w:rPr>
        <w:t>公章</w:t>
      </w:r>
      <w:r>
        <w:rPr>
          <w:rFonts w:hint="eastAsia" w:ascii="宋体" w:hAnsi="宋体" w:eastAsia="宋体" w:cs="宋体"/>
          <w:color w:val="auto"/>
          <w:spacing w:val="-4"/>
          <w:kern w:val="0"/>
          <w:szCs w:val="21"/>
          <w:lang w:eastAsia="zh-CN"/>
        </w:rPr>
        <w:t>）</w:t>
      </w:r>
    </w:p>
    <w:p>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rPr>
        <w:t xml:space="preserve">     日期：</w:t>
      </w:r>
      <w:r>
        <w:rPr>
          <w:rFonts w:hint="eastAsia" w:ascii="宋体" w:hAnsi="宋体" w:eastAsia="宋体" w:cs="宋体"/>
          <w:color w:val="auto"/>
          <w:spacing w:val="-4"/>
          <w:kern w:val="0"/>
          <w:szCs w:val="21"/>
          <w:u w:val="single"/>
        </w:rPr>
        <w:t xml:space="preserve">              </w:t>
      </w:r>
    </w:p>
    <w:p>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rPr>
      </w:pPr>
    </w:p>
    <w:p>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cs="宋体"/>
          <w:b/>
          <w:bCs/>
          <w:color w:val="auto"/>
          <w:spacing w:val="-4"/>
          <w:kern w:val="0"/>
          <w:szCs w:val="21"/>
          <w:highlight w:val="none"/>
        </w:rPr>
      </w:pPr>
      <w:r>
        <w:rPr>
          <w:rFonts w:hint="eastAsia" w:ascii="宋体" w:hAnsi="宋体" w:eastAsia="宋体" w:cs="宋体"/>
          <w:b/>
          <w:bCs/>
          <w:color w:val="auto"/>
          <w:spacing w:val="-4"/>
          <w:kern w:val="0"/>
          <w:szCs w:val="21"/>
        </w:rPr>
        <w:t>注：</w:t>
      </w:r>
      <w:r>
        <w:rPr>
          <w:rFonts w:hint="eastAsia" w:ascii="宋体" w:hAnsi="宋体" w:eastAsia="宋体" w:cs="宋体"/>
          <w:b/>
          <w:bCs/>
          <w:color w:val="auto"/>
          <w:spacing w:val="-4"/>
          <w:kern w:val="0"/>
          <w:szCs w:val="21"/>
          <w:lang w:val="en-US" w:eastAsia="zh-CN"/>
        </w:rPr>
        <w:t>1.</w:t>
      </w:r>
      <w:r>
        <w:rPr>
          <w:rFonts w:hint="eastAsia" w:ascii="宋体" w:hAnsi="宋体" w:eastAsia="宋体" w:cs="宋体"/>
          <w:b/>
          <w:bCs/>
          <w:color w:val="auto"/>
          <w:spacing w:val="-4"/>
          <w:kern w:val="0"/>
          <w:szCs w:val="21"/>
          <w:lang w:eastAsia="zh-CN"/>
        </w:rPr>
        <w:t>《</w:t>
      </w:r>
      <w:r>
        <w:rPr>
          <w:rFonts w:hint="eastAsia" w:ascii="宋体" w:hAnsi="宋体" w:eastAsia="宋体" w:cs="宋体"/>
          <w:b/>
          <w:bCs/>
          <w:color w:val="auto"/>
          <w:spacing w:val="-4"/>
          <w:kern w:val="0"/>
          <w:szCs w:val="21"/>
          <w:lang w:val="en-US" w:eastAsia="zh-CN"/>
        </w:rPr>
        <w:t>政府采购违法行为风险知悉确认书</w:t>
      </w:r>
      <w:r>
        <w:rPr>
          <w:rFonts w:hint="eastAsia" w:ascii="宋体" w:hAnsi="宋体" w:eastAsia="宋体" w:cs="宋体"/>
          <w:b/>
          <w:bCs/>
          <w:color w:val="auto"/>
          <w:spacing w:val="-4"/>
          <w:kern w:val="0"/>
          <w:szCs w:val="21"/>
          <w:lang w:eastAsia="zh-CN"/>
        </w:rPr>
        <w:t>》需由</w:t>
      </w:r>
      <w:r>
        <w:rPr>
          <w:rFonts w:hint="eastAsia" w:ascii="宋体" w:hAnsi="宋体" w:eastAsia="宋体" w:cs="宋体"/>
          <w:b/>
          <w:bCs/>
          <w:color w:val="auto"/>
          <w:spacing w:val="-4"/>
          <w:kern w:val="0"/>
          <w:szCs w:val="21"/>
        </w:rPr>
        <w:t>投标供应商负责人签字并加盖单位公章后，扫描上传至投标文件</w:t>
      </w:r>
      <w:r>
        <w:rPr>
          <w:rFonts w:hint="eastAsia" w:ascii="宋体" w:hAnsi="宋体" w:eastAsia="宋体" w:cs="宋体"/>
          <w:b/>
          <w:bCs/>
          <w:color w:val="auto"/>
          <w:spacing w:val="-4"/>
          <w:kern w:val="0"/>
          <w:szCs w:val="21"/>
          <w:highlight w:val="none"/>
        </w:rPr>
        <w:t>一并提交。</w:t>
      </w:r>
    </w:p>
    <w:p>
      <w:pPr>
        <w:pStyle w:val="62"/>
        <w:rPr>
          <w:rFonts w:hint="default" w:ascii="Calibri" w:hAnsi="Calibri" w:eastAsia="宋体" w:cs="Times New Roman"/>
          <w:kern w:val="2"/>
          <w:sz w:val="21"/>
          <w:szCs w:val="22"/>
          <w:lang w:val="en-US" w:eastAsia="zh-CN" w:bidi="ar"/>
        </w:rPr>
      </w:pPr>
      <w:r>
        <w:rPr>
          <w:rFonts w:hint="eastAsia" w:ascii="宋体" w:hAnsi="宋体" w:cs="宋体"/>
          <w:b/>
          <w:bCs/>
          <w:color w:val="auto"/>
          <w:spacing w:val="-4"/>
          <w:kern w:val="0"/>
          <w:szCs w:val="21"/>
          <w:highlight w:val="none"/>
          <w:lang w:val="en-US" w:eastAsia="zh-CN"/>
        </w:rPr>
        <w:t>2.</w:t>
      </w:r>
      <w:r>
        <w:rPr>
          <w:rFonts w:hint="eastAsia" w:ascii="宋体" w:hAnsi="宋体" w:cs="宋体"/>
          <w:b/>
          <w:bCs/>
          <w:color w:val="auto"/>
          <w:spacing w:val="-4"/>
          <w:kern w:val="0"/>
          <w:szCs w:val="21"/>
          <w:highlight w:val="none"/>
        </w:rPr>
        <w:t>根据《深圳市财政局关于在采购文件及深圳政府采购智慧平台增设供应商投标特别警示条款等事宜的通知》（深财购〔2025〕7号）</w:t>
      </w:r>
      <w:r>
        <w:rPr>
          <w:rFonts w:hint="eastAsia" w:ascii="宋体" w:hAnsi="宋体" w:cs="宋体"/>
          <w:b/>
          <w:bCs/>
          <w:color w:val="auto"/>
          <w:spacing w:val="-4"/>
          <w:kern w:val="0"/>
          <w:szCs w:val="21"/>
          <w:highlight w:val="none"/>
          <w:lang w:val="en-US" w:eastAsia="zh-CN"/>
        </w:rPr>
        <w:t>的要求</w:t>
      </w:r>
      <w:r>
        <w:rPr>
          <w:rFonts w:hint="eastAsia" w:ascii="宋体" w:hAnsi="宋体" w:cs="宋体"/>
          <w:b/>
          <w:bCs/>
          <w:color w:val="auto"/>
          <w:spacing w:val="-4"/>
          <w:kern w:val="0"/>
          <w:szCs w:val="21"/>
          <w:highlight w:val="none"/>
        </w:rPr>
        <w:t>，</w:t>
      </w:r>
      <w:r>
        <w:rPr>
          <w:rFonts w:hint="eastAsia" w:ascii="宋体" w:hAnsi="宋体" w:eastAsia="宋体" w:cs="宋体"/>
          <w:b/>
          <w:bCs/>
          <w:color w:val="auto"/>
          <w:spacing w:val="-4"/>
          <w:kern w:val="0"/>
          <w:szCs w:val="21"/>
          <w:lang w:eastAsia="zh-CN"/>
        </w:rPr>
        <w:t>《</w:t>
      </w:r>
      <w:r>
        <w:rPr>
          <w:rFonts w:hint="eastAsia" w:ascii="宋体" w:hAnsi="宋体" w:eastAsia="宋体" w:cs="宋体"/>
          <w:b/>
          <w:bCs/>
          <w:color w:val="auto"/>
          <w:spacing w:val="-4"/>
          <w:kern w:val="0"/>
          <w:szCs w:val="21"/>
          <w:lang w:val="en-US" w:eastAsia="zh-CN"/>
        </w:rPr>
        <w:t>政府采购违法行为风险知悉确认书</w:t>
      </w:r>
      <w:r>
        <w:rPr>
          <w:rFonts w:hint="eastAsia" w:ascii="宋体" w:hAnsi="宋体" w:eastAsia="宋体" w:cs="宋体"/>
          <w:b/>
          <w:bCs/>
          <w:color w:val="auto"/>
          <w:spacing w:val="-4"/>
          <w:kern w:val="0"/>
          <w:szCs w:val="21"/>
          <w:lang w:eastAsia="zh-CN"/>
        </w:rPr>
        <w:t>》</w:t>
      </w:r>
      <w:r>
        <w:rPr>
          <w:rFonts w:hint="eastAsia" w:ascii="宋体" w:hAnsi="宋体" w:cs="宋体"/>
          <w:b/>
          <w:bCs/>
          <w:color w:val="auto"/>
          <w:spacing w:val="-4"/>
          <w:kern w:val="0"/>
          <w:szCs w:val="21"/>
          <w:highlight w:val="none"/>
        </w:rPr>
        <w:t>用于对供应商违法行为的提醒，不作为供应商资格性审查及符合性审查条件。</w:t>
      </w:r>
    </w:p>
    <w:p>
      <w:pPr>
        <w:widowControl/>
        <w:autoSpaceDE w:val="0"/>
        <w:autoSpaceDN w:val="0"/>
        <w:spacing w:line="400" w:lineRule="exact"/>
        <w:jc w:val="left"/>
        <w:rPr>
          <w:rFonts w:ascii="宋体" w:hAnsi="宋体" w:eastAsiaTheme="minorEastAsia"/>
          <w:color w:val="FF0000"/>
          <w:spacing w:val="-4"/>
          <w:kern w:val="0"/>
          <w:szCs w:val="21"/>
        </w:rPr>
      </w:pPr>
    </w:p>
    <w:p>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pPr>
        <w:pStyle w:val="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pPr>
        <w:ind w:left="420" w:leftChars="200" w:firstLine="21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keepNext w:val="0"/>
        <w:keepLines w:val="0"/>
        <w:pageBreakBefore w:val="0"/>
        <w:widowControl w:val="0"/>
        <w:kinsoku/>
        <w:wordWrap/>
        <w:overflowPunct/>
        <w:topLinePunct w:val="0"/>
        <w:autoSpaceDE/>
        <w:autoSpaceDN/>
        <w:bidi w:val="0"/>
        <w:adjustRightInd/>
        <w:snapToGrid/>
        <w:ind w:left="0" w:leftChars="0" w:firstLine="406" w:firstLineChars="200"/>
        <w:textAlignment w:val="auto"/>
        <w:rPr>
          <w:rFonts w:hint="eastAsia"/>
          <w:szCs w:val="21"/>
          <w:u w:val="none"/>
        </w:rPr>
      </w:pP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pPr>
        <w:widowControl/>
        <w:jc w:val="center"/>
        <w:rPr>
          <w:rFonts w:ascii="黑体" w:hAnsi="宋体" w:eastAsia="黑体"/>
          <w:kern w:val="0"/>
          <w:sz w:val="24"/>
          <w:szCs w:val="20"/>
        </w:r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pPr>
        <w:jc w:val="center"/>
        <w:rPr>
          <w:rFonts w:ascii="黑体" w:hAnsi="宋体" w:eastAsia="黑体"/>
          <w:bCs/>
          <w:kern w:val="0"/>
          <w:sz w:val="24"/>
        </w:rPr>
      </w:pPr>
    </w:p>
    <w:p>
      <w:pPr>
        <w:jc w:val="center"/>
        <w:rPr>
          <w:rFonts w:ascii="黑体" w:hAnsi="宋体" w:eastAsia="黑体"/>
          <w:bCs/>
          <w:kern w:val="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7"/>
      </w:pPr>
      <w:r>
        <w:rPr>
          <w:rFonts w:hint="eastAsia"/>
        </w:rPr>
        <w:t>第五章  合同条款及格式</w:t>
      </w:r>
    </w:p>
    <w:p/>
    <w:p>
      <w:pPr>
        <w:jc w:val="center"/>
        <w:outlineLvl w:val="9"/>
      </w:pPr>
      <w:bookmarkStart w:id="84" w:name="_Toc3995"/>
      <w:r>
        <w:rPr>
          <w:rFonts w:hint="eastAsia"/>
          <w:b/>
          <w:sz w:val="24"/>
        </w:rPr>
        <w:t>（仅供参考，具体以项目需求及采购结果为准）</w:t>
      </w:r>
    </w:p>
    <w:p>
      <w:pPr>
        <w:widowControl w:val="0"/>
        <w:spacing w:after="0"/>
        <w:jc w:val="center"/>
        <w:outlineLvl w:val="9"/>
        <w:rPr>
          <w:rFonts w:ascii="宋体" w:hAnsi="宋体" w:eastAsia="宋体" w:cs="宋体"/>
          <w:b/>
          <w:bCs/>
          <w:spacing w:val="-20"/>
          <w:kern w:val="44"/>
          <w:sz w:val="48"/>
          <w:szCs w:val="48"/>
          <w:lang w:val="en-US" w:eastAsia="zh-CN" w:bidi="ar-SA"/>
        </w:rPr>
      </w:pPr>
    </w:p>
    <w:p>
      <w:pPr>
        <w:widowControl w:val="0"/>
        <w:spacing w:after="0"/>
        <w:jc w:val="center"/>
        <w:outlineLvl w:val="9"/>
        <w:rPr>
          <w:rFonts w:ascii="宋体" w:hAnsi="宋体" w:eastAsia="宋体" w:cs="宋体"/>
          <w:b/>
          <w:bCs/>
          <w:spacing w:val="-20"/>
          <w:kern w:val="44"/>
          <w:sz w:val="48"/>
          <w:szCs w:val="48"/>
          <w:lang w:val="en-US" w:eastAsia="zh-CN" w:bidi="ar-SA"/>
        </w:rPr>
      </w:pPr>
    </w:p>
    <w:p>
      <w:pPr>
        <w:pStyle w:val="2"/>
        <w:outlineLvl w:val="9"/>
        <w:rPr>
          <w:lang w:val="en-US" w:eastAsia="zh-CN"/>
        </w:rPr>
      </w:pPr>
    </w:p>
    <w:p>
      <w:pPr>
        <w:widowControl w:val="0"/>
        <w:spacing w:after="0"/>
        <w:jc w:val="center"/>
        <w:outlineLvl w:val="9"/>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政府采购货物买卖合同</w:t>
      </w:r>
    </w:p>
    <w:p>
      <w:pPr>
        <w:widowControl w:val="0"/>
        <w:spacing w:after="0"/>
        <w:jc w:val="center"/>
        <w:outlineLvl w:val="9"/>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pPr>
        <w:outlineLvl w:val="9"/>
        <w:rPr>
          <w:rFonts w:ascii="宋体" w:hAnsi="宋体" w:eastAsia="宋体" w:cs="宋体"/>
          <w:b/>
          <w:bCs/>
          <w:spacing w:val="-20"/>
          <w:kern w:val="44"/>
          <w:sz w:val="40"/>
          <w:szCs w:val="40"/>
        </w:rPr>
      </w:pPr>
    </w:p>
    <w:p>
      <w:pPr>
        <w:outlineLvl w:val="9"/>
        <w:rPr>
          <w:rFonts w:ascii="宋体" w:hAnsi="宋体" w:eastAsia="宋体" w:cs="宋体"/>
          <w:b/>
          <w:bCs/>
          <w:spacing w:val="-20"/>
          <w:kern w:val="44"/>
          <w:sz w:val="40"/>
          <w:szCs w:val="40"/>
        </w:rPr>
      </w:pPr>
    </w:p>
    <w:p>
      <w:pPr>
        <w:outlineLvl w:val="9"/>
        <w:rPr>
          <w:rFonts w:ascii="宋体" w:hAnsi="宋体" w:eastAsia="宋体" w:cs="宋体"/>
          <w:b/>
          <w:bCs/>
          <w:spacing w:val="-20"/>
          <w:kern w:val="44"/>
          <w:sz w:val="40"/>
          <w:szCs w:val="40"/>
        </w:rPr>
      </w:pPr>
    </w:p>
    <w:p>
      <w:pPr>
        <w:spacing w:line="360" w:lineRule="auto"/>
        <w:ind w:left="420" w:leftChars="200"/>
        <w:outlineLvl w:val="9"/>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pPr>
        <w:spacing w:line="360" w:lineRule="auto"/>
        <w:ind w:left="420" w:leftChars="200"/>
        <w:outlineLvl w:val="9"/>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pPr>
        <w:spacing w:line="360" w:lineRule="auto"/>
        <w:ind w:left="420" w:leftChars="200"/>
        <w:outlineLvl w:val="9"/>
        <w:rPr>
          <w:rFonts w:eastAsia="宋体"/>
          <w:sz w:val="32"/>
          <w:szCs w:val="32"/>
        </w:rPr>
      </w:pPr>
      <w:r>
        <w:rPr>
          <w:rFonts w:hint="eastAsia" w:eastAsia="宋体"/>
          <w:sz w:val="32"/>
          <w:szCs w:val="32"/>
        </w:rPr>
        <w:t>甲    方：</w:t>
      </w:r>
      <w:r>
        <w:rPr>
          <w:rFonts w:hint="eastAsia" w:eastAsia="宋体"/>
          <w:sz w:val="32"/>
          <w:szCs w:val="32"/>
          <w:u w:val="single"/>
        </w:rPr>
        <w:t xml:space="preserve">                             </w:t>
      </w:r>
    </w:p>
    <w:p>
      <w:pPr>
        <w:spacing w:line="360" w:lineRule="auto"/>
        <w:ind w:left="420" w:leftChars="200"/>
        <w:outlineLvl w:val="9"/>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pPr>
        <w:spacing w:line="360" w:lineRule="auto"/>
        <w:ind w:left="420" w:leftChars="200"/>
        <w:outlineLvl w:val="9"/>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pPr>
        <w:outlineLvl w:val="9"/>
        <w:rPr>
          <w:rFonts w:eastAsia="宋体"/>
        </w:rPr>
      </w:pPr>
    </w:p>
    <w:p>
      <w:pPr>
        <w:outlineLvl w:val="9"/>
        <w:rPr>
          <w:rFonts w:eastAsia="黑体"/>
          <w:sz w:val="44"/>
          <w:szCs w:val="44"/>
        </w:rPr>
      </w:pPr>
      <w:r>
        <w:rPr>
          <w:rFonts w:eastAsia="黑体"/>
          <w:sz w:val="44"/>
          <w:szCs w:val="44"/>
        </w:rPr>
        <w:br w:type="page"/>
      </w:r>
    </w:p>
    <w:p>
      <w:pPr>
        <w:outlineLvl w:val="9"/>
        <w:rPr>
          <w:rFonts w:eastAsia="黑体"/>
          <w:sz w:val="44"/>
          <w:szCs w:val="44"/>
        </w:rPr>
      </w:pPr>
    </w:p>
    <w:p>
      <w:pPr>
        <w:outlineLvl w:val="9"/>
        <w:rPr>
          <w:rFonts w:eastAsia="黑体"/>
          <w:sz w:val="44"/>
          <w:szCs w:val="44"/>
        </w:rPr>
      </w:pPr>
    </w:p>
    <w:p>
      <w:pPr>
        <w:jc w:val="center"/>
        <w:outlineLvl w:val="9"/>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pPr>
        <w:ind w:firstLine="640" w:firstLineChars="200"/>
        <w:outlineLvl w:val="9"/>
        <w:rPr>
          <w:rFonts w:hint="eastAsia" w:ascii="仿宋_GB2312" w:hAnsi="仿宋_GB2312" w:eastAsia="仿宋_GB2312" w:cs="仿宋_GB2312"/>
          <w:sz w:val="32"/>
          <w:szCs w:val="32"/>
          <w:lang w:val="en-US" w:eastAsia="zh-CN"/>
        </w:rPr>
      </w:pPr>
    </w:p>
    <w:p>
      <w:pPr>
        <w:numPr>
          <w:ilvl w:val="0"/>
          <w:numId w:val="0"/>
        </w:numPr>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pPr>
        <w:numPr>
          <w:ilvl w:val="0"/>
          <w:numId w:val="0"/>
        </w:numPr>
        <w:ind w:firstLine="640" w:firstLineChars="200"/>
        <w:outlineLvl w:val="9"/>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pPr>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pPr>
        <w:ind w:firstLine="880" w:firstLineChars="200"/>
        <w:jc w:val="both"/>
        <w:outlineLvl w:val="9"/>
        <w:rPr>
          <w:rFonts w:eastAsia="黑体"/>
          <w:sz w:val="44"/>
          <w:szCs w:val="44"/>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84"/>
    <w:p>
      <w:pPr>
        <w:keepNext/>
        <w:keepLines/>
        <w:widowControl w:val="0"/>
        <w:adjustRightInd w:val="0"/>
        <w:snapToGrid w:val="0"/>
        <w:spacing w:beforeLines="0" w:line="400" w:lineRule="exact"/>
        <w:jc w:val="center"/>
        <w:outlineLvl w:val="9"/>
        <w:rPr>
          <w:rFonts w:hint="eastAsia" w:ascii="黑体" w:hAnsi="黑体" w:eastAsia="黑体" w:cs="Times New Roman"/>
          <w:b/>
          <w:bCs/>
          <w:kern w:val="2"/>
          <w:sz w:val="28"/>
          <w:szCs w:val="28"/>
          <w:lang w:val="en-US" w:eastAsia="zh-CN" w:bidi="ar-SA"/>
        </w:rPr>
      </w:pPr>
      <w:bookmarkStart w:id="85" w:name="_Toc22209"/>
    </w:p>
    <w:p>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政府采购合同协议书</w:t>
      </w:r>
      <w:bookmarkEnd w:id="85"/>
    </w:p>
    <w:p>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kern w:val="2"/>
          <w:sz w:val="28"/>
          <w:szCs w:val="28"/>
          <w:lang w:val="en-US" w:eastAsia="zh-CN" w:bidi="ar-SA"/>
        </w:rPr>
      </w:pPr>
    </w:p>
    <w:p>
      <w:pPr>
        <w:adjustRightInd w:val="0"/>
        <w:snapToGrid w:val="0"/>
        <w:spacing w:before="0" w:beforeLines="0" w:line="400" w:lineRule="exact"/>
        <w:outlineLvl w:val="9"/>
        <w:rPr>
          <w:rFonts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或采购</w:t>
      </w:r>
      <w:r>
        <w:rPr>
          <w:rFonts w:hint="eastAsia" w:ascii="宋体" w:hAnsi="宋体" w:eastAsia="宋体"/>
          <w:szCs w:val="21"/>
          <w:lang w:val="en-US" w:eastAsia="zh-CN"/>
        </w:rPr>
        <w:tab/>
      </w:r>
      <w:r>
        <w:rPr>
          <w:rFonts w:hint="eastAsia" w:ascii="宋体" w:hAnsi="宋体" w:eastAsia="宋体"/>
          <w:szCs w:val="21"/>
          <w:lang w:val="en-US" w:eastAsia="zh-CN"/>
        </w:rPr>
        <w:t xml:space="preserve">                                   </w:t>
      </w:r>
      <w:r>
        <w:rPr>
          <w:rFonts w:hint="eastAsia" w:ascii="宋体" w:hAnsi="宋体" w:eastAsia="宋体"/>
          <w:szCs w:val="21"/>
        </w:rPr>
        <w:t>文件约定的合同甲方）</w:t>
      </w:r>
    </w:p>
    <w:p>
      <w:pPr>
        <w:adjustRightInd w:val="0"/>
        <w:snapToGrid w:val="0"/>
        <w:spacing w:before="0" w:beforeLines="0" w:line="400" w:lineRule="exact"/>
        <w:outlineLvl w:val="9"/>
        <w:rPr>
          <w:rFonts w:ascii="宋体" w:hAnsi="宋体" w:eastAsia="宋体"/>
          <w:szCs w:val="21"/>
        </w:rPr>
      </w:pPr>
      <w:r>
        <w:rPr>
          <w:rFonts w:hint="eastAsia" w:ascii="宋体" w:hAnsi="宋体" w:eastAsia="宋体"/>
          <w:szCs w:val="21"/>
        </w:rPr>
        <w:t>乙方</w:t>
      </w:r>
      <w:r>
        <w:rPr>
          <w:rFonts w:hint="eastAsia" w:ascii="宋体" w:hAnsi="宋体" w:eastAsia="宋体"/>
          <w:szCs w:val="21"/>
          <w:lang w:val="en-US" w:eastAsia="zh-CN"/>
        </w:rPr>
        <w:t>1</w:t>
      </w:r>
      <w:r>
        <w:rPr>
          <w:rFonts w:hint="eastAsia" w:ascii="宋体" w:hAnsi="宋体" w:eastAsia="宋体"/>
          <w:szCs w:val="21"/>
        </w:rPr>
        <w:t>（全称）：</w:t>
      </w:r>
      <w:r>
        <w:rPr>
          <w:rFonts w:hint="eastAsia" w:ascii="宋体" w:hAnsi="宋体" w:eastAsia="宋体"/>
          <w:szCs w:val="21"/>
          <w:u w:val="single"/>
        </w:rPr>
        <w:t xml:space="preserve">                       </w:t>
      </w:r>
      <w:r>
        <w:rPr>
          <w:rFonts w:hint="eastAsia" w:ascii="宋体" w:hAnsi="宋体" w:eastAsia="宋体"/>
          <w:szCs w:val="21"/>
        </w:rPr>
        <w:t>（供应商）</w:t>
      </w:r>
    </w:p>
    <w:p>
      <w:pPr>
        <w:adjustRightInd w:val="0"/>
        <w:snapToGrid w:val="0"/>
        <w:spacing w:before="0" w:beforeLines="0" w:line="400" w:lineRule="exact"/>
        <w:outlineLvl w:val="9"/>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adjustRightInd w:val="0"/>
        <w:snapToGrid w:val="0"/>
        <w:spacing w:before="0" w:beforeLines="0" w:line="400" w:lineRule="exact"/>
        <w:outlineLvl w:val="9"/>
        <w:rPr>
          <w:rFonts w:hint="eastAsia" w:ascii="宋体" w:hAnsi="宋体" w:eastAsia="宋体"/>
          <w:szCs w:val="21"/>
        </w:rPr>
      </w:pPr>
      <w:r>
        <w:rPr>
          <w:rFonts w:hint="eastAsia" w:eastAsia="宋体"/>
          <w:lang w:eastAsia="zh-CN"/>
        </w:rPr>
        <w:t>乙方</w:t>
      </w:r>
      <w:r>
        <w:rPr>
          <w:rFonts w:hint="eastAsia" w:ascii="宋体" w:hAnsi="宋体" w:eastAsia="宋体"/>
          <w:szCs w:val="21"/>
          <w:lang w:val="en-US" w:eastAsia="zh-CN"/>
        </w:rPr>
        <w:t>3</w:t>
      </w:r>
      <w:r>
        <w:rPr>
          <w:rFonts w:hint="eastAsia" w:eastAsia="宋体"/>
          <w:lang w:val="en-US" w:eastAsia="zh-CN"/>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spacing w:beforeLines="0" w:line="400" w:lineRule="exact"/>
        <w:outlineLvl w:val="9"/>
        <w:rPr>
          <w:rFonts w:hint="default" w:eastAsia="宋体"/>
          <w:lang w:val="en-US" w:eastAsia="zh-CN"/>
        </w:rPr>
      </w:pPr>
    </w:p>
    <w:p>
      <w:pPr>
        <w:widowControl w:val="0"/>
        <w:adjustRightInd w:val="0"/>
        <w:snapToGrid w:val="0"/>
        <w:spacing w:before="0" w:beforeLines="0" w:after="0" w:line="400" w:lineRule="exact"/>
        <w:ind w:left="0" w:leftChars="0" w:firstLine="420" w:firstLineChars="200"/>
        <w:jc w:val="both"/>
        <w:outlineLvl w:val="9"/>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的招标文件等采购文件、乙方的《投标（响应）文件》及《中标（成交）通知书》，甲乙双方同意签订本合同。具体情况及要求如下：     </w:t>
      </w:r>
    </w:p>
    <w:p>
      <w:pPr>
        <w:numPr>
          <w:ilvl w:val="0"/>
          <w:numId w:val="9"/>
        </w:numPr>
        <w:adjustRightInd w:val="0"/>
        <w:snapToGrid w:val="0"/>
        <w:spacing w:before="0" w:beforeLines="0" w:line="400" w:lineRule="exact"/>
        <w:ind w:firstLine="422" w:firstLineChars="200"/>
        <w:outlineLvl w:val="9"/>
        <w:rPr>
          <w:rFonts w:ascii="宋体" w:hAnsi="宋体" w:eastAsia="宋体"/>
          <w:b/>
          <w:szCs w:val="21"/>
        </w:rPr>
      </w:pPr>
      <w:r>
        <w:rPr>
          <w:rFonts w:hint="eastAsia" w:ascii="宋体" w:hAnsi="宋体" w:eastAsia="宋体"/>
          <w:b/>
          <w:szCs w:val="21"/>
        </w:rPr>
        <w:t>项目信息</w:t>
      </w:r>
    </w:p>
    <w:p>
      <w:pPr>
        <w:widowControl w:val="0"/>
        <w:numPr>
          <w:ilvl w:val="0"/>
          <w:numId w:val="10"/>
        </w:numPr>
        <w:adjustRightInd w:val="0"/>
        <w:snapToGrid w:val="0"/>
        <w:spacing w:before="0" w:beforeLines="0" w:after="0" w:line="400" w:lineRule="exact"/>
        <w:ind w:left="0" w:leftChars="0" w:firstLine="420" w:firstLineChars="200"/>
        <w:jc w:val="both"/>
        <w:outlineLvl w:val="9"/>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p>
    <w:p>
      <w:pPr>
        <w:widowControl w:val="0"/>
        <w:numPr>
          <w:ilvl w:val="-1"/>
          <w:numId w:val="0"/>
        </w:numPr>
        <w:tabs>
          <w:tab w:val="left" w:pos="999"/>
        </w:tabs>
        <w:adjustRightInd w:val="0"/>
        <w:snapToGrid w:val="0"/>
        <w:spacing w:before="0" w:beforeLines="0" w:after="0" w:line="400" w:lineRule="exact"/>
        <w:ind w:left="0" w:leftChars="0" w:firstLine="0" w:firstLineChars="0"/>
        <w:jc w:val="both"/>
        <w:outlineLvl w:val="9"/>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pPr>
        <w:widowControl w:val="0"/>
        <w:adjustRightInd w:val="0"/>
        <w:snapToGrid w:val="0"/>
        <w:spacing w:before="0" w:beforeLines="0" w:after="0" w:line="400" w:lineRule="exact"/>
        <w:ind w:left="0" w:leftChars="0" w:firstLine="420" w:firstLineChars="200"/>
        <w:jc w:val="both"/>
        <w:outlineLvl w:val="9"/>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pPr>
        <w:adjustRightInd w:val="0"/>
        <w:snapToGrid w:val="0"/>
        <w:spacing w:before="0" w:beforeLines="0" w:line="400" w:lineRule="exact"/>
        <w:ind w:firstLine="420" w:firstLineChars="200"/>
        <w:outlineLvl w:val="9"/>
        <w:rPr>
          <w:rFonts w:hint="eastAsia" w:ascii="宋体" w:hAnsi="宋体" w:eastAsia="宋体"/>
          <w:szCs w:val="21"/>
        </w:rPr>
      </w:pPr>
      <w:r>
        <w:rPr>
          <w:rFonts w:hint="eastAsia" w:ascii="宋体" w:hAnsi="宋体" w:eastAsia="宋体"/>
          <w:szCs w:val="21"/>
        </w:rPr>
        <w:t>（3）项目内容：</w:t>
      </w:r>
    </w:p>
    <w:p>
      <w:pPr>
        <w:adjustRightInd w:val="0"/>
        <w:snapToGrid w:val="0"/>
        <w:spacing w:before="0" w:beforeLines="0" w:line="400" w:lineRule="exact"/>
        <w:ind w:firstLine="420" w:firstLineChars="200"/>
        <w:outlineLvl w:val="9"/>
        <w:rPr>
          <w:rFonts w:hint="eastAsia" w:ascii="宋体" w:hAnsi="宋体" w:eastAsia="宋体"/>
          <w:szCs w:val="21"/>
          <w:lang w:val="en-US" w:eastAsia="zh-CN"/>
        </w:rPr>
      </w:pPr>
      <w:r>
        <w:rPr>
          <w:rFonts w:hint="eastAsia" w:ascii="宋体" w:hAnsi="宋体" w:eastAsia="宋体"/>
          <w:szCs w:val="21"/>
          <w:lang w:val="en-US" w:eastAsia="zh-CN"/>
        </w:rPr>
        <w:t xml:space="preserve">     </w:t>
      </w:r>
      <w:r>
        <w:rPr>
          <w:rFonts w:hint="eastAsia" w:ascii="宋体" w:hAnsi="宋体" w:eastAsia="宋体"/>
          <w:szCs w:val="21"/>
          <w:lang w:eastAsia="zh-CN"/>
        </w:rPr>
        <w:t>采购标的及数量</w:t>
      </w:r>
      <w:r>
        <w:rPr>
          <w:rFonts w:hint="eastAsia" w:ascii="宋体" w:hAnsi="宋体" w:eastAsia="宋体"/>
          <w:szCs w:val="21"/>
          <w:lang w:val="en-US" w:eastAsia="zh-CN"/>
        </w:rPr>
        <w:t>（台/套</w:t>
      </w:r>
      <w:r>
        <w:rPr>
          <w:rFonts w:hint="default" w:ascii="宋体" w:hAnsi="宋体" w:eastAsia="宋体"/>
          <w:szCs w:val="21"/>
          <w:lang w:val="en" w:eastAsia="zh-CN"/>
        </w:rPr>
        <w:t>/</w:t>
      </w:r>
      <w:r>
        <w:rPr>
          <w:rFonts w:hint="eastAsia" w:ascii="宋体" w:hAnsi="宋体" w:eastAsia="宋体"/>
          <w:szCs w:val="21"/>
          <w:lang w:val="en" w:eastAsia="zh-CN"/>
        </w:rPr>
        <w:t>个</w:t>
      </w:r>
      <w:r>
        <w:rPr>
          <w:rFonts w:hint="default" w:ascii="宋体" w:hAnsi="宋体" w:eastAsia="宋体"/>
          <w:szCs w:val="21"/>
          <w:lang w:val="en" w:eastAsia="zh-CN"/>
        </w:rPr>
        <w:t>/</w:t>
      </w:r>
      <w:r>
        <w:rPr>
          <w:rFonts w:hint="eastAsia" w:ascii="宋体" w:hAnsi="宋体" w:eastAsia="宋体"/>
          <w:szCs w:val="21"/>
          <w:lang w:val="en" w:eastAsia="zh-CN"/>
        </w:rPr>
        <w:t>架</w:t>
      </w:r>
      <w:r>
        <w:rPr>
          <w:rFonts w:hint="default" w:ascii="宋体" w:hAnsi="宋体" w:eastAsia="宋体"/>
          <w:szCs w:val="21"/>
          <w:lang w:val="en" w:eastAsia="zh-CN"/>
        </w:rPr>
        <w:t>/</w:t>
      </w:r>
      <w:r>
        <w:rPr>
          <w:rFonts w:hint="eastAsia" w:ascii="宋体" w:hAnsi="宋体" w:eastAsia="宋体"/>
          <w:szCs w:val="21"/>
          <w:lang w:val="en" w:eastAsia="zh-CN"/>
        </w:rPr>
        <w:t>组等</w:t>
      </w:r>
      <w:r>
        <w:rPr>
          <w:rFonts w:hint="eastAsia" w:ascii="宋体" w:hAnsi="宋体" w:eastAsia="宋体"/>
          <w:szCs w:val="21"/>
          <w:lang w:val="en-US" w:eastAsia="zh-CN"/>
        </w:rPr>
        <w:t>）</w:t>
      </w:r>
      <w:r>
        <w:rPr>
          <w:rFonts w:hint="eastAsia" w:ascii="宋体" w:hAnsi="宋体" w:eastAsia="宋体"/>
          <w:szCs w:val="21"/>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none"/>
          <w:lang w:val="en-US"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 xml:space="preserve"> </w:t>
      </w:r>
    </w:p>
    <w:p>
      <w:pPr>
        <w:numPr>
          <w:ilvl w:val="-1"/>
          <w:numId w:val="0"/>
        </w:numPr>
        <w:adjustRightInd w:val="0"/>
        <w:snapToGrid w:val="0"/>
        <w:spacing w:before="0" w:beforeLines="0" w:line="400" w:lineRule="exact"/>
        <w:ind w:firstLine="420" w:firstLineChars="200"/>
        <w:outlineLvl w:val="9"/>
        <w:rPr>
          <w:rFonts w:hint="default" w:ascii="宋体" w:hAnsi="宋体" w:eastAsia="宋体" w:cs="宋体"/>
          <w:szCs w:val="21"/>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pPr>
        <w:adjustRightInd w:val="0"/>
        <w:snapToGrid w:val="0"/>
        <w:spacing w:before="0" w:beforeLines="0" w:line="400" w:lineRule="exact"/>
        <w:ind w:firstLine="945" w:firstLineChars="450"/>
        <w:outlineLvl w:val="9"/>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945" w:firstLineChars="450"/>
        <w:outlineLvl w:val="9"/>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pPr>
        <w:numPr>
          <w:ilvl w:val="-1"/>
          <w:numId w:val="0"/>
        </w:numPr>
        <w:adjustRightInd w:val="0"/>
        <w:snapToGrid w:val="0"/>
        <w:spacing w:before="0" w:beforeLines="0" w:line="400" w:lineRule="exact"/>
        <w:ind w:firstLine="420" w:firstLineChars="200"/>
        <w:outlineLvl w:val="9"/>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pPr>
        <w:numPr>
          <w:ilvl w:val="-1"/>
          <w:numId w:val="0"/>
        </w:numPr>
        <w:adjustRightInd w:val="0"/>
        <w:snapToGrid w:val="0"/>
        <w:spacing w:before="0" w:beforeLines="0" w:line="400" w:lineRule="exact"/>
        <w:ind w:firstLine="420" w:firstLineChars="200"/>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pPr>
        <w:autoSpaceDE w:val="0"/>
        <w:autoSpaceDN w:val="0"/>
        <w:adjustRightInd w:val="0"/>
        <w:spacing w:beforeLines="0" w:line="400" w:lineRule="exact"/>
        <w:ind w:firstLine="420" w:firstLineChars="200"/>
        <w:outlineLvl w:val="9"/>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pPr>
        <w:autoSpaceDE w:val="0"/>
        <w:autoSpaceDN w:val="0"/>
        <w:adjustRightInd w:val="0"/>
        <w:spacing w:beforeLines="0" w:line="400" w:lineRule="exact"/>
        <w:ind w:firstLine="420" w:firstLineChars="200"/>
        <w:outlineLvl w:val="9"/>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outlineLvl w:val="9"/>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pPr>
        <w:numPr>
          <w:ilvl w:val="-1"/>
          <w:numId w:val="0"/>
        </w:numPr>
        <w:autoSpaceDE w:val="0"/>
        <w:autoSpaceDN w:val="0"/>
        <w:adjustRightInd w:val="0"/>
        <w:snapToGrid w:val="0"/>
        <w:spacing w:before="0" w:beforeLines="0" w:line="400" w:lineRule="exact"/>
        <w:ind w:firstLine="0" w:firstLineChars="0"/>
        <w:outlineLvl w:val="9"/>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pPr>
        <w:numPr>
          <w:ilvl w:val="-1"/>
          <w:numId w:val="0"/>
        </w:numPr>
        <w:autoSpaceDE w:val="0"/>
        <w:autoSpaceDN w:val="0"/>
        <w:adjustRightInd w:val="0"/>
        <w:snapToGrid w:val="0"/>
        <w:spacing w:before="0" w:beforeLines="0" w:line="400" w:lineRule="exact"/>
        <w:ind w:firstLine="0" w:firstLineChars="0"/>
        <w:outlineLvl w:val="9"/>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是，《政府采购品目分类目录》底级品目名称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outlineLvl w:val="9"/>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pPr>
        <w:numPr>
          <w:ilvl w:val="-1"/>
          <w:numId w:val="0"/>
        </w:numPr>
        <w:autoSpaceDE w:val="0"/>
        <w:autoSpaceDN w:val="0"/>
        <w:adjustRightInd w:val="0"/>
        <w:snapToGrid w:val="0"/>
        <w:spacing w:before="0" w:beforeLines="0" w:line="400" w:lineRule="exact"/>
        <w:ind w:left="0" w:firstLine="0" w:firstLineChars="0"/>
        <w:outlineLvl w:val="9"/>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）政府采购组织形式：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自行采购</w:t>
      </w:r>
    </w:p>
    <w:p>
      <w:pPr>
        <w:numPr>
          <w:ilvl w:val="-1"/>
          <w:numId w:val="0"/>
        </w:numPr>
        <w:autoSpaceDE w:val="0"/>
        <w:autoSpaceDN w:val="0"/>
        <w:adjustRightInd w:val="0"/>
        <w:snapToGrid w:val="0"/>
        <w:spacing w:before="0" w:beforeLines="0" w:line="400" w:lineRule="exact"/>
        <w:ind w:left="210" w:leftChars="100" w:firstLine="210" w:firstLineChars="100"/>
        <w:outlineLvl w:val="9"/>
        <w:rPr>
          <w:rFonts w:hint="eastAsia" w:ascii="宋体" w:hAnsi="宋体" w:eastAsia="宋体" w:cs="宋体"/>
          <w:iCs w:val="0"/>
          <w:sz w:val="21"/>
          <w:szCs w:val="21"/>
          <w:u w:val="single"/>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）政府采购方式：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竞争性谈判</w:t>
      </w: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left="0" w:firstLine="420" w:firstLineChars="0"/>
        <w:outlineLvl w:val="9"/>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pPr>
        <w:numPr>
          <w:ilvl w:val="-1"/>
          <w:numId w:val="0"/>
        </w:numPr>
        <w:autoSpaceDE w:val="0"/>
        <w:autoSpaceDN w:val="0"/>
        <w:adjustRightInd w:val="0"/>
        <w:snapToGrid w:val="0"/>
        <w:spacing w:before="0" w:beforeLines="0" w:line="400" w:lineRule="exact"/>
        <w:ind w:firstLine="220" w:firstLineChars="100"/>
        <w:outlineLvl w:val="9"/>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pPr>
        <w:numPr>
          <w:ilvl w:val="-1"/>
          <w:numId w:val="0"/>
        </w:numPr>
        <w:adjustRightInd w:val="0"/>
        <w:snapToGrid w:val="0"/>
        <w:spacing w:before="0" w:beforeLines="0" w:line="400" w:lineRule="exact"/>
        <w:ind w:left="0" w:leftChars="0" w:firstLine="0" w:firstLineChars="0"/>
        <w:outlineLvl w:val="9"/>
        <w:rPr>
          <w:rFonts w:hint="eastAsia" w:ascii="宋体" w:hAnsi="宋体" w:eastAsia="宋体"/>
          <w:iCs/>
          <w:szCs w:val="21"/>
        </w:rPr>
      </w:pPr>
      <w:r>
        <w:rPr>
          <w:rFonts w:hint="eastAsia" w:ascii="宋体" w:hAnsi="宋体" w:eastAsia="宋体"/>
          <w:w w:val="100"/>
          <w:szCs w:val="21"/>
          <w:lang w:val="en-US" w:eastAsia="zh-CN"/>
        </w:rPr>
        <w:t xml:space="preserve">         本合同</w:t>
      </w:r>
      <w:r>
        <w:rPr>
          <w:rFonts w:hint="eastAsia" w:ascii="宋体" w:hAnsi="宋体" w:eastAsia="宋体"/>
          <w:w w:val="100"/>
          <w:szCs w:val="21"/>
        </w:rPr>
        <w:t>是否</w:t>
      </w:r>
      <w:r>
        <w:rPr>
          <w:rFonts w:hint="eastAsia" w:ascii="宋体" w:hAnsi="宋体" w:eastAsia="宋体"/>
          <w:w w:val="100"/>
          <w:szCs w:val="21"/>
          <w:lang w:eastAsia="zh-CN"/>
        </w:rPr>
        <w:t>为专门面向</w:t>
      </w:r>
      <w:r>
        <w:rPr>
          <w:rFonts w:hint="eastAsia" w:ascii="宋体" w:hAnsi="宋体" w:eastAsia="宋体"/>
          <w:w w:val="100"/>
          <w:szCs w:val="21"/>
        </w:rPr>
        <w:t>中小企业</w:t>
      </w:r>
      <w:r>
        <w:rPr>
          <w:rFonts w:hint="eastAsia" w:ascii="宋体" w:hAnsi="宋体" w:eastAsia="宋体"/>
          <w:w w:val="100"/>
          <w:szCs w:val="21"/>
          <w:lang w:eastAsia="zh-CN"/>
        </w:rPr>
        <w:t>的采</w:t>
      </w:r>
      <w:r>
        <w:rPr>
          <w:rFonts w:hint="eastAsia" w:ascii="宋体" w:hAnsi="宋体" w:eastAsia="宋体"/>
          <w:w w:val="100"/>
          <w:szCs w:val="21"/>
          <w:shd w:val="clear"/>
          <w:lang w:eastAsia="zh-CN"/>
        </w:rPr>
        <w:t>购</w:t>
      </w:r>
      <w:r>
        <w:rPr>
          <w:rFonts w:hint="eastAsia" w:ascii="宋体" w:hAnsi="宋体" w:eastAsia="宋体"/>
          <w:w w:val="100"/>
          <w:szCs w:val="21"/>
          <w:shd w:val="clear"/>
        </w:rPr>
        <w:t>合同</w:t>
      </w:r>
      <w:r>
        <w:rPr>
          <w:rFonts w:hint="eastAsia" w:ascii="宋体" w:hAnsi="宋体" w:eastAsia="宋体"/>
          <w:w w:val="100"/>
          <w:szCs w:val="21"/>
          <w:shd w:val="clear"/>
          <w:lang w:eastAsia="zh-CN"/>
        </w:rPr>
        <w:t>（中小企业预留合同）</w:t>
      </w:r>
      <w:r>
        <w:rPr>
          <w:rFonts w:hint="eastAsia" w:ascii="宋体" w:hAnsi="宋体" w:eastAsia="宋体"/>
          <w:szCs w:val="21"/>
          <w:shd w:val="clear"/>
        </w:rPr>
        <w:t>：</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lang w:val="en-US" w:eastAsia="zh-CN"/>
        </w:rPr>
        <w:t xml:space="preserve">  </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outlineLvl w:val="9"/>
        <w:rPr>
          <w:rFonts w:hint="eastAsia" w:ascii="宋体" w:hAnsi="宋体" w:eastAsia="宋体"/>
          <w:iCs/>
          <w:szCs w:val="21"/>
        </w:rPr>
      </w:pPr>
      <w:r>
        <w:rPr>
          <w:rFonts w:hint="eastAsia" w:eastAsia="宋体"/>
          <w:lang w:val="en-US" w:eastAsia="zh-CN"/>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outlineLvl w:val="9"/>
        <w:rPr>
          <w:rFonts w:hint="eastAsia" w:ascii="宋体" w:hAnsi="宋体" w:eastAsia="宋体"/>
          <w:iCs/>
          <w:szCs w:val="21"/>
        </w:rPr>
      </w:pPr>
      <w:r>
        <w:rPr>
          <w:rFonts w:hint="eastAsia" w:eastAsia="宋体"/>
          <w:lang w:val="en-US" w:eastAsia="zh-CN"/>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0"/>
          <w:numId w:val="0"/>
        </w:numPr>
        <w:snapToGrid w:val="0"/>
        <w:spacing w:beforeLines="0" w:line="400" w:lineRule="exact"/>
        <w:ind w:firstLine="0" w:firstLineChars="0"/>
        <w:outlineLvl w:val="9"/>
        <w:rPr>
          <w:rFonts w:hint="default" w:eastAsia="宋体"/>
          <w:lang w:val="en-US" w:eastAsia="zh-CN"/>
        </w:rPr>
      </w:pPr>
      <w:r>
        <w:rPr>
          <w:rFonts w:hint="eastAsia" w:eastAsia="宋体"/>
          <w:lang w:val="en-US" w:eastAsia="zh-CN"/>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420" w:firstLineChars="200"/>
        <w:outlineLvl w:val="9"/>
        <w:rPr>
          <w:rFonts w:ascii="宋体" w:hAnsi="宋体" w:eastAsia="宋体"/>
          <w:szCs w:val="21"/>
        </w:rPr>
      </w:pPr>
      <w:r>
        <w:rPr>
          <w:rFonts w:hint="eastAsia" w:ascii="宋体" w:hAnsi="宋体" w:eastAsia="宋体"/>
          <w:szCs w:val="21"/>
        </w:rPr>
        <w:t>（</w:t>
      </w:r>
      <w:r>
        <w:rPr>
          <w:rFonts w:hint="default" w:ascii="宋体" w:hAnsi="宋体" w:eastAsia="宋体"/>
          <w:szCs w:val="21"/>
          <w:lang w:val="en" w:eastAsia="zh-C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840" w:firstLineChars="400"/>
        <w:outlineLvl w:val="9"/>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分包主要内容：</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840" w:firstLineChars="400"/>
        <w:outlineLvl w:val="9"/>
        <w:rPr>
          <w:rFonts w:hint="eastAsia" w:ascii="宋体" w:hAnsi="宋体" w:eastAsia="宋体"/>
          <w:szCs w:val="21"/>
          <w:highlight w:val="none"/>
        </w:rPr>
      </w:pPr>
      <w:r>
        <w:rPr>
          <w:rFonts w:hint="eastAsia" w:ascii="宋体" w:hAnsi="宋体" w:eastAsia="宋体"/>
          <w:szCs w:val="21"/>
          <w:u w:val="none"/>
          <w:lang w:val="en-US" w:eastAsia="zh-CN"/>
        </w:rPr>
        <w:t xml:space="preserve"> </w:t>
      </w:r>
      <w:r>
        <w:rPr>
          <w:rFonts w:hint="eastAsia" w:ascii="宋体" w:hAnsi="宋体" w:eastAsia="宋体"/>
          <w:szCs w:val="21"/>
        </w:rPr>
        <w:t>分包</w:t>
      </w:r>
      <w:r>
        <w:rPr>
          <w:rFonts w:hint="eastAsia" w:ascii="宋体" w:hAnsi="宋体" w:eastAsia="宋体"/>
          <w:szCs w:val="21"/>
          <w:highlight w:val="none"/>
        </w:rPr>
        <w:t>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pPr>
        <w:adjustRightInd w:val="0"/>
        <w:snapToGrid w:val="0"/>
        <w:spacing w:before="0" w:beforeLines="0" w:line="400" w:lineRule="exact"/>
        <w:ind w:firstLine="840" w:firstLineChars="400"/>
        <w:outlineLvl w:val="9"/>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pPr>
        <w:adjustRightInd w:val="0"/>
        <w:snapToGrid w:val="0"/>
        <w:spacing w:before="0" w:beforeLines="0" w:line="400" w:lineRule="exact"/>
        <w:ind w:firstLine="840" w:firstLineChars="400"/>
        <w:outlineLvl w:val="9"/>
        <w:rPr>
          <w:rFonts w:hint="eastAsia" w:ascii="宋体" w:hAnsi="宋体" w:eastAsia="宋体"/>
          <w:szCs w:val="21"/>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rPr>
        <w:t>：</w:t>
      </w:r>
    </w:p>
    <w:p>
      <w:pPr>
        <w:adjustRightInd w:val="0"/>
        <w:snapToGrid w:val="0"/>
        <w:spacing w:beforeLines="0" w:line="400" w:lineRule="exact"/>
        <w:ind w:firstLine="840" w:firstLineChars="400"/>
        <w:outlineLvl w:val="9"/>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小微型企业</w:t>
      </w:r>
      <w:r>
        <w:rPr>
          <w:rFonts w:hint="eastAsia" w:ascii="宋体" w:hAnsi="宋体" w:eastAsia="宋体"/>
          <w:iCs/>
          <w:szCs w:val="21"/>
          <w:lang w:val="en-US" w:eastAsia="zh-CN"/>
        </w:rPr>
        <w:t xml:space="preserve">  </w:t>
      </w:r>
    </w:p>
    <w:p>
      <w:pPr>
        <w:adjustRightInd w:val="0"/>
        <w:snapToGrid w:val="0"/>
        <w:spacing w:beforeLines="0" w:line="400" w:lineRule="exact"/>
        <w:ind w:firstLine="840" w:firstLineChars="400"/>
        <w:outlineLvl w:val="9"/>
        <w:rPr>
          <w:rFonts w:hint="default" w:eastAsia="华文楷体"/>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残疾人福利性单位</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监狱</w:t>
      </w:r>
      <w:r>
        <w:rPr>
          <w:rFonts w:hint="eastAsia" w:ascii="宋体" w:hAnsi="宋体" w:eastAsia="宋体"/>
          <w:iCs/>
          <w:szCs w:val="21"/>
        </w:rPr>
        <w:t>企业</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p>
    <w:p>
      <w:pPr>
        <w:numPr>
          <w:ilvl w:val="-1"/>
          <w:numId w:val="0"/>
        </w:numPr>
        <w:adjustRightInd w:val="0"/>
        <w:snapToGrid w:val="0"/>
        <w:spacing w:before="0" w:beforeLines="0" w:line="400" w:lineRule="exact"/>
        <w:ind w:left="0" w:leftChars="0" w:firstLine="0" w:firstLineChars="0"/>
        <w:outlineLvl w:val="9"/>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pPr>
        <w:tabs>
          <w:tab w:val="left" w:pos="1340"/>
        </w:tabs>
        <w:autoSpaceDE w:val="0"/>
        <w:autoSpaceDN w:val="0"/>
        <w:adjustRightInd w:val="0"/>
        <w:spacing w:beforeLines="0" w:line="400" w:lineRule="exact"/>
        <w:ind w:firstLine="420" w:firstLineChars="200"/>
        <w:outlineLvl w:val="9"/>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pPr>
        <w:numPr>
          <w:ilvl w:val="-1"/>
          <w:numId w:val="0"/>
        </w:numPr>
        <w:adjustRightInd w:val="0"/>
        <w:snapToGrid w:val="0"/>
        <w:spacing w:before="0" w:beforeLines="0" w:line="400" w:lineRule="exact"/>
        <w:ind w:firstLine="420" w:firstLineChars="200"/>
        <w:outlineLvl w:val="9"/>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pPr>
        <w:numPr>
          <w:ilvl w:val="-1"/>
          <w:numId w:val="0"/>
        </w:numPr>
        <w:adjustRightInd w:val="0"/>
        <w:snapToGrid w:val="0"/>
        <w:spacing w:before="0" w:beforeLines="0" w:line="400" w:lineRule="exact"/>
        <w:ind w:firstLine="840" w:firstLineChars="400"/>
        <w:outlineLvl w:val="9"/>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pPr>
        <w:numPr>
          <w:ilvl w:val="-1"/>
          <w:numId w:val="0"/>
        </w:numPr>
        <w:adjustRightInd w:val="0"/>
        <w:snapToGrid w:val="0"/>
        <w:spacing w:before="0" w:beforeLines="0" w:line="400" w:lineRule="exact"/>
        <w:ind w:firstLine="840" w:firstLineChars="400"/>
        <w:outlineLvl w:val="9"/>
        <w:rPr>
          <w:rFonts w:hint="eastAsia" w:ascii="宋体" w:hAnsi="宋体" w:eastAsia="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pPr>
        <w:adjustRightInd w:val="0"/>
        <w:snapToGrid w:val="0"/>
        <w:spacing w:before="0" w:beforeLines="0" w:line="400" w:lineRule="exact"/>
        <w:ind w:firstLine="840" w:firstLineChars="400"/>
        <w:outlineLvl w:val="9"/>
        <w:rPr>
          <w:rFonts w:hint="eastAsia" w:ascii="宋体" w:hAnsi="宋体" w:eastAsia="宋体"/>
          <w:szCs w:val="21"/>
          <w:u w:val="none"/>
          <w:lang w:val="en-US" w:eastAsia="zh-CN"/>
        </w:rPr>
      </w:pP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否</w:t>
      </w:r>
    </w:p>
    <w:p>
      <w:pPr>
        <w:numPr>
          <w:ilvl w:val="-1"/>
          <w:numId w:val="0"/>
        </w:numPr>
        <w:tabs>
          <w:tab w:val="left" w:pos="740"/>
        </w:tabs>
        <w:adjustRightInd w:val="0"/>
        <w:snapToGrid w:val="0"/>
        <w:spacing w:before="0" w:beforeLines="0" w:line="400" w:lineRule="exact"/>
        <w:ind w:left="0" w:firstLine="0" w:firstLineChars="0"/>
        <w:outlineLvl w:val="9"/>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（1</w:t>
      </w:r>
      <w:r>
        <w:rPr>
          <w:rFonts w:hint="default" w:ascii="宋体" w:hAnsi="宋体" w:eastAsia="宋体"/>
          <w:b w:val="0"/>
          <w:bCs w:val="0"/>
          <w:sz w:val="21"/>
          <w:szCs w:val="21"/>
          <w:u w:val="none"/>
          <w:lang w:val="en" w:eastAsia="zh-CN"/>
        </w:rPr>
        <w:t>0</w:t>
      </w:r>
      <w:r>
        <w:rPr>
          <w:rFonts w:hint="eastAsia" w:ascii="宋体" w:hAnsi="宋体" w:eastAsia="宋体"/>
          <w:b w:val="0"/>
          <w:bCs w:val="0"/>
          <w:sz w:val="21"/>
          <w:szCs w:val="21"/>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outlineLvl w:val="9"/>
        <w:rPr>
          <w:rFonts w:hint="eastAsia" w:ascii="宋体" w:hAnsi="宋体" w:eastAsia="宋体"/>
          <w:iCs/>
          <w:szCs w:val="21"/>
          <w:lang w:val="en-US"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outlineLvl w:val="9"/>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outlineLvl w:val="9"/>
        <w:rPr>
          <w:rFonts w:hint="eastAsia" w:ascii="宋体" w:hAnsi="宋体" w:eastAsia="宋体"/>
          <w:iCs w:val="0"/>
          <w:szCs w:val="21"/>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tabs>
          <w:tab w:val="left" w:pos="740"/>
        </w:tabs>
        <w:adjustRightInd w:val="0"/>
        <w:snapToGrid w:val="0"/>
        <w:spacing w:before="0" w:beforeLines="0" w:line="400" w:lineRule="exact"/>
        <w:ind w:left="0" w:firstLine="0" w:firstLineChars="0"/>
        <w:outlineLvl w:val="9"/>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是否涉及环境标志产品：</w:t>
      </w:r>
    </w:p>
    <w:p>
      <w:pPr>
        <w:numPr>
          <w:ilvl w:val="-1"/>
          <w:numId w:val="0"/>
        </w:numPr>
        <w:tabs>
          <w:tab w:val="left" w:pos="740"/>
        </w:tabs>
        <w:adjustRightInd w:val="0"/>
        <w:snapToGrid w:val="0"/>
        <w:spacing w:before="0" w:beforeLines="0" w:line="400" w:lineRule="exact"/>
        <w:ind w:firstLine="0" w:firstLineChars="0"/>
        <w:outlineLvl w:val="9"/>
        <w:rPr>
          <w:rFonts w:hint="eastAsia" w:ascii="宋体" w:hAnsi="宋体" w:eastAsia="宋体"/>
          <w:iCs w:val="0"/>
          <w:szCs w:val="21"/>
          <w:lang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outlineLvl w:val="9"/>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outlineLvl w:val="9"/>
        <w:rPr>
          <w:rFonts w:hint="eastAsia" w:ascii="宋体" w:hAnsi="宋体" w:eastAsia="宋体"/>
          <w:b w:val="0"/>
          <w:bCs w:val="0"/>
          <w:sz w:val="21"/>
          <w:szCs w:val="21"/>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autoSpaceDE w:val="0"/>
        <w:autoSpaceDN w:val="0"/>
        <w:adjustRightInd w:val="0"/>
        <w:snapToGrid w:val="0"/>
        <w:spacing w:before="0" w:beforeLines="0" w:line="400" w:lineRule="exact"/>
        <w:ind w:firstLine="0" w:firstLineChars="0"/>
        <w:outlineLvl w:val="9"/>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pPr>
        <w:autoSpaceDE w:val="0"/>
        <w:autoSpaceDN w:val="0"/>
        <w:adjustRightInd w:val="0"/>
        <w:spacing w:beforeLines="0" w:line="400" w:lineRule="exact"/>
        <w:ind w:firstLine="420" w:firstLineChars="0"/>
        <w:outlineLvl w:val="9"/>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pPr>
        <w:numPr>
          <w:ilvl w:val="-1"/>
          <w:numId w:val="0"/>
        </w:numPr>
        <w:tabs>
          <w:tab w:val="left" w:pos="740"/>
        </w:tabs>
        <w:adjustRightInd w:val="0"/>
        <w:snapToGrid w:val="0"/>
        <w:spacing w:before="0" w:beforeLines="0" w:line="400" w:lineRule="exact"/>
        <w:ind w:firstLine="0" w:firstLineChars="0"/>
        <w:outlineLvl w:val="9"/>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autoSpaceDE w:val="0"/>
        <w:autoSpaceDN w:val="0"/>
        <w:adjustRightInd w:val="0"/>
        <w:spacing w:beforeLines="0" w:line="400" w:lineRule="exact"/>
        <w:ind w:firstLine="420" w:firstLineChars="0"/>
        <w:outlineLvl w:val="9"/>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pPr>
        <w:numPr>
          <w:ilvl w:val="-1"/>
          <w:numId w:val="0"/>
        </w:numPr>
        <w:adjustRightInd w:val="0"/>
        <w:snapToGrid w:val="0"/>
        <w:spacing w:before="0" w:beforeLines="0" w:line="400" w:lineRule="exact"/>
        <w:ind w:firstLine="0" w:firstLineChars="0"/>
        <w:outlineLvl w:val="9"/>
        <w:rPr>
          <w:rFonts w:hint="eastAsia" w:ascii="宋体" w:hAnsi="宋体" w:eastAsia="宋体"/>
          <w:szCs w:val="21"/>
          <w:lang w:val="en-US" w:eastAsia="zh-CN"/>
        </w:rPr>
      </w:pPr>
      <w:r>
        <w:rPr>
          <w:rFonts w:hint="eastAsia" w:ascii="宋体" w:hAnsi="宋体" w:eastAsia="宋体"/>
          <w:szCs w:val="21"/>
          <w:lang w:val="en-US" w:eastAsia="zh-CN"/>
        </w:rPr>
        <w:t xml:space="preserve">    （1</w:t>
      </w:r>
      <w:r>
        <w:rPr>
          <w:rFonts w:hint="default" w:ascii="宋体" w:hAnsi="宋体" w:eastAsia="宋体"/>
          <w:szCs w:val="21"/>
          <w:lang w:val="en" w:eastAsia="zh-CN"/>
        </w:rPr>
        <w:t>1</w:t>
      </w:r>
      <w:r>
        <w:rPr>
          <w:rFonts w:hint="eastAsia" w:ascii="宋体" w:hAnsi="宋体" w:eastAsia="宋体"/>
          <w:szCs w:val="21"/>
          <w:lang w:val="en-US" w:eastAsia="zh-CN"/>
        </w:rPr>
        <w:t>）涉及商品包装和快递包装的，是否参考</w:t>
      </w:r>
      <w:r>
        <w:rPr>
          <w:rFonts w:hint="eastAsia" w:ascii="宋体" w:hAnsi="宋体" w:eastAsia="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pPr>
        <w:numPr>
          <w:ilvl w:val="-1"/>
          <w:numId w:val="0"/>
        </w:numPr>
        <w:adjustRightInd w:val="0"/>
        <w:snapToGrid w:val="0"/>
        <w:spacing w:before="0" w:beforeLines="0" w:line="400" w:lineRule="exact"/>
        <w:ind w:firstLine="840" w:firstLineChars="400"/>
        <w:outlineLvl w:val="9"/>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pPr>
        <w:numPr>
          <w:ilvl w:val="0"/>
          <w:numId w:val="9"/>
        </w:numPr>
        <w:adjustRightInd w:val="0"/>
        <w:snapToGrid w:val="0"/>
        <w:spacing w:before="0" w:beforeLines="0" w:line="400" w:lineRule="exact"/>
        <w:ind w:firstLine="422" w:firstLineChars="200"/>
        <w:outlineLvl w:val="9"/>
        <w:rPr>
          <w:rFonts w:ascii="宋体" w:hAnsi="宋体" w:eastAsia="宋体"/>
          <w:b/>
          <w:szCs w:val="21"/>
          <w:highlight w:val="none"/>
        </w:rPr>
      </w:pPr>
      <w:r>
        <w:rPr>
          <w:rFonts w:hint="eastAsia" w:ascii="宋体" w:hAnsi="宋体" w:eastAsia="宋体"/>
          <w:b/>
          <w:szCs w:val="21"/>
          <w:highlight w:val="none"/>
        </w:rPr>
        <w:t>合同金额</w:t>
      </w:r>
    </w:p>
    <w:p>
      <w:pPr>
        <w:adjustRightInd w:val="0"/>
        <w:snapToGrid w:val="0"/>
        <w:spacing w:before="0" w:beforeLines="0" w:line="400" w:lineRule="exact"/>
        <w:ind w:firstLine="420" w:firstLineChars="200"/>
        <w:outlineLvl w:val="9"/>
        <w:rPr>
          <w:rFonts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left="0" w:firstLine="0" w:firstLineChars="0"/>
        <w:outlineLvl w:val="9"/>
        <w:rPr>
          <w:rFonts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outlineLvl w:val="9"/>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分包金额</w:t>
      </w:r>
      <w:r>
        <w:rPr>
          <w:rFonts w:hint="eastAsia" w:ascii="宋体" w:hAnsi="宋体" w:eastAsia="宋体"/>
          <w:szCs w:val="21"/>
          <w:lang w:eastAsia="zh-CN"/>
        </w:rPr>
        <w:t>（如有）</w:t>
      </w:r>
      <w:r>
        <w:rPr>
          <w:rFonts w:hint="eastAsia" w:ascii="宋体" w:hAnsi="宋体" w:eastAsia="宋体"/>
          <w:szCs w:val="21"/>
        </w:rPr>
        <w:t>小写：</w:t>
      </w:r>
      <w:r>
        <w:rPr>
          <w:rFonts w:hint="eastAsia" w:ascii="宋体" w:hAnsi="宋体" w:eastAsia="宋体"/>
          <w:szCs w:val="21"/>
          <w:u w:val="single"/>
        </w:rPr>
        <w:t xml:space="preserve">                   </w:t>
      </w:r>
    </w:p>
    <w:p>
      <w:pPr>
        <w:adjustRightInd w:val="0"/>
        <w:snapToGrid w:val="0"/>
        <w:spacing w:before="0" w:beforeLines="0" w:line="400" w:lineRule="exact"/>
        <w:ind w:firstLine="0" w:firstLineChars="0"/>
        <w:outlineLvl w:val="9"/>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outlineLvl w:val="9"/>
        <w:rPr>
          <w:rFonts w:hint="eastAsia" w:ascii="宋体" w:hAnsi="宋体" w:eastAsia="宋体"/>
          <w:szCs w:val="21"/>
          <w:lang w:val="en-US" w:eastAsia="zh-CN"/>
        </w:rPr>
      </w:pPr>
      <w:r>
        <w:rPr>
          <w:rFonts w:hint="eastAsia" w:ascii="宋体" w:hAnsi="宋体" w:eastAsia="宋体"/>
          <w:szCs w:val="21"/>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outlineLvl w:val="9"/>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合同定价方式</w:t>
      </w:r>
      <w:r>
        <w:rPr>
          <w:rFonts w:hint="eastAsia" w:ascii="宋体" w:hAnsi="宋体" w:eastAsia="宋体"/>
          <w:szCs w:val="21"/>
          <w:lang w:eastAsia="zh-CN"/>
        </w:rPr>
        <w:t>（采用组合定价方式的，可以勾选多项）</w:t>
      </w:r>
      <w:r>
        <w:rPr>
          <w:rFonts w:hint="eastAsia" w:ascii="宋体" w:hAnsi="宋体" w:eastAsia="宋体"/>
          <w:szCs w:val="21"/>
        </w:rPr>
        <w:t>：</w:t>
      </w:r>
    </w:p>
    <w:p>
      <w:pPr>
        <w:adjustRightInd w:val="0"/>
        <w:snapToGrid w:val="0"/>
        <w:spacing w:before="0" w:beforeLines="0" w:line="400" w:lineRule="exact"/>
        <w:ind w:firstLine="420" w:firstLineChars="200"/>
        <w:outlineLvl w:val="9"/>
        <w:rPr>
          <w:rFonts w:hint="eastAsia" w:ascii="宋体" w:hAnsi="宋体" w:eastAsia="宋体"/>
          <w:szCs w:val="21"/>
          <w:lang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固定单价</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固定费率</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绩效激励</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r>
        <w:rPr>
          <w:rFonts w:hint="eastAsia" w:ascii="宋体" w:hAnsi="宋体" w:eastAsia="宋体"/>
          <w:szCs w:val="21"/>
          <w:u w:val="single"/>
        </w:rPr>
        <w:t xml:space="preserve">       </w:t>
      </w:r>
    </w:p>
    <w:p>
      <w:pPr>
        <w:widowControl w:val="0"/>
        <w:spacing w:beforeLines="0" w:line="400" w:lineRule="exact"/>
        <w:ind w:firstLine="420" w:firstLineChars="200"/>
        <w:jc w:val="both"/>
        <w:outlineLvl w:val="9"/>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pPr>
        <w:adjustRightInd w:val="0"/>
        <w:snapToGrid w:val="0"/>
        <w:spacing w:before="0" w:beforeLines="0" w:line="400" w:lineRule="exact"/>
        <w:ind w:firstLine="630" w:firstLineChars="300"/>
        <w:outlineLvl w:val="9"/>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w:t>
      </w:r>
      <w:r>
        <w:rPr>
          <w:rFonts w:hint="eastAsia" w:ascii="宋体" w:hAnsi="宋体" w:eastAsia="宋体"/>
          <w:szCs w:val="21"/>
          <w:u w:val="single"/>
          <w:lang w:eastAsia="zh-CN"/>
        </w:rPr>
        <w:t>明确</w:t>
      </w:r>
      <w:r>
        <w:rPr>
          <w:rFonts w:hint="eastAsia" w:ascii="宋体" w:hAnsi="宋体" w:eastAsia="宋体"/>
          <w:szCs w:val="21"/>
          <w:u w:val="single"/>
        </w:rPr>
        <w:t>一次性支付合同款项</w:t>
      </w:r>
      <w:r>
        <w:rPr>
          <w:rFonts w:hint="eastAsia" w:ascii="宋体" w:hAnsi="宋体" w:eastAsia="宋体"/>
          <w:szCs w:val="21"/>
          <w:u w:val="single"/>
          <w:lang w:eastAsia="zh-CN"/>
        </w:rPr>
        <w:t>的条件</w:t>
      </w:r>
      <w:r>
        <w:rPr>
          <w:rFonts w:hint="eastAsia" w:ascii="宋体" w:hAnsi="宋体" w:eastAsia="宋体"/>
          <w:szCs w:val="21"/>
          <w:u w:val="single"/>
        </w:rPr>
        <w:t xml:space="preserve">）                    </w:t>
      </w:r>
    </w:p>
    <w:p>
      <w:pPr>
        <w:snapToGrid w:val="0"/>
        <w:spacing w:beforeLines="0" w:line="400" w:lineRule="exact"/>
        <w:ind w:firstLine="630" w:firstLineChars="300"/>
        <w:outlineLvl w:val="9"/>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w:t>
      </w:r>
      <w:r>
        <w:rPr>
          <w:rFonts w:hint="eastAsia" w:ascii="宋体" w:hAnsi="宋体" w:eastAsia="宋体"/>
          <w:szCs w:val="21"/>
          <w:u w:val="single"/>
          <w:lang w:eastAsia="zh-CN"/>
        </w:rPr>
        <w:t>，各期支付条件应与分期履约验收情况挂钩</w:t>
      </w:r>
      <w:r>
        <w:rPr>
          <w:rFonts w:hint="eastAsia" w:ascii="宋体" w:hAnsi="宋体" w:eastAsia="宋体"/>
          <w:szCs w:val="21"/>
          <w:u w:val="single"/>
        </w:rPr>
        <w:t xml:space="preserve">） </w:t>
      </w:r>
      <w:r>
        <w:rPr>
          <w:rFonts w:hint="eastAsia" w:ascii="宋体" w:hAnsi="宋体" w:eastAsia="宋体"/>
          <w:szCs w:val="21"/>
          <w:u w:val="none"/>
          <w:lang w:eastAsia="zh-CN"/>
        </w:rPr>
        <w:t>，</w:t>
      </w:r>
      <w:r>
        <w:rPr>
          <w:rFonts w:hint="eastAsia" w:ascii="宋体" w:hAnsi="宋体" w:eastAsia="宋体"/>
          <w:szCs w:val="21"/>
          <w:lang w:eastAsia="zh-CN"/>
        </w:rPr>
        <w:t>其中涉及预付款的</w:t>
      </w:r>
      <w:r>
        <w:rPr>
          <w:rFonts w:hint="eastAsia" w:ascii="宋体" w:hAnsi="宋体" w:eastAsia="宋体"/>
          <w:szCs w:val="21"/>
        </w:rPr>
        <w:t>：</w:t>
      </w:r>
      <w:r>
        <w:rPr>
          <w:rFonts w:hint="eastAsia" w:ascii="宋体" w:hAnsi="宋体" w:eastAsia="宋体"/>
          <w:szCs w:val="21"/>
          <w:u w:val="single"/>
        </w:rPr>
        <w:t xml:space="preserve"> （应明确预付款的支付比例和支付条件） </w:t>
      </w:r>
    </w:p>
    <w:p>
      <w:pPr>
        <w:adjustRightInd w:val="0"/>
        <w:snapToGrid w:val="0"/>
        <w:spacing w:before="0" w:beforeLines="0" w:line="400" w:lineRule="exact"/>
        <w:ind w:firstLine="630" w:firstLineChars="300"/>
        <w:outlineLvl w:val="9"/>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pPr>
        <w:adjustRightInd w:val="0"/>
        <w:snapToGrid w:val="0"/>
        <w:spacing w:before="0" w:beforeLines="0" w:line="400" w:lineRule="exact"/>
        <w:ind w:firstLine="630" w:firstLineChars="300"/>
        <w:outlineLvl w:val="9"/>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pPr>
        <w:numPr>
          <w:ilvl w:val="0"/>
          <w:numId w:val="9"/>
        </w:numPr>
        <w:adjustRightInd w:val="0"/>
        <w:snapToGrid w:val="0"/>
        <w:spacing w:before="0" w:beforeLines="0" w:line="400" w:lineRule="exact"/>
        <w:ind w:firstLine="422" w:firstLineChars="200"/>
        <w:outlineLvl w:val="9"/>
        <w:rPr>
          <w:rFonts w:ascii="宋体" w:hAnsi="宋体" w:eastAsia="宋体"/>
          <w:b/>
          <w:bCs w:val="0"/>
          <w:szCs w:val="21"/>
          <w:u w:val="single"/>
        </w:rPr>
      </w:pPr>
      <w:r>
        <w:rPr>
          <w:rFonts w:hint="eastAsia" w:ascii="宋体" w:hAnsi="宋体" w:eastAsia="宋体"/>
          <w:b/>
          <w:bCs w:val="0"/>
          <w:szCs w:val="21"/>
        </w:rPr>
        <w:t>合同履行</w:t>
      </w:r>
    </w:p>
    <w:p>
      <w:pPr>
        <w:adjustRightInd w:val="0"/>
        <w:snapToGrid w:val="0"/>
        <w:spacing w:before="0" w:beforeLines="0" w:line="400" w:lineRule="exact"/>
        <w:ind w:firstLine="420" w:firstLineChars="200"/>
        <w:outlineLvl w:val="9"/>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before="0" w:beforeLines="0" w:line="400" w:lineRule="exact"/>
        <w:ind w:firstLine="420" w:firstLineChars="200"/>
        <w:outlineLvl w:val="9"/>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pPr>
        <w:adjustRightInd w:val="0"/>
        <w:snapToGrid w:val="0"/>
        <w:spacing w:before="0" w:beforeLines="0" w:line="400" w:lineRule="exact"/>
        <w:ind w:firstLine="420" w:firstLineChars="200"/>
        <w:outlineLvl w:val="9"/>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pPr>
        <w:autoSpaceDE w:val="0"/>
        <w:autoSpaceDN w:val="0"/>
        <w:adjustRightInd w:val="0"/>
        <w:spacing w:beforeLines="0" w:line="400" w:lineRule="exact"/>
        <w:ind w:firstLine="440" w:firstLineChars="200"/>
        <w:outlineLvl w:val="9"/>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pPr>
        <w:autoSpaceDE w:val="0"/>
        <w:autoSpaceDN w:val="0"/>
        <w:adjustRightInd w:val="0"/>
        <w:spacing w:beforeLines="0" w:line="400" w:lineRule="exact"/>
        <w:ind w:firstLine="420" w:firstLineChars="200"/>
        <w:outlineLvl w:val="9"/>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pPr>
        <w:snapToGrid w:val="0"/>
        <w:spacing w:beforeLines="0" w:line="400" w:lineRule="exact"/>
        <w:ind w:firstLine="420" w:firstLineChars="200"/>
        <w:outlineLvl w:val="9"/>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pPr>
        <w:adjustRightInd w:val="0"/>
        <w:snapToGrid w:val="0"/>
        <w:spacing w:before="0" w:beforeLines="0" w:line="400" w:lineRule="exact"/>
        <w:ind w:firstLine="420" w:firstLineChars="200"/>
        <w:outlineLvl w:val="9"/>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pPr>
        <w:adjustRightInd w:val="0"/>
        <w:snapToGrid w:val="0"/>
        <w:spacing w:before="0" w:beforeLines="0" w:line="400" w:lineRule="exact"/>
        <w:ind w:firstLine="420" w:firstLineChars="200"/>
        <w:outlineLvl w:val="9"/>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pPr>
        <w:numPr>
          <w:ilvl w:val="0"/>
          <w:numId w:val="9"/>
        </w:numPr>
        <w:adjustRightInd w:val="0"/>
        <w:snapToGrid w:val="0"/>
        <w:spacing w:before="0" w:beforeLines="0" w:line="400" w:lineRule="exact"/>
        <w:ind w:firstLine="422" w:firstLineChars="200"/>
        <w:outlineLvl w:val="9"/>
        <w:rPr>
          <w:rFonts w:ascii="宋体" w:hAnsi="宋体" w:eastAsia="宋体"/>
          <w:b/>
          <w:szCs w:val="21"/>
        </w:rPr>
      </w:pPr>
      <w:r>
        <w:rPr>
          <w:rFonts w:hint="eastAsia" w:ascii="宋体" w:hAnsi="宋体" w:eastAsia="宋体"/>
          <w:b/>
          <w:szCs w:val="21"/>
        </w:rPr>
        <w:t>合同验收</w:t>
      </w:r>
    </w:p>
    <w:p>
      <w:pPr>
        <w:numPr>
          <w:ilvl w:val="0"/>
          <w:numId w:val="11"/>
        </w:numPr>
        <w:adjustRightInd w:val="0"/>
        <w:snapToGrid w:val="0"/>
        <w:spacing w:before="0" w:beforeLines="0" w:line="400" w:lineRule="exact"/>
        <w:ind w:firstLine="420" w:firstLineChars="200"/>
        <w:outlineLvl w:val="9"/>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 w:val="21"/>
          <w:szCs w:val="21"/>
        </w:rPr>
        <w:sym w:font="Wingdings" w:char="00A8"/>
      </w:r>
      <w:r>
        <w:rPr>
          <w:rFonts w:hint="eastAsia" w:ascii="宋体" w:hAnsi="宋体" w:eastAsia="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bCs/>
          <w:szCs w:val="21"/>
        </w:rPr>
        <w:t>委托第三方组织</w:t>
      </w:r>
    </w:p>
    <w:p>
      <w:pPr>
        <w:numPr>
          <w:ilvl w:val="0"/>
          <w:numId w:val="0"/>
        </w:numPr>
        <w:adjustRightInd w:val="0"/>
        <w:snapToGrid w:val="0"/>
        <w:spacing w:before="0" w:beforeLines="0" w:line="400" w:lineRule="exact"/>
        <w:outlineLvl w:val="9"/>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验收主体：</w:t>
      </w:r>
      <w:r>
        <w:rPr>
          <w:rFonts w:hint="eastAsia" w:ascii="宋体" w:hAnsi="宋体" w:eastAsia="宋体"/>
          <w:bCs/>
          <w:szCs w:val="21"/>
          <w:u w:val="single"/>
        </w:rPr>
        <w:t xml:space="preserve">                  </w:t>
      </w:r>
    </w:p>
    <w:p>
      <w:pPr>
        <w:adjustRightInd w:val="0"/>
        <w:snapToGrid w:val="0"/>
        <w:spacing w:before="0" w:beforeLines="0" w:line="400" w:lineRule="exact"/>
        <w:ind w:firstLine="0" w:firstLineChars="0"/>
        <w:outlineLvl w:val="9"/>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是否邀请本项目的其他供应商</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outlineLvl w:val="9"/>
        <w:rPr>
          <w:rFonts w:ascii="宋体" w:hAnsi="宋体" w:eastAsia="宋体"/>
          <w:bCs/>
          <w:szCs w:val="21"/>
        </w:rPr>
      </w:pPr>
      <w:r>
        <w:rPr>
          <w:rFonts w:hint="eastAsia" w:ascii="宋体" w:hAnsi="宋体" w:eastAsia="宋体"/>
          <w:bCs/>
          <w:szCs w:val="21"/>
        </w:rPr>
        <w:t>是否邀请专家</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outlineLvl w:val="9"/>
        <w:rPr>
          <w:rFonts w:ascii="宋体" w:hAnsi="宋体" w:eastAsia="宋体"/>
          <w:bCs/>
          <w:szCs w:val="21"/>
        </w:rPr>
      </w:pPr>
      <w:r>
        <w:rPr>
          <w:rFonts w:hint="eastAsia" w:ascii="宋体" w:hAnsi="宋体" w:eastAsia="宋体"/>
          <w:bCs/>
          <w:szCs w:val="21"/>
        </w:rPr>
        <w:t>是否邀请服务对象</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outlineLvl w:val="9"/>
        <w:rPr>
          <w:rFonts w:ascii="宋体" w:hAnsi="宋体" w:eastAsia="宋体"/>
          <w:bCs/>
          <w:szCs w:val="21"/>
        </w:rPr>
      </w:pPr>
      <w:r>
        <w:rPr>
          <w:rFonts w:hint="eastAsia" w:ascii="宋体" w:hAnsi="宋体" w:eastAsia="宋体"/>
          <w:bCs/>
          <w:szCs w:val="21"/>
        </w:rPr>
        <w:t>是否邀请第三方检测机构</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outlineLvl w:val="9"/>
        <w:rPr>
          <w:rFonts w:hint="eastAsia" w:ascii="宋体" w:hAnsi="宋体" w:eastAsia="宋体"/>
          <w:bCs/>
          <w:szCs w:val="21"/>
        </w:rPr>
      </w:pPr>
      <w:r>
        <w:rPr>
          <w:rFonts w:hint="eastAsia" w:ascii="宋体" w:hAnsi="宋体" w:eastAsia="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，抽查比例：</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eastAsia="宋体"/>
          <w:bCs/>
          <w:szCs w:val="21"/>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outlineLvl w:val="9"/>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pPr>
        <w:adjustRightInd w:val="0"/>
        <w:snapToGrid w:val="0"/>
        <w:spacing w:before="0" w:beforeLines="0" w:line="400" w:lineRule="exact"/>
        <w:ind w:firstLine="840" w:firstLineChars="400"/>
        <w:outlineLvl w:val="9"/>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outlineLvl w:val="9"/>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outlineLvl w:val="9"/>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（计划于何时验收/供应商提出验收申请之日起   日内组织验收）</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outlineLvl w:val="9"/>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 w:val="21"/>
          <w:szCs w:val="21"/>
        </w:rPr>
        <w:sym w:font="Wingdings" w:char="00A8"/>
      </w:r>
      <w:r>
        <w:rPr>
          <w:rFonts w:hint="eastAsia" w:ascii="宋体" w:hAnsi="宋体" w:eastAsia="宋体"/>
          <w:bCs/>
          <w:szCs w:val="21"/>
        </w:rPr>
        <w:t xml:space="preserve">一次性验收         </w:t>
      </w:r>
    </w:p>
    <w:p>
      <w:pPr>
        <w:adjustRightInd w:val="0"/>
        <w:snapToGrid w:val="0"/>
        <w:spacing w:before="0" w:beforeLines="0" w:line="400" w:lineRule="exact"/>
        <w:ind w:firstLine="0" w:firstLineChars="0"/>
        <w:outlineLvl w:val="9"/>
        <w:rPr>
          <w:rFonts w:hint="eastAsia" w:ascii="宋体" w:hAnsi="宋体" w:eastAsia="宋体"/>
          <w:bCs/>
          <w:szCs w:val="21"/>
          <w:lang w:val="en-US"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分期/分项验收</w:t>
      </w:r>
      <w:r>
        <w:rPr>
          <w:rFonts w:hint="eastAsia" w:ascii="宋体" w:hAnsi="宋体" w:eastAsia="宋体"/>
          <w:bCs/>
          <w:szCs w:val="21"/>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eastAsia="zh-CN"/>
        </w:rPr>
        <w:t>（应明确分期</w:t>
      </w:r>
      <w:r>
        <w:rPr>
          <w:rFonts w:hint="default" w:ascii="宋体" w:hAnsi="宋体" w:eastAsia="宋体"/>
          <w:bCs/>
          <w:szCs w:val="21"/>
          <w:u w:val="single"/>
          <w:lang w:val="en" w:eastAsia="zh-CN"/>
        </w:rPr>
        <w:t>/</w:t>
      </w:r>
      <w:r>
        <w:rPr>
          <w:rFonts w:hint="eastAsia" w:ascii="宋体" w:hAnsi="宋体" w:eastAsia="宋体"/>
          <w:bCs/>
          <w:szCs w:val="21"/>
          <w:u w:val="single"/>
          <w:lang w:val="en" w:eastAsia="zh-CN"/>
        </w:rPr>
        <w:t>分项验收的工作安排</w:t>
      </w:r>
      <w:r>
        <w:rPr>
          <w:rFonts w:hint="eastAsia" w:ascii="宋体" w:hAnsi="宋体" w:eastAsia="宋体"/>
          <w:bCs/>
          <w:szCs w:val="21"/>
          <w:u w:val="single"/>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outlineLvl w:val="9"/>
        <w:rPr>
          <w:rFonts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outlineLvl w:val="9"/>
        <w:rPr>
          <w:rFonts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w:t>
      </w:r>
      <w:r>
        <w:rPr>
          <w:rFonts w:hint="eastAsia" w:ascii="宋体" w:hAnsi="宋体" w:eastAsia="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outlineLvl w:val="9"/>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pPr>
        <w:autoSpaceDE w:val="0"/>
        <w:autoSpaceDN w:val="0"/>
        <w:adjustRightInd w:val="0"/>
        <w:spacing w:beforeLines="0" w:line="400" w:lineRule="exact"/>
        <w:ind w:firstLine="420" w:firstLineChars="200"/>
        <w:outlineLvl w:val="9"/>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pPr>
        <w:adjustRightInd w:val="0"/>
        <w:snapToGrid w:val="0"/>
        <w:spacing w:before="0" w:beforeLines="0" w:line="400" w:lineRule="exact"/>
        <w:ind w:firstLine="420" w:firstLineChars="200"/>
        <w:outlineLvl w:val="9"/>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pPr>
        <w:numPr>
          <w:ilvl w:val="0"/>
          <w:numId w:val="9"/>
        </w:numPr>
        <w:adjustRightInd w:val="0"/>
        <w:snapToGrid w:val="0"/>
        <w:spacing w:before="0" w:beforeLines="0" w:line="400" w:lineRule="exact"/>
        <w:ind w:firstLine="422" w:firstLineChars="200"/>
        <w:outlineLvl w:val="9"/>
        <w:rPr>
          <w:rFonts w:hint="eastAsia" w:ascii="宋体" w:hAnsi="宋体" w:eastAsia="宋体"/>
          <w:b/>
          <w:szCs w:val="21"/>
        </w:rPr>
      </w:pPr>
      <w:r>
        <w:rPr>
          <w:rFonts w:hint="eastAsia" w:ascii="宋体" w:hAnsi="宋体" w:eastAsia="宋体"/>
          <w:b/>
          <w:szCs w:val="21"/>
        </w:rPr>
        <w:t>组成合同的文件</w:t>
      </w:r>
    </w:p>
    <w:p>
      <w:pPr>
        <w:adjustRightInd w:val="0"/>
        <w:snapToGrid w:val="0"/>
        <w:spacing w:before="0" w:beforeLines="0" w:line="400" w:lineRule="exact"/>
        <w:ind w:firstLine="420" w:firstLineChars="200"/>
        <w:outlineLvl w:val="9"/>
        <w:rPr>
          <w:rFonts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outlineLvl w:val="9"/>
        <w:rPr>
          <w:rFonts w:hint="eastAsia" w:ascii="宋体" w:hAnsi="宋体" w:eastAsia="宋体"/>
          <w:color w:val="auto"/>
          <w:szCs w:val="21"/>
          <w:lang w:eastAsia="zh-CN"/>
        </w:rPr>
      </w:pPr>
      <w:r>
        <w:rPr>
          <w:rFonts w:hint="eastAsia" w:ascii="宋体" w:hAnsi="宋体" w:eastAsia="宋体"/>
          <w:color w:val="auto"/>
          <w:szCs w:val="21"/>
        </w:rPr>
        <w:t>（1）</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p>
    <w:p>
      <w:pPr>
        <w:adjustRightInd w:val="0"/>
        <w:snapToGrid w:val="0"/>
        <w:spacing w:before="0" w:beforeLines="0" w:line="400" w:lineRule="exact"/>
        <w:ind w:firstLine="420" w:firstLineChars="200"/>
        <w:outlineLvl w:val="9"/>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）政府采购合同专用条款</w:t>
      </w:r>
    </w:p>
    <w:p>
      <w:pPr>
        <w:adjustRightInd w:val="0"/>
        <w:snapToGrid w:val="0"/>
        <w:spacing w:before="0" w:beforeLines="0" w:line="400" w:lineRule="exact"/>
        <w:ind w:firstLine="420" w:firstLineChars="200"/>
        <w:outlineLvl w:val="9"/>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）政府采购合同通用条款</w:t>
      </w:r>
    </w:p>
    <w:p>
      <w:pPr>
        <w:adjustRightInd w:val="0"/>
        <w:snapToGrid w:val="0"/>
        <w:spacing w:before="0" w:beforeLines="0" w:line="400" w:lineRule="exact"/>
        <w:ind w:firstLine="420" w:firstLineChars="200"/>
        <w:outlineLvl w:val="9"/>
        <w:rPr>
          <w:rFonts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p>
    <w:p>
      <w:pPr>
        <w:adjustRightInd w:val="0"/>
        <w:snapToGrid w:val="0"/>
        <w:spacing w:before="0" w:beforeLines="0" w:line="400" w:lineRule="exact"/>
        <w:ind w:firstLine="420" w:firstLineChars="200"/>
        <w:outlineLvl w:val="9"/>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）投标（响应）文件</w:t>
      </w:r>
    </w:p>
    <w:p>
      <w:pPr>
        <w:adjustRightInd w:val="0"/>
        <w:snapToGrid w:val="0"/>
        <w:spacing w:before="0" w:beforeLines="0" w:line="400" w:lineRule="exact"/>
        <w:ind w:firstLine="420" w:firstLineChars="200"/>
        <w:outlineLvl w:val="9"/>
        <w:rPr>
          <w:rFonts w:ascii="宋体" w:hAnsi="宋体" w:eastAsia="宋体"/>
          <w:szCs w:val="21"/>
        </w:rPr>
      </w:pPr>
      <w:r>
        <w:rPr>
          <w:rFonts w:hint="eastAsia" w:ascii="宋体" w:hAnsi="宋体" w:eastAsia="宋体"/>
          <w:szCs w:val="21"/>
        </w:rPr>
        <w:t>（6）采购文件</w:t>
      </w:r>
    </w:p>
    <w:p>
      <w:pPr>
        <w:adjustRightInd w:val="0"/>
        <w:snapToGrid w:val="0"/>
        <w:spacing w:before="0" w:beforeLines="0" w:line="400" w:lineRule="exact"/>
        <w:ind w:firstLine="420" w:firstLineChars="200"/>
        <w:outlineLvl w:val="9"/>
        <w:rPr>
          <w:rFonts w:ascii="宋体" w:hAnsi="宋体" w:eastAsia="宋体"/>
          <w:szCs w:val="21"/>
        </w:rPr>
      </w:pPr>
      <w:r>
        <w:rPr>
          <w:rFonts w:hint="eastAsia" w:ascii="宋体" w:hAnsi="宋体" w:eastAsia="宋体"/>
          <w:szCs w:val="21"/>
        </w:rPr>
        <w:t>（7）有关技术文件，图纸</w:t>
      </w:r>
    </w:p>
    <w:p>
      <w:pPr>
        <w:autoSpaceDE w:val="0"/>
        <w:autoSpaceDN w:val="0"/>
        <w:adjustRightInd w:val="0"/>
        <w:spacing w:beforeLines="0" w:line="400" w:lineRule="exact"/>
        <w:ind w:firstLine="420" w:firstLineChars="200"/>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pPr>
        <w:numPr>
          <w:ilvl w:val="0"/>
          <w:numId w:val="9"/>
        </w:numPr>
        <w:adjustRightInd w:val="0"/>
        <w:snapToGrid w:val="0"/>
        <w:spacing w:before="0" w:beforeLines="0" w:line="400" w:lineRule="exact"/>
        <w:ind w:firstLine="422" w:firstLineChars="200"/>
        <w:outlineLvl w:val="9"/>
        <w:rPr>
          <w:rFonts w:hint="eastAsia" w:ascii="宋体" w:hAnsi="宋体" w:eastAsia="宋体"/>
          <w:b/>
          <w:szCs w:val="21"/>
        </w:rPr>
      </w:pPr>
      <w:r>
        <w:rPr>
          <w:rFonts w:hint="eastAsia" w:ascii="宋体" w:hAnsi="宋体" w:eastAsia="宋体"/>
          <w:b/>
          <w:szCs w:val="21"/>
        </w:rPr>
        <w:t>合同生效</w:t>
      </w:r>
    </w:p>
    <w:p>
      <w:pPr>
        <w:adjustRightInd w:val="0"/>
        <w:snapToGrid w:val="0"/>
        <w:spacing w:before="0" w:beforeLines="0" w:line="400" w:lineRule="exact"/>
        <w:ind w:firstLine="420" w:firstLineChars="200"/>
        <w:outlineLvl w:val="9"/>
        <w:rPr>
          <w:rFonts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pPr>
        <w:numPr>
          <w:ilvl w:val="0"/>
          <w:numId w:val="9"/>
        </w:numPr>
        <w:adjustRightInd w:val="0"/>
        <w:snapToGrid w:val="0"/>
        <w:spacing w:before="0" w:beforeLines="0" w:line="400" w:lineRule="exact"/>
        <w:ind w:firstLine="422" w:firstLineChars="200"/>
        <w:outlineLvl w:val="9"/>
        <w:rPr>
          <w:rFonts w:hint="eastAsia" w:ascii="宋体" w:hAnsi="宋体" w:eastAsia="宋体"/>
          <w:b/>
          <w:szCs w:val="21"/>
        </w:rPr>
      </w:pPr>
      <w:r>
        <w:rPr>
          <w:rFonts w:hint="eastAsia" w:ascii="宋体" w:hAnsi="宋体" w:eastAsia="宋体"/>
          <w:b/>
          <w:szCs w:val="21"/>
        </w:rPr>
        <w:t>合同份数</w:t>
      </w:r>
    </w:p>
    <w:p>
      <w:pPr>
        <w:adjustRightInd w:val="0"/>
        <w:snapToGrid w:val="0"/>
        <w:spacing w:before="0" w:beforeLines="0" w:line="400" w:lineRule="exact"/>
        <w:ind w:firstLine="420" w:firstLineChars="200"/>
        <w:outlineLvl w:val="9"/>
        <w:rPr>
          <w:rFonts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甲方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乙方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份，均具有同等法律效力。</w:t>
      </w:r>
    </w:p>
    <w:p>
      <w:pPr>
        <w:adjustRightInd w:val="0"/>
        <w:snapToGrid w:val="0"/>
        <w:spacing w:before="0" w:beforeLines="0" w:line="400" w:lineRule="exact"/>
        <w:ind w:firstLine="420" w:firstLineChars="200"/>
        <w:outlineLvl w:val="9"/>
        <w:rPr>
          <w:rFonts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adjustRightInd w:val="0"/>
        <w:snapToGrid w:val="0"/>
        <w:spacing w:before="0" w:beforeLines="0" w:line="400" w:lineRule="exact"/>
        <w:ind w:firstLine="420" w:firstLineChars="200"/>
        <w:outlineLvl w:val="9"/>
        <w:rPr>
          <w:rFonts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pPr>
        <w:adjustRightInd w:val="0"/>
        <w:snapToGrid w:val="0"/>
        <w:spacing w:before="0" w:beforeLines="0" w:line="400" w:lineRule="exact"/>
        <w:ind w:firstLine="420" w:firstLineChars="200"/>
        <w:outlineLvl w:val="9"/>
        <w:rPr>
          <w:rFonts w:eastAsia="宋体"/>
        </w:rPr>
      </w:pPr>
      <w:r>
        <w:rPr>
          <w:rFonts w:hint="eastAsia" w:ascii="宋体" w:hAnsi="宋体" w:eastAsia="宋体"/>
          <w:szCs w:val="21"/>
        </w:rPr>
        <w:t>附件：具体标</w:t>
      </w:r>
      <w:r>
        <w:rPr>
          <w:rFonts w:hint="eastAsia" w:ascii="宋体" w:hAnsi="宋体" w:eastAsia="宋体"/>
          <w:szCs w:val="21"/>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rPr>
        <w:t>、联合协议、分包</w:t>
      </w:r>
      <w:r>
        <w:rPr>
          <w:rFonts w:hint="eastAsia" w:ascii="宋体" w:hAnsi="宋体" w:eastAsia="宋体"/>
          <w:szCs w:val="21"/>
          <w:lang w:eastAsia="zh-CN"/>
        </w:rPr>
        <w:t>意向</w:t>
      </w:r>
      <w:r>
        <w:rPr>
          <w:rFonts w:hint="eastAsia" w:ascii="宋体" w:hAnsi="宋体" w:eastAsia="宋体"/>
          <w:szCs w:val="21"/>
        </w:rPr>
        <w:t>协议等。</w:t>
      </w:r>
    </w:p>
    <w:p>
      <w:pPr>
        <w:outlineLvl w:val="9"/>
        <w:rPr>
          <w:rFonts w:hint="eastAsia" w:eastAsia="宋体"/>
        </w:rPr>
      </w:pPr>
      <w:r>
        <w:rPr>
          <w:rFonts w:hint="eastAsia" w:eastAsia="宋体"/>
        </w:rPr>
        <w:br w:type="page"/>
      </w:r>
    </w:p>
    <w:p>
      <w:pPr>
        <w:widowControl w:val="0"/>
        <w:ind w:firstLine="420" w:firstLineChars="200"/>
        <w:jc w:val="both"/>
        <w:outlineLvl w:val="9"/>
        <w:rPr>
          <w:rFonts w:hint="eastAsia" w:ascii="Times New Roman" w:hAnsi="Times New Roman" w:eastAsia="宋体" w:cs="Times New Roman"/>
          <w:kern w:val="2"/>
          <w:sz w:val="21"/>
          <w:szCs w:val="21"/>
          <w:lang w:val="en-US" w:eastAsia="zh-CN" w:bidi="ar-SA"/>
        </w:rPr>
      </w:pPr>
    </w:p>
    <w:tbl>
      <w:tblPr>
        <w:tblStyle w:val="44"/>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outlineLvl w:val="9"/>
              <w:rPr>
                <w:rFonts w:eastAsia="宋体"/>
              </w:rPr>
            </w:pPr>
            <w:r>
              <w:rPr>
                <w:rFonts w:eastAsia="宋体"/>
                <w:szCs w:val="21"/>
              </w:rPr>
              <w:t>甲方</w:t>
            </w:r>
            <w:r>
              <w:rPr>
                <w:rFonts w:hint="eastAsia"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outlineLvl w:val="9"/>
              <w:rPr>
                <w:rFonts w:eastAsia="宋体"/>
              </w:rPr>
            </w:pPr>
            <w:r>
              <w:rPr>
                <w:rFonts w:eastAsia="宋体"/>
                <w:szCs w:val="21"/>
              </w:rPr>
              <w:t>乙方</w:t>
            </w:r>
            <w:r>
              <w:rPr>
                <w:rFonts w:hint="eastAsia" w:eastAsia="宋体"/>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outlineLvl w:val="9"/>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r>
              <w:rPr>
                <w:rFonts w:eastAsia="宋体"/>
                <w:szCs w:val="21"/>
              </w:rPr>
              <w:t>法定代表人</w:t>
            </w:r>
          </w:p>
          <w:p>
            <w:pPr>
              <w:adjustRightInd w:val="0"/>
              <w:snapToGrid w:val="0"/>
              <w:spacing w:line="300" w:lineRule="exact"/>
              <w:ind w:firstLine="100" w:firstLineChars="48"/>
              <w:jc w:val="center"/>
              <w:outlineLvl w:val="9"/>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r>
              <w:rPr>
                <w:rFonts w:eastAsia="宋体"/>
                <w:szCs w:val="21"/>
              </w:rPr>
              <w:t>法定代表人</w:t>
            </w:r>
          </w:p>
          <w:p>
            <w:pPr>
              <w:adjustRightInd w:val="0"/>
              <w:snapToGrid w:val="0"/>
              <w:spacing w:line="300" w:lineRule="exact"/>
              <w:jc w:val="center"/>
              <w:outlineLvl w:val="9"/>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outlineLvl w:val="9"/>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hint="eastAsia" w:eastAsia="宋体"/>
                <w:szCs w:val="21"/>
                <w:lang w:eastAsia="zh-CN"/>
              </w:rPr>
            </w:pPr>
            <w:r>
              <w:rPr>
                <w:rFonts w:hint="eastAsia" w:eastAsia="宋体"/>
                <w:szCs w:val="21"/>
                <w:lang w:eastAsia="zh-CN"/>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outlineLvl w:val="9"/>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outlineLvl w:val="9"/>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outlineLvl w:val="9"/>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outlineLvl w:val="9"/>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hint="eastAsia" w:eastAsia="宋体"/>
                <w:szCs w:val="21"/>
                <w:lang w:eastAsia="zh-CN"/>
              </w:rPr>
            </w:pPr>
            <w:r>
              <w:rPr>
                <w:rFonts w:hint="eastAsia" w:eastAsia="宋体"/>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r>
              <w:rPr>
                <w:rFonts w:hint="eastAsia" w:eastAsia="宋体"/>
                <w:szCs w:val="21"/>
                <w:lang w:eastAsia="zh-CN"/>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outlineLvl w:val="9"/>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outlineLvl w:val="9"/>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outlineLvl w:val="9"/>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outlineLvl w:val="9"/>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outlineLvl w:val="9"/>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outlineLvl w:val="9"/>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outlineLvl w:val="9"/>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widowControl w:val="0"/>
              <w:adjustRightInd w:val="0"/>
              <w:snapToGrid w:val="0"/>
              <w:spacing w:before="156" w:beforeLines="50" w:after="0" w:line="360" w:lineRule="auto"/>
              <w:ind w:left="0" w:leftChars="0"/>
              <w:jc w:val="left"/>
              <w:outlineLvl w:val="9"/>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pPr>
        <w:keepNext/>
        <w:keepLines/>
        <w:widowControl w:val="0"/>
        <w:adjustRightInd w:val="0"/>
        <w:snapToGrid w:val="0"/>
        <w:spacing w:before="156" w:beforeLines="50" w:line="360" w:lineRule="auto"/>
        <w:jc w:val="center"/>
        <w:outlineLvl w:val="9"/>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86" w:name="_Toc27624"/>
      <w:r>
        <w:rPr>
          <w:rFonts w:hint="eastAsia" w:ascii="黑体" w:hAnsi="黑体" w:eastAsia="黑体" w:cs="Times New Roman"/>
          <w:b w:val="0"/>
          <w:bCs w:val="0"/>
          <w:kern w:val="2"/>
          <w:sz w:val="28"/>
          <w:szCs w:val="28"/>
          <w:lang w:val="en-US" w:eastAsia="zh-CN" w:bidi="ar-SA"/>
        </w:rPr>
        <w:t>第二节 政府采购合同通用条款</w:t>
      </w:r>
      <w:bookmarkEnd w:id="86"/>
    </w:p>
    <w:p>
      <w:pPr>
        <w:tabs>
          <w:tab w:val="left" w:pos="8820"/>
          <w:tab w:val="left" w:pos="9345"/>
          <w:tab w:val="left" w:pos="9765"/>
        </w:tabs>
        <w:adjustRightInd w:val="0"/>
        <w:snapToGrid w:val="0"/>
        <w:spacing w:before="0" w:line="400" w:lineRule="exact"/>
        <w:jc w:val="left"/>
        <w:outlineLvl w:val="9"/>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pPr>
        <w:autoSpaceDE w:val="0"/>
        <w:autoSpaceDN w:val="0"/>
        <w:adjustRightInd w:val="0"/>
        <w:snapToGrid w:val="0"/>
        <w:spacing w:before="0" w:line="400" w:lineRule="exact"/>
        <w:ind w:firstLine="420" w:firstLineChars="200"/>
        <w:jc w:val="left"/>
        <w:outlineLvl w:val="9"/>
        <w:rPr>
          <w:rFonts w:ascii="宋体" w:hAnsi="宋体" w:eastAsia="宋体"/>
          <w:color w:val="000000"/>
          <w:szCs w:val="21"/>
          <w:highlight w:val="none"/>
        </w:rPr>
      </w:pPr>
      <w:r>
        <w:rPr>
          <w:rFonts w:hint="eastAsia" w:ascii="宋体" w:hAnsi="宋体" w:eastAsia="宋体"/>
          <w:color w:val="000000"/>
          <w:szCs w:val="21"/>
          <w:highlight w:val="none"/>
        </w:rPr>
        <w:t>1.1合同当事人</w:t>
      </w:r>
    </w:p>
    <w:p>
      <w:pPr>
        <w:autoSpaceDE w:val="0"/>
        <w:autoSpaceDN w:val="0"/>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方）是指参加政府采购活动并且中标（成交），向采购人提供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pPr>
        <w:adjustRightInd w:val="0"/>
        <w:snapToGrid w:val="0"/>
        <w:spacing w:before="0" w:beforeLines="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政府采购合同专用条款</w:t>
      </w:r>
      <w:r>
        <w:rPr>
          <w:rFonts w:hint="eastAsia" w:ascii="宋体" w:hAnsi="宋体" w:eastAsia="宋体"/>
          <w:szCs w:val="21"/>
          <w:lang w:eastAsia="zh-CN"/>
        </w:rPr>
        <w:t>，</w:t>
      </w:r>
      <w:r>
        <w:rPr>
          <w:rFonts w:hint="eastAsia" w:ascii="宋体" w:hAnsi="宋体" w:eastAsia="宋体"/>
          <w:szCs w:val="21"/>
        </w:rPr>
        <w:t>政府采购合同通用条款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rPr>
        <w:t>投标（响应）文件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outlineLvl w:val="9"/>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pPr>
        <w:adjustRightInd w:val="0"/>
        <w:snapToGrid w:val="0"/>
        <w:spacing w:before="0" w:line="400" w:lineRule="exact"/>
        <w:ind w:firstLine="420" w:firstLineChars="200"/>
        <w:jc w:val="left"/>
        <w:outlineLvl w:val="9"/>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pPr>
        <w:adjustRightInd w:val="0"/>
        <w:snapToGrid w:val="0"/>
        <w:spacing w:before="0" w:line="400" w:lineRule="exact"/>
        <w:ind w:firstLine="420" w:firstLineChars="200"/>
        <w:jc w:val="left"/>
        <w:outlineLvl w:val="9"/>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outlineLvl w:val="9"/>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以一个供应商的身份共同参加政府采购的主体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outlineLvl w:val="9"/>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numPr>
          <w:ilvl w:val="0"/>
          <w:numId w:val="12"/>
        </w:numPr>
        <w:autoSpaceDE w:val="0"/>
        <w:autoSpaceDN w:val="0"/>
        <w:adjustRightInd w:val="0"/>
        <w:snapToGrid w:val="0"/>
        <w:spacing w:before="0" w:line="400" w:lineRule="exact"/>
        <w:jc w:val="left"/>
        <w:outlineLvl w:val="9"/>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pPr>
        <w:autoSpaceDE w:val="0"/>
        <w:autoSpaceDN w:val="0"/>
        <w:adjustRightInd w:val="0"/>
        <w:snapToGrid w:val="0"/>
        <w:spacing w:before="0" w:line="400" w:lineRule="exact"/>
        <w:ind w:firstLine="420" w:firstLineChars="200"/>
        <w:jc w:val="left"/>
        <w:outlineLvl w:val="9"/>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pPr>
        <w:adjustRightInd w:val="0"/>
        <w:snapToGrid w:val="0"/>
        <w:spacing w:before="0" w:line="400" w:lineRule="exact"/>
        <w:jc w:val="left"/>
        <w:outlineLvl w:val="9"/>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outlineLvl w:val="9"/>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pPr>
        <w:autoSpaceDE w:val="0"/>
        <w:autoSpaceDN w:val="0"/>
        <w:adjustRightInd w:val="0"/>
        <w:snapToGrid w:val="0"/>
        <w:spacing w:before="0" w:line="400" w:lineRule="exact"/>
        <w:jc w:val="left"/>
        <w:outlineLvl w:val="9"/>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pPr>
        <w:autoSpaceDE w:val="0"/>
        <w:autoSpaceDN w:val="0"/>
        <w:adjustRightInd w:val="0"/>
        <w:snapToGrid w:val="0"/>
        <w:spacing w:before="0" w:line="400" w:lineRule="exact"/>
        <w:ind w:firstLine="420" w:firstLineChars="200"/>
        <w:jc w:val="left"/>
        <w:outlineLvl w:val="9"/>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pPr>
        <w:autoSpaceDE w:val="0"/>
        <w:autoSpaceDN w:val="0"/>
        <w:adjustRightInd w:val="0"/>
        <w:snapToGrid w:val="0"/>
        <w:spacing w:before="0" w:line="400" w:lineRule="exact"/>
        <w:ind w:firstLine="420" w:firstLineChars="200"/>
        <w:jc w:val="left"/>
        <w:outlineLvl w:val="9"/>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outlineLvl w:val="9"/>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pPr>
        <w:snapToGrid w:val="0"/>
        <w:spacing w:line="400" w:lineRule="exact"/>
        <w:ind w:firstLine="420" w:firstLineChars="200"/>
        <w:outlineLvl w:val="9"/>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outlineLvl w:val="9"/>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20" w:firstLineChars="200"/>
        <w:jc w:val="left"/>
        <w:outlineLvl w:val="9"/>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pPr>
        <w:autoSpaceDE w:val="0"/>
        <w:autoSpaceDN w:val="0"/>
        <w:adjustRightInd w:val="0"/>
        <w:snapToGrid w:val="0"/>
        <w:spacing w:before="0" w:line="400" w:lineRule="exact"/>
        <w:jc w:val="left"/>
        <w:outlineLvl w:val="9"/>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pPr>
        <w:autoSpaceDE w:val="0"/>
        <w:autoSpaceDN w:val="0"/>
        <w:adjustRightInd w:val="0"/>
        <w:snapToGrid w:val="0"/>
        <w:spacing w:before="0" w:line="400" w:lineRule="exact"/>
        <w:ind w:firstLine="420" w:firstLineChars="200"/>
        <w:jc w:val="left"/>
        <w:outlineLvl w:val="9"/>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outlineLvl w:val="9"/>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pPr>
        <w:widowControl w:val="0"/>
        <w:spacing w:after="0" w:line="400" w:lineRule="exact"/>
        <w:ind w:firstLine="369" w:firstLineChars="176"/>
        <w:jc w:val="both"/>
        <w:outlineLvl w:val="9"/>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pPr>
        <w:widowControl w:val="0"/>
        <w:spacing w:after="0" w:line="400" w:lineRule="exact"/>
        <w:ind w:firstLine="369" w:firstLineChars="176"/>
        <w:jc w:val="both"/>
        <w:outlineLvl w:val="9"/>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pPr>
        <w:numPr>
          <w:ilvl w:val="0"/>
          <w:numId w:val="13"/>
        </w:numPr>
        <w:autoSpaceDE w:val="0"/>
        <w:autoSpaceDN w:val="0"/>
        <w:adjustRightInd w:val="0"/>
        <w:snapToGrid w:val="0"/>
        <w:spacing w:before="0" w:line="400" w:lineRule="exact"/>
        <w:jc w:val="left"/>
        <w:outlineLvl w:val="9"/>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outlineLvl w:val="9"/>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outlineLvl w:val="9"/>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outlineLvl w:val="9"/>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pPr>
        <w:autoSpaceDE w:val="0"/>
        <w:autoSpaceDN w:val="0"/>
        <w:adjustRightInd w:val="0"/>
        <w:snapToGrid w:val="0"/>
        <w:spacing w:before="0" w:line="400" w:lineRule="exact"/>
        <w:ind w:firstLine="420" w:firstLineChars="200"/>
        <w:jc w:val="left"/>
        <w:outlineLvl w:val="9"/>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【政府采购合同专用条款】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pPr>
        <w:adjustRightInd w:val="0"/>
        <w:snapToGrid w:val="0"/>
        <w:spacing w:before="0" w:line="400" w:lineRule="exact"/>
        <w:ind w:firstLine="420" w:firstLineChars="200"/>
        <w:jc w:val="left"/>
        <w:outlineLvl w:val="9"/>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pPr>
        <w:adjustRightInd w:val="0"/>
        <w:snapToGrid w:val="0"/>
        <w:spacing w:before="0" w:line="400" w:lineRule="exact"/>
        <w:ind w:firstLine="420" w:firstLineChars="200"/>
        <w:jc w:val="left"/>
        <w:outlineLvl w:val="9"/>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outlineLvl w:val="9"/>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outlineLvl w:val="9"/>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pPr>
        <w:autoSpaceDE w:val="0"/>
        <w:autoSpaceDN w:val="0"/>
        <w:adjustRightInd w:val="0"/>
        <w:spacing w:line="400" w:lineRule="exact"/>
        <w:ind w:firstLine="420" w:firstLineChars="200"/>
        <w:outlineLvl w:val="9"/>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pPr>
        <w:adjustRightInd w:val="0"/>
        <w:snapToGrid w:val="0"/>
        <w:spacing w:before="0" w:line="400" w:lineRule="exact"/>
        <w:jc w:val="left"/>
        <w:outlineLvl w:val="9"/>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pPr>
        <w:widowControl w:val="0"/>
        <w:adjustRightInd w:val="0"/>
        <w:snapToGrid w:val="0"/>
        <w:spacing w:before="0" w:line="400" w:lineRule="exact"/>
        <w:ind w:firstLine="420" w:firstLineChars="200"/>
        <w:jc w:val="left"/>
        <w:outlineLvl w:val="9"/>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pPr>
        <w:autoSpaceDE w:val="0"/>
        <w:autoSpaceDN w:val="0"/>
        <w:adjustRightInd w:val="0"/>
        <w:snapToGrid w:val="0"/>
        <w:spacing w:before="0" w:line="400" w:lineRule="exact"/>
        <w:ind w:firstLine="420" w:firstLineChars="200"/>
        <w:jc w:val="left"/>
        <w:outlineLvl w:val="9"/>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pPr>
        <w:widowControl w:val="0"/>
        <w:adjustRightInd w:val="0"/>
        <w:snapToGrid w:val="0"/>
        <w:spacing w:before="0" w:line="400" w:lineRule="exact"/>
        <w:ind w:firstLine="420" w:firstLineChars="200"/>
        <w:jc w:val="left"/>
        <w:outlineLvl w:val="9"/>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pPr>
        <w:autoSpaceDE w:val="0"/>
        <w:autoSpaceDN w:val="0"/>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pPr>
        <w:autoSpaceDE w:val="0"/>
        <w:autoSpaceDN w:val="0"/>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pPr>
        <w:autoSpaceDE w:val="0"/>
        <w:autoSpaceDN w:val="0"/>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pPr>
        <w:adjustRightInd w:val="0"/>
        <w:snapToGrid w:val="0"/>
        <w:spacing w:before="0" w:line="400" w:lineRule="exact"/>
        <w:ind w:firstLine="420" w:firstLineChars="200"/>
        <w:jc w:val="left"/>
        <w:outlineLvl w:val="9"/>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pPr>
        <w:adjustRightInd w:val="0"/>
        <w:snapToGrid w:val="0"/>
        <w:spacing w:before="0" w:line="400" w:lineRule="exact"/>
        <w:jc w:val="left"/>
        <w:outlineLvl w:val="9"/>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pPr>
        <w:autoSpaceDE w:val="0"/>
        <w:autoSpaceDN w:val="0"/>
        <w:adjustRightInd w:val="0"/>
        <w:snapToGrid w:val="0"/>
        <w:spacing w:before="0" w:line="400" w:lineRule="exact"/>
        <w:ind w:firstLine="420" w:firstLineChars="200"/>
        <w:jc w:val="left"/>
        <w:outlineLvl w:val="9"/>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outlineLvl w:val="9"/>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before="0" w:line="400" w:lineRule="exact"/>
        <w:ind w:firstLine="420" w:firstLineChars="200"/>
        <w:jc w:val="left"/>
        <w:outlineLvl w:val="9"/>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pPr>
        <w:autoSpaceDE w:val="0"/>
        <w:autoSpaceDN w:val="0"/>
        <w:adjustRightInd w:val="0"/>
        <w:snapToGrid w:val="0"/>
        <w:spacing w:before="0" w:line="400" w:lineRule="exact"/>
        <w:jc w:val="left"/>
        <w:outlineLvl w:val="9"/>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pPr>
        <w:autoSpaceDE w:val="0"/>
        <w:autoSpaceDN w:val="0"/>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87"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87"/>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outlineLvl w:val="9"/>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pPr>
        <w:autoSpaceDE w:val="0"/>
        <w:autoSpaceDN w:val="0"/>
        <w:adjustRightInd w:val="0"/>
        <w:snapToGrid w:val="0"/>
        <w:spacing w:before="0" w:line="400" w:lineRule="exact"/>
        <w:ind w:firstLine="420" w:firstLineChars="200"/>
        <w:jc w:val="left"/>
        <w:outlineLvl w:val="9"/>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before="0" w:line="400" w:lineRule="exact"/>
        <w:jc w:val="left"/>
        <w:outlineLvl w:val="9"/>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pPr>
        <w:autoSpaceDE/>
        <w:autoSpaceDN/>
        <w:adjustRightInd w:val="0"/>
        <w:snapToGrid w:val="0"/>
        <w:spacing w:before="0" w:line="400" w:lineRule="exact"/>
        <w:ind w:firstLine="420" w:firstLineChars="200"/>
        <w:jc w:val="left"/>
        <w:outlineLvl w:val="9"/>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pPr>
        <w:keepNext/>
        <w:keepLines/>
        <w:widowControl w:val="0"/>
        <w:spacing w:line="400" w:lineRule="exact"/>
        <w:ind w:firstLine="420" w:firstLineChars="200"/>
        <w:jc w:val="both"/>
        <w:outlineLvl w:val="9"/>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pPr>
        <w:widowControl w:val="0"/>
        <w:spacing w:after="0" w:line="400" w:lineRule="exact"/>
        <w:jc w:val="both"/>
        <w:outlineLvl w:val="9"/>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pPr>
        <w:adjustRightInd w:val="0"/>
        <w:snapToGrid w:val="0"/>
        <w:spacing w:before="0" w:line="400" w:lineRule="exact"/>
        <w:ind w:firstLine="420" w:firstLineChars="200"/>
        <w:jc w:val="left"/>
        <w:outlineLvl w:val="9"/>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pPr>
        <w:adjustRightInd w:val="0"/>
        <w:snapToGrid w:val="0"/>
        <w:spacing w:before="0" w:line="400" w:lineRule="exact"/>
        <w:ind w:firstLine="420" w:firstLineChars="200"/>
        <w:jc w:val="left"/>
        <w:outlineLvl w:val="9"/>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pPr>
        <w:spacing w:line="400" w:lineRule="exact"/>
        <w:ind w:firstLine="420"/>
        <w:outlineLvl w:val="9"/>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规定支付。</w:t>
      </w:r>
    </w:p>
    <w:p>
      <w:pPr>
        <w:autoSpaceDE w:val="0"/>
        <w:autoSpaceDN w:val="0"/>
        <w:adjustRightInd w:val="0"/>
        <w:snapToGrid w:val="0"/>
        <w:spacing w:before="0" w:line="400" w:lineRule="exact"/>
        <w:jc w:val="left"/>
        <w:outlineLvl w:val="9"/>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pPr>
        <w:autoSpaceDE w:val="0"/>
        <w:autoSpaceDN w:val="0"/>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outlineLvl w:val="9"/>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pPr>
        <w:autoSpaceDE w:val="0"/>
        <w:autoSpaceDN w:val="0"/>
        <w:adjustRightInd w:val="0"/>
        <w:spacing w:line="400" w:lineRule="exact"/>
        <w:ind w:firstLine="420" w:firstLineChars="200"/>
        <w:outlineLvl w:val="9"/>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【政府采购合同专用条款】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pPr>
        <w:adjustRightInd w:val="0"/>
        <w:snapToGrid w:val="0"/>
        <w:spacing w:before="0" w:line="400" w:lineRule="exact"/>
        <w:jc w:val="left"/>
        <w:outlineLvl w:val="9"/>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pPr>
        <w:adjustRightInd w:val="0"/>
        <w:snapToGrid w:val="0"/>
        <w:spacing w:before="0" w:line="400" w:lineRule="exact"/>
        <w:ind w:firstLine="420" w:firstLineChars="200"/>
        <w:jc w:val="left"/>
        <w:outlineLvl w:val="9"/>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outlineLvl w:val="9"/>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【政府采购合同专用条款】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outlineLvl w:val="9"/>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pPr>
        <w:autoSpaceDE w:val="0"/>
        <w:autoSpaceDN w:val="0"/>
        <w:adjustRightInd w:val="0"/>
        <w:snapToGrid w:val="0"/>
        <w:spacing w:before="0" w:line="400" w:lineRule="exact"/>
        <w:ind w:firstLine="420" w:firstLineChars="200"/>
        <w:jc w:val="left"/>
        <w:outlineLvl w:val="9"/>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pPr>
        <w:autoSpaceDE w:val="0"/>
        <w:autoSpaceDN w:val="0"/>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规定的逾期付款利息。</w:t>
      </w:r>
    </w:p>
    <w:p>
      <w:pPr>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规定执行。</w:t>
      </w:r>
    </w:p>
    <w:p>
      <w:pPr>
        <w:numPr>
          <w:ilvl w:val="0"/>
          <w:numId w:val="14"/>
        </w:numPr>
        <w:autoSpaceDE w:val="0"/>
        <w:autoSpaceDN w:val="0"/>
        <w:adjustRightInd w:val="0"/>
        <w:snapToGrid w:val="0"/>
        <w:spacing w:before="0" w:line="400" w:lineRule="exact"/>
        <w:jc w:val="left"/>
        <w:outlineLvl w:val="9"/>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pPr>
        <w:autoSpaceDE/>
        <w:autoSpaceDN/>
        <w:adjustRightInd w:val="0"/>
        <w:snapToGrid w:val="0"/>
        <w:spacing w:before="0" w:line="400" w:lineRule="exact"/>
        <w:ind w:firstLine="0" w:firstLineChars="0"/>
        <w:jc w:val="left"/>
        <w:outlineLvl w:val="9"/>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pPr>
        <w:autoSpaceDE w:val="0"/>
        <w:autoSpaceDN w:val="0"/>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lang w:eastAsia="zh-CN"/>
        </w:rPr>
        <w:t>政府采购合同履行中，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pPr>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pPr>
        <w:autoSpaceDE w:val="0"/>
        <w:autoSpaceDN w:val="0"/>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pPr>
        <w:autoSpaceDE w:val="0"/>
        <w:autoSpaceDN w:val="0"/>
        <w:adjustRightInd w:val="0"/>
        <w:snapToGrid w:val="0"/>
        <w:spacing w:before="0" w:line="400" w:lineRule="exact"/>
        <w:ind w:firstLine="420" w:firstLineChars="200"/>
        <w:jc w:val="left"/>
        <w:outlineLvl w:val="9"/>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pPr>
        <w:autoSpaceDE w:val="0"/>
        <w:autoSpaceDN w:val="0"/>
        <w:adjustRightInd w:val="0"/>
        <w:spacing w:line="400" w:lineRule="exact"/>
        <w:ind w:firstLine="420" w:firstLineChars="200"/>
        <w:jc w:val="both"/>
        <w:outlineLvl w:val="9"/>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outlineLvl w:val="9"/>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pPr>
        <w:autoSpaceDE w:val="0"/>
        <w:autoSpaceDN w:val="0"/>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pPr>
        <w:snapToGrid w:val="0"/>
        <w:spacing w:line="400" w:lineRule="exact"/>
        <w:ind w:firstLine="420" w:firstLineChars="200"/>
        <w:outlineLvl w:val="9"/>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pPr>
        <w:autoSpaceDE w:val="0"/>
        <w:autoSpaceDN w:val="0"/>
        <w:adjustRightInd w:val="0"/>
        <w:spacing w:line="400" w:lineRule="exact"/>
        <w:ind w:firstLine="440" w:firstLineChars="200"/>
        <w:outlineLvl w:val="9"/>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pPr>
        <w:autoSpaceDE w:val="0"/>
        <w:autoSpaceDN w:val="0"/>
        <w:adjustRightInd w:val="0"/>
        <w:spacing w:line="400" w:lineRule="exact"/>
        <w:ind w:firstLine="420" w:firstLineChars="200"/>
        <w:jc w:val="both"/>
        <w:outlineLvl w:val="9"/>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政府采购合同继续履行将损害国家利益和社会公共利益的，双方当事人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pPr>
        <w:autoSpaceDE w:val="0"/>
        <w:autoSpaceDN w:val="0"/>
        <w:adjustRightInd w:val="0"/>
        <w:snapToGrid w:val="0"/>
        <w:spacing w:before="0" w:line="400" w:lineRule="exact"/>
        <w:jc w:val="left"/>
        <w:outlineLvl w:val="9"/>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pPr>
        <w:autoSpaceDE w:val="0"/>
        <w:autoSpaceDN w:val="0"/>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pPr>
        <w:autoSpaceDE w:val="0"/>
        <w:autoSpaceDN w:val="0"/>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乙方执行政府采购政策向中小企业依法分包的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pPr>
        <w:autoSpaceDE w:val="0"/>
        <w:autoSpaceDN w:val="0"/>
        <w:adjustRightInd w:val="0"/>
        <w:snapToGrid w:val="0"/>
        <w:spacing w:before="0" w:line="400" w:lineRule="exact"/>
        <w:jc w:val="left"/>
        <w:outlineLvl w:val="9"/>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pPr>
        <w:autoSpaceDE w:val="0"/>
        <w:autoSpaceDN w:val="0"/>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outlineLvl w:val="9"/>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pPr>
        <w:autoSpaceDE w:val="0"/>
        <w:autoSpaceDN w:val="0"/>
        <w:adjustRightInd w:val="0"/>
        <w:spacing w:line="400" w:lineRule="exact"/>
        <w:ind w:firstLine="420" w:firstLineChars="200"/>
        <w:jc w:val="both"/>
        <w:outlineLvl w:val="9"/>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jc w:val="both"/>
        <w:outlineLvl w:val="9"/>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jc w:val="both"/>
        <w:outlineLvl w:val="9"/>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pPr>
        <w:autoSpaceDE w:val="0"/>
        <w:autoSpaceDN w:val="0"/>
        <w:adjustRightInd w:val="0"/>
        <w:snapToGrid w:val="0"/>
        <w:spacing w:before="0" w:line="400" w:lineRule="exact"/>
        <w:jc w:val="left"/>
        <w:outlineLvl w:val="9"/>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政府采购政策</w:t>
      </w:r>
    </w:p>
    <w:p>
      <w:pPr>
        <w:autoSpaceDE w:val="0"/>
        <w:autoSpaceDN w:val="0"/>
        <w:adjustRightInd w:val="0"/>
        <w:snapToGrid w:val="0"/>
        <w:spacing w:before="0" w:line="400" w:lineRule="exact"/>
        <w:ind w:firstLine="420" w:firstLineChars="200"/>
        <w:jc w:val="left"/>
        <w:outlineLvl w:val="9"/>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pPr>
        <w:widowControl w:val="0"/>
        <w:spacing w:after="0" w:line="400" w:lineRule="exact"/>
        <w:ind w:firstLine="420" w:firstLineChars="200"/>
        <w:jc w:val="both"/>
        <w:outlineLvl w:val="9"/>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outlineLvl w:val="9"/>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pPr>
        <w:autoSpaceDE w:val="0"/>
        <w:autoSpaceDN w:val="0"/>
        <w:adjustRightInd w:val="0"/>
        <w:spacing w:line="400" w:lineRule="exact"/>
        <w:ind w:firstLine="420" w:firstLineChars="200"/>
        <w:jc w:val="both"/>
        <w:outlineLvl w:val="9"/>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pPr>
        <w:autoSpaceDE w:val="0"/>
        <w:autoSpaceDN w:val="0"/>
        <w:adjustRightInd w:val="0"/>
        <w:spacing w:line="400" w:lineRule="exact"/>
        <w:ind w:firstLine="420" w:firstLineChars="200"/>
        <w:jc w:val="both"/>
        <w:outlineLvl w:val="9"/>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outlineLvl w:val="9"/>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pPr>
        <w:autoSpaceDE w:val="0"/>
        <w:autoSpaceDN w:val="0"/>
        <w:adjustRightInd w:val="0"/>
        <w:spacing w:line="400" w:lineRule="exact"/>
        <w:ind w:firstLine="420" w:firstLineChars="200"/>
        <w:jc w:val="both"/>
        <w:outlineLvl w:val="9"/>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ind w:firstLine="0" w:firstLineChars="0"/>
        <w:jc w:val="both"/>
        <w:outlineLvl w:val="9"/>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outlineLvl w:val="9"/>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pPr>
        <w:numPr>
          <w:ilvl w:val="0"/>
          <w:numId w:val="15"/>
        </w:numPr>
        <w:adjustRightInd w:val="0"/>
        <w:snapToGrid w:val="0"/>
        <w:spacing w:before="0" w:line="400" w:lineRule="exact"/>
        <w:jc w:val="left"/>
        <w:outlineLvl w:val="9"/>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pPr>
        <w:adjustRightInd w:val="0"/>
        <w:snapToGrid w:val="0"/>
        <w:spacing w:before="0" w:line="400" w:lineRule="exact"/>
        <w:ind w:firstLine="420" w:firstLineChars="200"/>
        <w:jc w:val="left"/>
        <w:outlineLvl w:val="9"/>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【政府采购合同专用条款】</w:t>
      </w:r>
      <w:r>
        <w:rPr>
          <w:rFonts w:hint="eastAsia" w:ascii="宋体" w:hAnsi="宋体" w:eastAsia="宋体"/>
          <w:bCs/>
          <w:color w:val="auto"/>
          <w:szCs w:val="21"/>
          <w:highlight w:val="none"/>
        </w:rPr>
        <w:t>。</w:t>
      </w:r>
    </w:p>
    <w:p>
      <w:pPr>
        <w:adjustRightInd w:val="0"/>
        <w:snapToGrid w:val="0"/>
        <w:spacing w:line="400" w:lineRule="exact"/>
        <w:ind w:firstLine="0" w:firstLineChars="0"/>
        <w:jc w:val="left"/>
        <w:outlineLvl w:val="9"/>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88" w:name="_Toc20313"/>
    </w:p>
    <w:p>
      <w:pPr>
        <w:adjustRightInd w:val="0"/>
        <w:snapToGrid w:val="0"/>
        <w:jc w:val="center"/>
        <w:outlineLvl w:val="9"/>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pPr>
        <w:keepNext/>
        <w:keepLines/>
        <w:widowControl w:val="0"/>
        <w:adjustRightInd w:val="0"/>
        <w:snapToGrid w:val="0"/>
        <w:spacing w:line="360" w:lineRule="auto"/>
        <w:jc w:val="center"/>
        <w:outlineLvl w:val="9"/>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政府采购合同专用条款</w:t>
      </w:r>
      <w:bookmarkEnd w:id="88"/>
    </w:p>
    <w:tbl>
      <w:tblPr>
        <w:tblStyle w:val="4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outlineLvl w:val="9"/>
              <w:rPr>
                <w:rFonts w:ascii="宋体" w:hAnsi="宋体" w:eastAsia="宋体"/>
                <w:szCs w:val="21"/>
              </w:rPr>
            </w:pPr>
            <w:r>
              <w:rPr>
                <w:rFonts w:hint="eastAsia" w:ascii="宋体" w:hAnsi="宋体" w:eastAsia="宋体"/>
                <w:szCs w:val="21"/>
              </w:rPr>
              <w:t>第二节</w:t>
            </w:r>
          </w:p>
          <w:p>
            <w:pPr>
              <w:adjustRightInd w:val="0"/>
              <w:snapToGrid w:val="0"/>
              <w:jc w:val="center"/>
              <w:outlineLvl w:val="9"/>
              <w:rPr>
                <w:rFonts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outlineLvl w:val="9"/>
              <w:rPr>
                <w:rFonts w:ascii="宋体" w:hAnsi="宋体" w:eastAsia="宋体"/>
                <w:szCs w:val="21"/>
              </w:rPr>
            </w:pPr>
            <w:r>
              <w:rPr>
                <w:rFonts w:hint="eastAsia" w:ascii="宋体" w:hAnsi="宋体" w:eastAsia="宋体"/>
                <w:szCs w:val="21"/>
                <w:lang w:eastAsia="zh-CN"/>
              </w:rPr>
              <w:t>联合体具体要求</w:t>
            </w:r>
          </w:p>
        </w:tc>
        <w:tc>
          <w:tcPr>
            <w:tcW w:w="5170" w:type="dxa"/>
            <w:vAlign w:val="center"/>
          </w:tcPr>
          <w:p>
            <w:pPr>
              <w:adjustRightInd w:val="0"/>
              <w:snapToGrid w:val="0"/>
              <w:jc w:val="left"/>
              <w:outlineLvl w:val="9"/>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outlineLvl w:val="9"/>
              <w:rPr>
                <w:rFonts w:ascii="宋体" w:hAnsi="宋体" w:eastAsia="宋体"/>
                <w:szCs w:val="21"/>
              </w:rPr>
            </w:pPr>
            <w:r>
              <w:rPr>
                <w:rFonts w:hint="eastAsia" w:ascii="宋体" w:hAnsi="宋体" w:eastAsia="宋体"/>
                <w:szCs w:val="21"/>
              </w:rPr>
              <w:t>第二节</w:t>
            </w:r>
          </w:p>
          <w:p>
            <w:pPr>
              <w:adjustRightInd w:val="0"/>
              <w:snapToGrid w:val="0"/>
              <w:jc w:val="center"/>
              <w:outlineLvl w:val="9"/>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pPr>
              <w:adjustRightInd w:val="0"/>
              <w:snapToGrid w:val="0"/>
              <w:jc w:val="left"/>
              <w:outlineLvl w:val="9"/>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pPr>
              <w:adjustRightInd w:val="0"/>
              <w:snapToGrid w:val="0"/>
              <w:jc w:val="left"/>
              <w:outlineLvl w:val="9"/>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outlineLvl w:val="9"/>
              <w:rPr>
                <w:rFonts w:ascii="宋体" w:hAnsi="宋体" w:eastAsia="宋体"/>
                <w:szCs w:val="21"/>
              </w:rPr>
            </w:pPr>
            <w:r>
              <w:rPr>
                <w:rFonts w:hint="eastAsia" w:ascii="宋体" w:hAnsi="宋体" w:eastAsia="宋体"/>
                <w:szCs w:val="21"/>
              </w:rPr>
              <w:t>第二节</w:t>
            </w:r>
          </w:p>
          <w:p>
            <w:pPr>
              <w:adjustRightInd w:val="0"/>
              <w:snapToGrid w:val="0"/>
              <w:jc w:val="center"/>
              <w:outlineLvl w:val="9"/>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pPr>
              <w:adjustRightInd w:val="0"/>
              <w:snapToGrid w:val="0"/>
              <w:jc w:val="left"/>
              <w:outlineLvl w:val="9"/>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pPr>
              <w:adjustRightInd w:val="0"/>
              <w:snapToGrid w:val="0"/>
              <w:jc w:val="left"/>
              <w:outlineLvl w:val="9"/>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outlineLvl w:val="9"/>
              <w:rPr>
                <w:rFonts w:ascii="宋体" w:hAnsi="宋体" w:eastAsia="宋体"/>
                <w:szCs w:val="21"/>
              </w:rPr>
            </w:pPr>
            <w:r>
              <w:rPr>
                <w:rFonts w:hint="eastAsia" w:ascii="宋体" w:hAnsi="宋体" w:eastAsia="宋体"/>
                <w:szCs w:val="21"/>
              </w:rPr>
              <w:t>第二节</w:t>
            </w:r>
          </w:p>
          <w:p>
            <w:pPr>
              <w:adjustRightInd w:val="0"/>
              <w:snapToGrid w:val="0"/>
              <w:jc w:val="center"/>
              <w:outlineLvl w:val="9"/>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pPr>
              <w:adjustRightInd w:val="0"/>
              <w:snapToGrid w:val="0"/>
              <w:jc w:val="left"/>
              <w:outlineLvl w:val="9"/>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pPr>
              <w:adjustRightInd w:val="0"/>
              <w:snapToGrid w:val="0"/>
              <w:jc w:val="left"/>
              <w:outlineLvl w:val="9"/>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outlineLvl w:val="9"/>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outlineLvl w:val="9"/>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pPr>
              <w:adjustRightInd w:val="0"/>
              <w:snapToGrid w:val="0"/>
              <w:jc w:val="left"/>
              <w:outlineLvl w:val="9"/>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pPr>
              <w:adjustRightInd w:val="0"/>
              <w:snapToGrid w:val="0"/>
              <w:jc w:val="left"/>
              <w:outlineLvl w:val="9"/>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outlineLvl w:val="9"/>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outlineLvl w:val="9"/>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pPr>
              <w:adjustRightInd w:val="0"/>
              <w:snapToGrid w:val="0"/>
              <w:jc w:val="left"/>
              <w:outlineLvl w:val="9"/>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pPr>
              <w:adjustRightInd w:val="0"/>
              <w:snapToGrid w:val="0"/>
              <w:jc w:val="left"/>
              <w:outlineLvl w:val="9"/>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outlineLvl w:val="9"/>
              <w:rPr>
                <w:rFonts w:ascii="宋体" w:hAnsi="宋体" w:eastAsia="宋体"/>
                <w:szCs w:val="21"/>
              </w:rPr>
            </w:pPr>
            <w:r>
              <w:rPr>
                <w:rFonts w:hint="eastAsia" w:ascii="宋体" w:hAnsi="宋体" w:eastAsia="宋体"/>
                <w:szCs w:val="21"/>
              </w:rPr>
              <w:t>第二节</w:t>
            </w:r>
          </w:p>
          <w:p>
            <w:pPr>
              <w:adjustRightInd w:val="0"/>
              <w:snapToGrid w:val="0"/>
              <w:jc w:val="center"/>
              <w:outlineLvl w:val="9"/>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pPr>
              <w:adjustRightInd w:val="0"/>
              <w:snapToGrid w:val="0"/>
              <w:jc w:val="left"/>
              <w:outlineLvl w:val="9"/>
              <w:rPr>
                <w:rFonts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pPr>
              <w:outlineLvl w:val="9"/>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outlineLvl w:val="9"/>
              <w:rPr>
                <w:rFonts w:hint="eastAsia" w:ascii="宋体" w:hAnsi="宋体" w:eastAsia="宋体"/>
                <w:szCs w:val="21"/>
              </w:rPr>
            </w:pPr>
          </w:p>
        </w:tc>
        <w:tc>
          <w:tcPr>
            <w:tcW w:w="1742" w:type="dxa"/>
            <w:vAlign w:val="center"/>
          </w:tcPr>
          <w:p>
            <w:pPr>
              <w:adjustRightInd w:val="0"/>
              <w:snapToGrid w:val="0"/>
              <w:jc w:val="left"/>
              <w:outlineLvl w:val="9"/>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pPr>
              <w:outlineLvl w:val="9"/>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outlineLvl w:val="9"/>
              <w:rPr>
                <w:rFonts w:ascii="宋体" w:hAnsi="宋体" w:eastAsia="宋体"/>
                <w:szCs w:val="21"/>
              </w:rPr>
            </w:pPr>
            <w:r>
              <w:rPr>
                <w:rFonts w:hint="eastAsia" w:ascii="宋体" w:hAnsi="宋体" w:eastAsia="宋体"/>
                <w:szCs w:val="21"/>
              </w:rPr>
              <w:t>第二节</w:t>
            </w:r>
          </w:p>
          <w:p>
            <w:pPr>
              <w:adjustRightInd w:val="0"/>
              <w:snapToGrid w:val="0"/>
              <w:jc w:val="center"/>
              <w:outlineLvl w:val="9"/>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pPr>
              <w:adjustRightInd w:val="0"/>
              <w:snapToGrid w:val="0"/>
              <w:jc w:val="left"/>
              <w:outlineLvl w:val="9"/>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pPr>
              <w:outlineLvl w:val="9"/>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outlineLvl w:val="9"/>
              <w:rPr>
                <w:rFonts w:ascii="宋体" w:hAnsi="宋体" w:eastAsia="宋体"/>
                <w:szCs w:val="21"/>
              </w:rPr>
            </w:pPr>
            <w:r>
              <w:rPr>
                <w:rFonts w:hint="eastAsia" w:ascii="宋体" w:hAnsi="宋体" w:eastAsia="宋体"/>
                <w:szCs w:val="21"/>
              </w:rPr>
              <w:t>第二节</w:t>
            </w:r>
          </w:p>
          <w:p>
            <w:pPr>
              <w:adjustRightInd w:val="0"/>
              <w:snapToGrid w:val="0"/>
              <w:jc w:val="center"/>
              <w:outlineLvl w:val="9"/>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pPr>
              <w:adjustRightInd w:val="0"/>
              <w:snapToGrid w:val="0"/>
              <w:jc w:val="left"/>
              <w:outlineLvl w:val="9"/>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pPr>
              <w:outlineLvl w:val="9"/>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outlineLvl w:val="9"/>
              <w:rPr>
                <w:rFonts w:ascii="宋体" w:hAnsi="宋体" w:eastAsia="宋体"/>
                <w:szCs w:val="21"/>
              </w:rPr>
            </w:pPr>
            <w:r>
              <w:rPr>
                <w:rFonts w:hint="eastAsia" w:ascii="宋体" w:hAnsi="宋体" w:eastAsia="宋体"/>
                <w:szCs w:val="21"/>
              </w:rPr>
              <w:t>第二节</w:t>
            </w:r>
          </w:p>
          <w:p>
            <w:pPr>
              <w:adjustRightInd w:val="0"/>
              <w:snapToGrid w:val="0"/>
              <w:jc w:val="center"/>
              <w:outlineLvl w:val="9"/>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pPr>
              <w:adjustRightInd w:val="0"/>
              <w:snapToGrid w:val="0"/>
              <w:jc w:val="left"/>
              <w:outlineLvl w:val="9"/>
              <w:rPr>
                <w:rFonts w:ascii="宋体" w:hAnsi="宋体" w:eastAsia="宋体"/>
                <w:szCs w:val="21"/>
              </w:rPr>
            </w:pPr>
            <w:r>
              <w:rPr>
                <w:rFonts w:hint="eastAsia" w:ascii="宋体" w:hAnsi="宋体" w:eastAsia="宋体"/>
                <w:szCs w:val="21"/>
              </w:rPr>
              <w:t>质量保证期</w:t>
            </w:r>
          </w:p>
        </w:tc>
        <w:tc>
          <w:tcPr>
            <w:tcW w:w="5170" w:type="dxa"/>
            <w:vAlign w:val="center"/>
          </w:tcPr>
          <w:p>
            <w:pPr>
              <w:autoSpaceDE w:val="0"/>
              <w:autoSpaceDN w:val="0"/>
              <w:adjustRightInd w:val="0"/>
              <w:snapToGrid w:val="0"/>
              <w:ind w:firstLine="420" w:firstLineChars="200"/>
              <w:jc w:val="left"/>
              <w:outlineLvl w:val="9"/>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outlineLvl w:val="9"/>
              <w:rPr>
                <w:rFonts w:ascii="宋体" w:hAnsi="宋体" w:eastAsia="宋体"/>
                <w:szCs w:val="21"/>
              </w:rPr>
            </w:pPr>
            <w:r>
              <w:rPr>
                <w:rFonts w:hint="eastAsia" w:ascii="宋体" w:hAnsi="宋体" w:eastAsia="宋体"/>
                <w:szCs w:val="21"/>
              </w:rPr>
              <w:t>第二节</w:t>
            </w:r>
          </w:p>
          <w:p>
            <w:pPr>
              <w:adjustRightInd w:val="0"/>
              <w:snapToGrid w:val="0"/>
              <w:jc w:val="center"/>
              <w:outlineLvl w:val="9"/>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pPr>
              <w:adjustRightInd w:val="0"/>
              <w:snapToGrid w:val="0"/>
              <w:jc w:val="left"/>
              <w:outlineLvl w:val="9"/>
              <w:rPr>
                <w:rFonts w:hint="eastAsia" w:ascii="宋体" w:hAnsi="宋体" w:eastAsia="宋体"/>
                <w:szCs w:val="21"/>
                <w:lang w:eastAsia="zh-CN"/>
              </w:rPr>
            </w:pPr>
            <w:r>
              <w:rPr>
                <w:rFonts w:hint="eastAsia" w:ascii="宋体" w:hAnsi="宋体" w:eastAsia="宋体"/>
                <w:szCs w:val="21"/>
                <w:lang w:eastAsia="zh-CN"/>
              </w:rPr>
              <w:t>货物质量缺陷</w:t>
            </w:r>
          </w:p>
          <w:p>
            <w:pPr>
              <w:adjustRightInd w:val="0"/>
              <w:snapToGrid w:val="0"/>
              <w:jc w:val="left"/>
              <w:outlineLvl w:val="9"/>
              <w:rPr>
                <w:rFonts w:ascii="宋体" w:hAnsi="宋体" w:eastAsia="宋体"/>
                <w:szCs w:val="21"/>
              </w:rPr>
            </w:pPr>
            <w:r>
              <w:rPr>
                <w:rFonts w:hint="eastAsia" w:ascii="宋体" w:hAnsi="宋体" w:eastAsia="宋体"/>
                <w:szCs w:val="21"/>
              </w:rPr>
              <w:t>响应时间</w:t>
            </w:r>
          </w:p>
        </w:tc>
        <w:tc>
          <w:tcPr>
            <w:tcW w:w="5170" w:type="dxa"/>
            <w:vAlign w:val="center"/>
          </w:tcPr>
          <w:p>
            <w:pPr>
              <w:adjustRightInd w:val="0"/>
              <w:snapToGrid w:val="0"/>
              <w:jc w:val="left"/>
              <w:outlineLvl w:val="9"/>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pPr>
              <w:autoSpaceDE w:val="0"/>
              <w:autoSpaceDN w:val="0"/>
              <w:adjustRightInd w:val="0"/>
              <w:spacing w:line="400" w:lineRule="exact"/>
              <w:ind w:firstLine="0" w:firstLineChars="0"/>
              <w:jc w:val="center"/>
              <w:outlineLvl w:val="9"/>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pPr>
              <w:adjustRightInd w:val="0"/>
              <w:snapToGrid w:val="0"/>
              <w:jc w:val="both"/>
              <w:outlineLvl w:val="9"/>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pPr>
              <w:adjustRightInd w:val="0"/>
              <w:snapToGrid w:val="0"/>
              <w:jc w:val="left"/>
              <w:outlineLvl w:val="9"/>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outlineLvl w:val="9"/>
              <w:rPr>
                <w:rFonts w:ascii="宋体" w:hAnsi="宋体" w:eastAsia="宋体"/>
                <w:szCs w:val="21"/>
              </w:rPr>
            </w:pPr>
            <w:r>
              <w:rPr>
                <w:rFonts w:hint="eastAsia" w:ascii="宋体" w:hAnsi="宋体" w:eastAsia="宋体"/>
                <w:szCs w:val="21"/>
              </w:rPr>
              <w:t>第二节</w:t>
            </w:r>
          </w:p>
          <w:p>
            <w:pPr>
              <w:adjustRightInd w:val="0"/>
              <w:snapToGrid w:val="0"/>
              <w:jc w:val="center"/>
              <w:outlineLvl w:val="9"/>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pPr>
              <w:adjustRightInd w:val="0"/>
              <w:snapToGrid w:val="0"/>
              <w:jc w:val="left"/>
              <w:outlineLvl w:val="9"/>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pPr>
              <w:adjustRightInd w:val="0"/>
              <w:snapToGrid w:val="0"/>
              <w:jc w:val="left"/>
              <w:outlineLvl w:val="9"/>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outlineLvl w:val="9"/>
              <w:rPr>
                <w:rFonts w:hint="eastAsia" w:ascii="宋体" w:hAnsi="宋体" w:eastAsia="宋体"/>
                <w:szCs w:val="21"/>
              </w:rPr>
            </w:pPr>
            <w:r>
              <w:rPr>
                <w:rFonts w:hint="eastAsia" w:ascii="宋体" w:hAnsi="宋体" w:eastAsia="宋体"/>
                <w:szCs w:val="21"/>
              </w:rPr>
              <w:t>第二节</w:t>
            </w:r>
          </w:p>
          <w:p>
            <w:pPr>
              <w:adjustRightInd w:val="0"/>
              <w:snapToGrid w:val="0"/>
              <w:jc w:val="center"/>
              <w:outlineLvl w:val="9"/>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pPr>
              <w:adjustRightInd w:val="0"/>
              <w:snapToGrid w:val="0"/>
              <w:jc w:val="left"/>
              <w:outlineLvl w:val="9"/>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pPr>
              <w:adjustRightInd w:val="0"/>
              <w:snapToGrid w:val="0"/>
              <w:jc w:val="left"/>
              <w:outlineLvl w:val="9"/>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outlineLvl w:val="9"/>
              <w:rPr>
                <w:rFonts w:hint="eastAsia" w:ascii="宋体" w:hAnsi="宋体" w:eastAsia="宋体"/>
                <w:szCs w:val="21"/>
              </w:rPr>
            </w:pPr>
            <w:r>
              <w:rPr>
                <w:rFonts w:hint="eastAsia" w:ascii="宋体" w:hAnsi="宋体" w:eastAsia="宋体"/>
                <w:szCs w:val="21"/>
              </w:rPr>
              <w:t>第二节</w:t>
            </w:r>
          </w:p>
          <w:p>
            <w:pPr>
              <w:adjustRightInd w:val="0"/>
              <w:snapToGrid w:val="0"/>
              <w:jc w:val="center"/>
              <w:outlineLvl w:val="9"/>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pPr>
              <w:adjustRightInd w:val="0"/>
              <w:snapToGrid w:val="0"/>
              <w:jc w:val="left"/>
              <w:outlineLvl w:val="9"/>
              <w:rPr>
                <w:rFonts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pPr>
              <w:adjustRightInd w:val="0"/>
              <w:snapToGrid w:val="0"/>
              <w:jc w:val="left"/>
              <w:outlineLvl w:val="9"/>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outlineLvl w:val="9"/>
              <w:rPr>
                <w:rFonts w:ascii="宋体" w:hAnsi="宋体" w:eastAsia="宋体"/>
                <w:szCs w:val="21"/>
              </w:rPr>
            </w:pPr>
            <w:r>
              <w:rPr>
                <w:rFonts w:hint="eastAsia" w:ascii="宋体" w:hAnsi="宋体" w:eastAsia="宋体"/>
                <w:szCs w:val="21"/>
              </w:rPr>
              <w:t>第二节</w:t>
            </w:r>
          </w:p>
          <w:p>
            <w:pPr>
              <w:adjustRightInd w:val="0"/>
              <w:snapToGrid w:val="0"/>
              <w:jc w:val="center"/>
              <w:outlineLvl w:val="9"/>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pPr>
              <w:adjustRightInd w:val="0"/>
              <w:snapToGrid w:val="0"/>
              <w:jc w:val="left"/>
              <w:outlineLvl w:val="9"/>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pPr>
              <w:adjustRightInd w:val="0"/>
              <w:snapToGrid w:val="0"/>
              <w:jc w:val="left"/>
              <w:outlineLvl w:val="9"/>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outlineLvl w:val="9"/>
              <w:rPr>
                <w:rFonts w:ascii="宋体" w:hAnsi="宋体" w:eastAsia="宋体"/>
                <w:szCs w:val="21"/>
              </w:rPr>
            </w:pPr>
            <w:r>
              <w:rPr>
                <w:rFonts w:hint="eastAsia" w:ascii="宋体" w:hAnsi="宋体" w:eastAsia="宋体"/>
                <w:szCs w:val="21"/>
              </w:rPr>
              <w:t>第二节</w:t>
            </w:r>
          </w:p>
          <w:p>
            <w:pPr>
              <w:adjustRightInd w:val="0"/>
              <w:snapToGrid w:val="0"/>
              <w:jc w:val="center"/>
              <w:outlineLvl w:val="9"/>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pPr>
              <w:adjustRightInd w:val="0"/>
              <w:snapToGrid w:val="0"/>
              <w:jc w:val="left"/>
              <w:outlineLvl w:val="9"/>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pPr>
              <w:adjustRightInd w:val="0"/>
              <w:snapToGrid w:val="0"/>
              <w:jc w:val="left"/>
              <w:outlineLvl w:val="9"/>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outlineLvl w:val="9"/>
              <w:rPr>
                <w:rFonts w:ascii="宋体" w:hAnsi="宋体" w:eastAsia="宋体"/>
                <w:szCs w:val="21"/>
              </w:rPr>
            </w:pPr>
            <w:r>
              <w:rPr>
                <w:rFonts w:hint="eastAsia" w:ascii="宋体" w:hAnsi="宋体" w:eastAsia="宋体"/>
                <w:szCs w:val="21"/>
              </w:rPr>
              <w:t>第二节</w:t>
            </w:r>
          </w:p>
          <w:p>
            <w:pPr>
              <w:adjustRightInd w:val="0"/>
              <w:snapToGrid w:val="0"/>
              <w:jc w:val="center"/>
              <w:outlineLvl w:val="9"/>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outlineLvl w:val="9"/>
              <w:rPr>
                <w:rFonts w:ascii="宋体" w:hAnsi="宋体" w:eastAsia="宋体"/>
                <w:szCs w:val="21"/>
              </w:rPr>
            </w:pPr>
            <w:r>
              <w:rPr>
                <w:rFonts w:hint="eastAsia" w:ascii="宋体" w:hAnsi="宋体" w:eastAsia="宋体"/>
                <w:szCs w:val="21"/>
              </w:rPr>
              <w:t>乙方提供的其他服务</w:t>
            </w:r>
          </w:p>
        </w:tc>
        <w:tc>
          <w:tcPr>
            <w:tcW w:w="5170" w:type="dxa"/>
            <w:vAlign w:val="center"/>
          </w:tcPr>
          <w:p>
            <w:pPr>
              <w:adjustRightInd w:val="0"/>
              <w:snapToGrid w:val="0"/>
              <w:jc w:val="left"/>
              <w:outlineLvl w:val="9"/>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outlineLvl w:val="9"/>
              <w:rPr>
                <w:rFonts w:ascii="宋体" w:hAnsi="宋体" w:eastAsia="宋体"/>
                <w:szCs w:val="21"/>
              </w:rPr>
            </w:pPr>
            <w:r>
              <w:rPr>
                <w:rFonts w:hint="eastAsia" w:ascii="宋体" w:hAnsi="宋体" w:eastAsia="宋体"/>
                <w:szCs w:val="21"/>
              </w:rPr>
              <w:t>第二节</w:t>
            </w:r>
          </w:p>
          <w:p>
            <w:pPr>
              <w:adjustRightInd w:val="0"/>
              <w:snapToGrid w:val="0"/>
              <w:jc w:val="center"/>
              <w:outlineLvl w:val="9"/>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pPr>
              <w:adjustRightInd w:val="0"/>
              <w:snapToGrid w:val="0"/>
              <w:jc w:val="left"/>
              <w:outlineLvl w:val="9"/>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pPr>
              <w:adjustRightInd w:val="0"/>
              <w:snapToGrid w:val="0"/>
              <w:jc w:val="left"/>
              <w:outlineLvl w:val="9"/>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outlineLvl w:val="9"/>
              <w:rPr>
                <w:rFonts w:ascii="宋体" w:hAnsi="宋体" w:eastAsia="宋体"/>
                <w:szCs w:val="21"/>
              </w:rPr>
            </w:pPr>
            <w:r>
              <w:rPr>
                <w:rFonts w:hint="eastAsia" w:ascii="宋体" w:hAnsi="宋体" w:eastAsia="宋体"/>
                <w:szCs w:val="21"/>
              </w:rPr>
              <w:t>第二节</w:t>
            </w:r>
          </w:p>
          <w:p>
            <w:pPr>
              <w:adjustRightInd w:val="0"/>
              <w:snapToGrid w:val="0"/>
              <w:jc w:val="center"/>
              <w:outlineLvl w:val="9"/>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pPr>
              <w:adjustRightInd w:val="0"/>
              <w:snapToGrid w:val="0"/>
              <w:jc w:val="left"/>
              <w:outlineLvl w:val="9"/>
              <w:rPr>
                <w:rFonts w:ascii="宋体" w:hAnsi="宋体" w:eastAsia="宋体"/>
                <w:szCs w:val="21"/>
              </w:rPr>
            </w:pPr>
            <w:r>
              <w:rPr>
                <w:rFonts w:hint="eastAsia" w:ascii="宋体" w:hAnsi="宋体" w:eastAsia="宋体"/>
                <w:szCs w:val="21"/>
              </w:rPr>
              <w:t>迟延交货赔偿费</w:t>
            </w:r>
          </w:p>
        </w:tc>
        <w:tc>
          <w:tcPr>
            <w:tcW w:w="5170" w:type="dxa"/>
            <w:vAlign w:val="center"/>
          </w:tcPr>
          <w:p>
            <w:pPr>
              <w:adjustRightInd w:val="0"/>
              <w:snapToGrid w:val="0"/>
              <w:jc w:val="left"/>
              <w:outlineLvl w:val="9"/>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outlineLvl w:val="9"/>
              <w:rPr>
                <w:rFonts w:ascii="宋体" w:hAnsi="宋体" w:eastAsia="宋体"/>
                <w:szCs w:val="21"/>
              </w:rPr>
            </w:pPr>
            <w:r>
              <w:rPr>
                <w:rFonts w:hint="eastAsia" w:ascii="宋体" w:hAnsi="宋体" w:eastAsia="宋体"/>
                <w:szCs w:val="21"/>
              </w:rPr>
              <w:t>第二节</w:t>
            </w:r>
          </w:p>
          <w:p>
            <w:pPr>
              <w:adjustRightInd w:val="0"/>
              <w:snapToGrid w:val="0"/>
              <w:jc w:val="center"/>
              <w:outlineLvl w:val="9"/>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pPr>
              <w:adjustRightInd w:val="0"/>
              <w:snapToGrid w:val="0"/>
              <w:jc w:val="left"/>
              <w:outlineLvl w:val="9"/>
              <w:rPr>
                <w:rFonts w:hint="eastAsia" w:ascii="宋体" w:hAnsi="宋体" w:eastAsia="宋体"/>
                <w:szCs w:val="21"/>
              </w:rPr>
            </w:pPr>
            <w:r>
              <w:rPr>
                <w:rFonts w:hint="eastAsia" w:ascii="宋体" w:hAnsi="宋体" w:eastAsia="宋体"/>
                <w:szCs w:val="21"/>
              </w:rPr>
              <w:t>逾期付款利息</w:t>
            </w:r>
          </w:p>
        </w:tc>
        <w:tc>
          <w:tcPr>
            <w:tcW w:w="5170" w:type="dxa"/>
            <w:vAlign w:val="center"/>
          </w:tcPr>
          <w:p>
            <w:pPr>
              <w:adjustRightInd w:val="0"/>
              <w:snapToGrid w:val="0"/>
              <w:jc w:val="left"/>
              <w:outlineLvl w:val="9"/>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outlineLvl w:val="9"/>
              <w:rPr>
                <w:rFonts w:ascii="宋体" w:hAnsi="宋体" w:eastAsia="宋体"/>
                <w:szCs w:val="21"/>
              </w:rPr>
            </w:pPr>
            <w:r>
              <w:rPr>
                <w:rFonts w:hint="eastAsia" w:ascii="宋体" w:hAnsi="宋体" w:eastAsia="宋体"/>
                <w:szCs w:val="21"/>
              </w:rPr>
              <w:t>第二节</w:t>
            </w:r>
          </w:p>
          <w:p>
            <w:pPr>
              <w:adjustRightInd w:val="0"/>
              <w:snapToGrid w:val="0"/>
              <w:jc w:val="center"/>
              <w:outlineLvl w:val="9"/>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outlineLvl w:val="9"/>
              <w:rPr>
                <w:rFonts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outlineLvl w:val="9"/>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outlineLvl w:val="9"/>
              <w:rPr>
                <w:rFonts w:ascii="宋体" w:hAnsi="宋体" w:eastAsia="宋体"/>
                <w:szCs w:val="21"/>
              </w:rPr>
            </w:pPr>
            <w:r>
              <w:rPr>
                <w:rFonts w:hint="eastAsia" w:ascii="宋体" w:hAnsi="宋体" w:eastAsia="宋体"/>
                <w:szCs w:val="21"/>
              </w:rPr>
              <w:t>第二节</w:t>
            </w:r>
          </w:p>
          <w:p>
            <w:pPr>
              <w:adjustRightInd w:val="0"/>
              <w:snapToGrid w:val="0"/>
              <w:jc w:val="center"/>
              <w:outlineLvl w:val="9"/>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outlineLvl w:val="9"/>
              <w:rPr>
                <w:rFonts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outlineLvl w:val="9"/>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pPr>
              <w:autoSpaceDE w:val="0"/>
              <w:autoSpaceDN w:val="0"/>
              <w:adjustRightInd w:val="0"/>
              <w:snapToGrid w:val="0"/>
              <w:spacing w:line="400" w:lineRule="exact"/>
              <w:jc w:val="left"/>
              <w:outlineLvl w:val="9"/>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pPr>
              <w:adjustRightInd w:val="0"/>
              <w:snapToGrid w:val="0"/>
              <w:ind w:firstLine="0" w:firstLineChars="0"/>
              <w:jc w:val="left"/>
              <w:outlineLvl w:val="9"/>
              <w:rPr>
                <w:rFonts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outlineLvl w:val="9"/>
              <w:rPr>
                <w:rFonts w:ascii="宋体" w:hAnsi="宋体" w:eastAsia="宋体"/>
                <w:szCs w:val="21"/>
              </w:rPr>
            </w:pPr>
            <w:r>
              <w:rPr>
                <w:rFonts w:hint="eastAsia" w:ascii="宋体" w:hAnsi="宋体" w:eastAsia="宋体"/>
                <w:szCs w:val="21"/>
              </w:rPr>
              <w:t>第二节</w:t>
            </w:r>
          </w:p>
          <w:p>
            <w:pPr>
              <w:adjustRightInd w:val="0"/>
              <w:snapToGrid w:val="0"/>
              <w:jc w:val="center"/>
              <w:outlineLvl w:val="9"/>
              <w:rPr>
                <w:rFonts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pPr>
              <w:adjustRightInd w:val="0"/>
              <w:snapToGrid w:val="0"/>
              <w:jc w:val="left"/>
              <w:outlineLvl w:val="9"/>
              <w:rPr>
                <w:rFonts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pPr>
              <w:adjustRightInd w:val="0"/>
              <w:snapToGrid w:val="0"/>
              <w:jc w:val="left"/>
              <w:outlineLvl w:val="9"/>
              <w:rPr>
                <w:rFonts w:hint="default" w:ascii="宋体" w:hAnsi="宋体" w:eastAsia="宋体"/>
                <w:szCs w:val="21"/>
                <w:lang w:val="en-US" w:eastAsia="zh-CN"/>
              </w:rPr>
            </w:pPr>
          </w:p>
        </w:tc>
      </w:tr>
    </w:tbl>
    <w:p>
      <w:pPr>
        <w:rPr>
          <w:rFonts w:eastAsia="宋体"/>
        </w:rPr>
      </w:pPr>
    </w:p>
    <w:p>
      <w:pPr>
        <w:rPr>
          <w:rFonts w:eastAsia="宋体"/>
        </w:rPr>
      </w:pPr>
    </w:p>
    <w:p>
      <w:pPr>
        <w:widowControl/>
        <w:jc w:val="left"/>
        <w:rPr>
          <w:rFonts w:ascii="宋体" w:hAnsi="宋体"/>
          <w:szCs w:val="21"/>
        </w:rPr>
      </w:pPr>
      <w:r>
        <w:rPr>
          <w:rFonts w:ascii="宋体" w:hAnsi="宋体"/>
          <w:szCs w:val="21"/>
        </w:rPr>
        <w:br w:type="page"/>
      </w:r>
    </w:p>
    <w:p>
      <w:pPr>
        <w:widowControl/>
        <w:jc w:val="left"/>
        <w:rPr>
          <w:rFonts w:ascii="宋体" w:hAnsi="宋体"/>
          <w:szCs w:val="21"/>
        </w:rPr>
      </w:pPr>
    </w:p>
    <w:p>
      <w:pPr>
        <w:pStyle w:val="4"/>
        <w:spacing w:before="120" w:beforeLines="50" w:after="120" w:afterLines="50"/>
        <w:ind w:left="562"/>
        <w:outlineLvl w:val="0"/>
        <w:rPr>
          <w:sz w:val="28"/>
          <w:szCs w:val="28"/>
        </w:rPr>
      </w:pPr>
      <w:r>
        <w:rPr>
          <w:rFonts w:hint="eastAsia"/>
          <w:sz w:val="28"/>
          <w:szCs w:val="28"/>
        </w:rPr>
        <w:t>第二册  通用条款（公开招标）</w:t>
      </w:r>
    </w:p>
    <w:p>
      <w:pPr>
        <w:pStyle w:val="7"/>
        <w:numPr>
          <w:ilvl w:val="0"/>
          <w:numId w:val="16"/>
        </w:numPr>
        <w:spacing w:before="120" w:beforeLines="50" w:after="120" w:afterLines="50"/>
        <w:ind w:left="562" w:hanging="562"/>
        <w:rPr>
          <w:sz w:val="28"/>
          <w:szCs w:val="28"/>
        </w:rPr>
      </w:pPr>
      <w:bookmarkStart w:id="89" w:name="_Hlk72399513"/>
      <w:r>
        <w:rPr>
          <w:rFonts w:hint="eastAsia"/>
          <w:sz w:val="28"/>
          <w:szCs w:val="28"/>
        </w:rPr>
        <w:t>总则</w:t>
      </w:r>
    </w:p>
    <w:bookmarkEnd w:id="89"/>
    <w:p>
      <w:pPr>
        <w:rPr>
          <w:rFonts w:ascii="黑体" w:hAnsi="宋体" w:eastAsia="黑体"/>
          <w:sz w:val="24"/>
        </w:rPr>
      </w:pPr>
      <w:r>
        <w:rPr>
          <w:rFonts w:hint="eastAsia" w:ascii="黑体" w:hAnsi="宋体" w:eastAsia="黑体"/>
          <w:sz w:val="24"/>
        </w:rPr>
        <w:t>1. 通用条款说明</w:t>
      </w:r>
    </w:p>
    <w:p>
      <w:pPr>
        <w:ind w:firstLine="411" w:firstLineChars="196"/>
        <w:rPr>
          <w:rFonts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90" w:name="_Hlk72399729"/>
      <w:r>
        <w:rPr>
          <w:rFonts w:hint="eastAsia" w:ascii="宋体" w:hAnsi="宋体"/>
          <w:szCs w:val="21"/>
        </w:rPr>
        <w:t>如有需要，政府集中采购机构可以对通用条款的内容进行补充。</w:t>
      </w:r>
      <w:bookmarkEnd w:id="90"/>
    </w:p>
    <w:p>
      <w:pPr>
        <w:ind w:firstLine="411" w:firstLineChars="196"/>
        <w:rPr>
          <w:rFonts w:ascii="宋体" w:hAnsi="宋体"/>
          <w:szCs w:val="21"/>
        </w:rPr>
      </w:pPr>
      <w:r>
        <w:rPr>
          <w:rFonts w:hint="eastAsia" w:ascii="宋体" w:hAnsi="宋体"/>
          <w:szCs w:val="21"/>
        </w:rPr>
        <w:t>1.2招标文件分为第一册“专用条款”和第二册“通用条款”。</w:t>
      </w:r>
    </w:p>
    <w:p>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szCs w:val="21"/>
        </w:rPr>
      </w:pPr>
      <w:r>
        <w:rPr>
          <w:rFonts w:hint="eastAsia" w:ascii="宋体" w:hAnsi="宋体"/>
          <w:szCs w:val="21"/>
        </w:rPr>
        <w:t>1.4“通用条款”是适用于政府采购公开招标项目的基础性条款，具有普遍性和通用性。</w:t>
      </w:r>
    </w:p>
    <w:p>
      <w:pPr>
        <w:ind w:firstLine="411" w:firstLineChars="196"/>
        <w:rPr>
          <w:rFonts w:ascii="宋体" w:hAnsi="宋体"/>
          <w:szCs w:val="21"/>
        </w:rPr>
      </w:pPr>
      <w:r>
        <w:rPr>
          <w:rFonts w:hint="eastAsia" w:ascii="宋体" w:hAnsi="宋体"/>
          <w:szCs w:val="21"/>
        </w:rPr>
        <w:t>1.5 “专用条款”和“通用条款”表述不一致或有冲突时，以“专用条款”为准。</w:t>
      </w:r>
    </w:p>
    <w:p>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pPr>
        <w:ind w:firstLine="411" w:firstLineChars="196"/>
        <w:rPr>
          <w:rFonts w:ascii="宋体" w:hAnsi="宋体"/>
          <w:szCs w:val="21"/>
        </w:rPr>
      </w:pPr>
      <w:r>
        <w:rPr>
          <w:rFonts w:hint="eastAsia" w:ascii="宋体" w:hAnsi="宋体"/>
          <w:szCs w:val="21"/>
        </w:rPr>
        <w:t>本项目按照《深圳经济特区政府采购条例》、《深圳经济特区政府采购条例实施细则》及政府采购其他法律法规，通过公开招标方式确定中标供应商。</w:t>
      </w:r>
    </w:p>
    <w:p>
      <w:pPr>
        <w:rPr>
          <w:rFonts w:ascii="黑体" w:hAnsi="宋体" w:eastAsia="黑体"/>
          <w:sz w:val="24"/>
        </w:rPr>
      </w:pPr>
      <w:r>
        <w:rPr>
          <w:rFonts w:hint="eastAsia" w:ascii="黑体" w:hAnsi="宋体" w:eastAsia="黑体"/>
          <w:sz w:val="24"/>
        </w:rPr>
        <w:t>3．定义</w:t>
      </w:r>
    </w:p>
    <w:p>
      <w:pPr>
        <w:ind w:firstLine="420" w:firstLineChars="200"/>
        <w:rPr>
          <w:rFonts w:ascii="宋体" w:hAnsi="宋体"/>
          <w:szCs w:val="21"/>
        </w:rPr>
      </w:pPr>
      <w:r>
        <w:rPr>
          <w:rFonts w:ascii="宋体" w:hAnsi="宋体"/>
          <w:szCs w:val="21"/>
        </w:rPr>
        <w:t>招标文件中下列术语应解释为：</w:t>
      </w:r>
    </w:p>
    <w:p>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pPr>
        <w:ind w:firstLine="411" w:firstLineChars="196"/>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11" w:firstLineChars="196"/>
        <w:rPr>
          <w:rFonts w:ascii="宋体" w:hAnsi="宋体"/>
          <w:szCs w:val="21"/>
        </w:rPr>
      </w:pPr>
      <w:r>
        <w:rPr>
          <w:rFonts w:hint="eastAsia" w:ascii="宋体" w:hAnsi="宋体"/>
          <w:szCs w:val="21"/>
        </w:rPr>
        <w:t>3.6“合同”指由本次招标所产生的合同或合约文件；</w:t>
      </w:r>
    </w:p>
    <w:p>
      <w:pPr>
        <w:ind w:firstLine="411" w:firstLineChars="196"/>
        <w:rPr>
          <w:rFonts w:ascii="宋体" w:hAnsi="宋体"/>
          <w:szCs w:val="21"/>
        </w:rPr>
      </w:pPr>
      <w:r>
        <w:rPr>
          <w:rFonts w:hint="eastAsia" w:ascii="宋体" w:hAnsi="宋体"/>
          <w:szCs w:val="21"/>
        </w:rPr>
        <w:t>3.7“电子投标文件”指利用</w:t>
      </w:r>
      <w:r>
        <w:rPr>
          <w:rFonts w:hint="eastAsia" w:ascii="宋体" w:hAnsi="宋体"/>
          <w:b/>
          <w:bCs/>
          <w:color w:val="FF0000"/>
          <w:szCs w:val="21"/>
          <w:lang w:eastAsia="zh-CN"/>
        </w:rPr>
        <w:t>深圳公共资源交易中心（深圳交易集团有限公司大鹏分公司）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pPr>
        <w:ind w:firstLine="411" w:firstLineChars="196"/>
        <w:rPr>
          <w:rFonts w:ascii="宋体" w:hAnsi="宋体"/>
          <w:szCs w:val="21"/>
        </w:rPr>
      </w:pPr>
      <w:r>
        <w:rPr>
          <w:rFonts w:hint="eastAsia" w:ascii="宋体" w:hAnsi="宋体"/>
          <w:szCs w:val="21"/>
        </w:rPr>
        <w:t>3.8“网上投标”指通过</w:t>
      </w:r>
      <w:r>
        <w:rPr>
          <w:rFonts w:hint="eastAsia" w:ascii="宋体" w:hAnsi="宋体"/>
          <w:b/>
          <w:bCs/>
          <w:color w:val="FF0000"/>
          <w:szCs w:val="21"/>
          <w:lang w:eastAsia="zh-CN"/>
        </w:rPr>
        <w:t>深圳公共资源交易中心（深圳交易集团有限公司大鹏分公司）</w:t>
      </w:r>
      <w:r>
        <w:rPr>
          <w:rFonts w:hint="eastAsia" w:ascii="宋体" w:hAnsi="宋体"/>
          <w:szCs w:val="21"/>
        </w:rPr>
        <w:t>网站上传电子投标文件；</w:t>
      </w:r>
    </w:p>
    <w:p>
      <w:pPr>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pPr>
        <w:rPr>
          <w:rFonts w:ascii="黑体" w:hAnsi="宋体" w:eastAsia="黑体"/>
          <w:sz w:val="24"/>
        </w:rPr>
      </w:pPr>
      <w:r>
        <w:rPr>
          <w:rFonts w:hint="eastAsia" w:ascii="黑体" w:hAnsi="宋体" w:eastAsia="黑体"/>
          <w:sz w:val="24"/>
        </w:rPr>
        <w:t xml:space="preserve">4. </w:t>
      </w:r>
      <w:bookmarkStart w:id="91" w:name="_Hlk72398643"/>
      <w:r>
        <w:rPr>
          <w:rFonts w:hint="eastAsia" w:ascii="黑体" w:hAnsi="宋体" w:eastAsia="黑体"/>
          <w:sz w:val="24"/>
        </w:rPr>
        <w:t>政府采购供应商责任</w:t>
      </w:r>
    </w:p>
    <w:p>
      <w:pPr>
        <w:ind w:firstLine="411" w:firstLineChars="196"/>
        <w:rPr>
          <w:rFonts w:ascii="宋体" w:hAnsi="宋体"/>
          <w:szCs w:val="21"/>
        </w:rPr>
      </w:pPr>
      <w:r>
        <w:rPr>
          <w:rFonts w:hint="eastAsia" w:ascii="宋体" w:hAnsi="宋体"/>
          <w:szCs w:val="21"/>
        </w:rPr>
        <w:t>4.1欢迎诚信、有实力和有社会责任心的供应商参与政府采购事业。</w:t>
      </w:r>
    </w:p>
    <w:p>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sz w:val="24"/>
        </w:rPr>
      </w:pPr>
      <w:r>
        <w:rPr>
          <w:rFonts w:hint="eastAsia" w:ascii="黑体" w:hAnsi="宋体" w:eastAsia="黑体"/>
          <w:sz w:val="24"/>
        </w:rPr>
        <w:t>5．投标人参加政府采购的条件</w:t>
      </w:r>
    </w:p>
    <w:p>
      <w:pPr>
        <w:ind w:firstLine="411" w:firstLineChars="196"/>
        <w:jc w:val="left"/>
        <w:rPr>
          <w:rFonts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pPr>
        <w:ind w:firstLine="411" w:firstLineChars="196"/>
        <w:rPr>
          <w:rFonts w:ascii="宋体" w:hAnsi="宋体"/>
          <w:szCs w:val="21"/>
        </w:rPr>
      </w:pPr>
      <w:r>
        <w:rPr>
          <w:rFonts w:hint="eastAsia" w:ascii="宋体" w:hAnsi="宋体"/>
          <w:szCs w:val="21"/>
        </w:rPr>
        <w:t>5.2投标人资格要求</w:t>
      </w:r>
    </w:p>
    <w:p>
      <w:pPr>
        <w:ind w:firstLine="411" w:firstLineChars="196"/>
        <w:rPr>
          <w:rFonts w:ascii="宋体" w:hAnsi="宋体"/>
          <w:szCs w:val="21"/>
        </w:rPr>
      </w:pPr>
      <w:r>
        <w:rPr>
          <w:rFonts w:hint="eastAsia" w:ascii="宋体" w:hAnsi="宋体"/>
          <w:szCs w:val="21"/>
        </w:rPr>
        <w:t>参加本项目的投标人应具备的资格条件详见本项目招标公告中“投标人资格要求”（即申请人的资格要求）的内容。</w:t>
      </w:r>
    </w:p>
    <w:p>
      <w:pPr>
        <w:ind w:firstLine="411" w:firstLineChars="196"/>
        <w:rPr>
          <w:rFonts w:ascii="宋体" w:hAnsi="宋体"/>
          <w:szCs w:val="21"/>
        </w:rPr>
      </w:pPr>
      <w:r>
        <w:rPr>
          <w:rFonts w:hint="eastAsia" w:ascii="宋体" w:hAnsi="宋体"/>
          <w:szCs w:val="21"/>
        </w:rPr>
        <w:t>5.3联合体投标</w:t>
      </w:r>
    </w:p>
    <w:p>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pPr>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pPr>
        <w:ind w:firstLine="411" w:firstLineChars="196"/>
        <w:rPr>
          <w:rFonts w:ascii="宋体" w:hAnsi="宋体"/>
        </w:rPr>
      </w:pPr>
      <w:r>
        <w:rPr>
          <w:rFonts w:hint="eastAsia" w:ascii="宋体" w:hAnsi="宋体"/>
        </w:rPr>
        <w:t>（2）在投标截止前，投标联合体各方均应注册成政府集中采购机构供应商；</w:t>
      </w:r>
    </w:p>
    <w:p>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rPr>
      </w:pPr>
      <w:r>
        <w:rPr>
          <w:rFonts w:hint="eastAsia" w:ascii="宋体" w:hAnsi="宋体"/>
        </w:rPr>
        <w:t>（5）投标人的投标文件及中标后签署的合同协议对联合体各方均具法律约束力；</w:t>
      </w:r>
    </w:p>
    <w:p>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11" w:firstLineChars="196"/>
        <w:rPr>
          <w:rFonts w:ascii="宋体" w:hAnsi="宋体"/>
          <w:szCs w:val="21"/>
        </w:rPr>
      </w:pPr>
      <w:r>
        <w:rPr>
          <w:rFonts w:hint="eastAsia" w:ascii="宋体" w:hAnsi="宋体"/>
        </w:rPr>
        <w:t>（9）本通用条款中“投标人”一词亦指联合体各方，专用条款另有规定或说明的除外。</w:t>
      </w:r>
    </w:p>
    <w:p>
      <w:pPr>
        <w:rPr>
          <w:rFonts w:ascii="黑体" w:hAnsi="宋体" w:eastAsia="黑体"/>
          <w:sz w:val="24"/>
        </w:rPr>
      </w:pPr>
      <w:r>
        <w:rPr>
          <w:rFonts w:hint="eastAsia" w:ascii="黑体" w:hAnsi="宋体" w:eastAsia="黑体"/>
          <w:sz w:val="24"/>
        </w:rPr>
        <w:t>6．政策导向</w:t>
      </w:r>
    </w:p>
    <w:p>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pPr>
        <w:ind w:firstLine="405"/>
        <w:rPr>
          <w:rFonts w:hint="default" w:eastAsia="宋体"/>
          <w:lang w:val="en-US" w:eastAsia="zh-CN"/>
        </w:rPr>
      </w:pPr>
      <w:r>
        <w:rPr>
          <w:rFonts w:hint="eastAsia" w:ascii="宋体" w:hAnsi="宋体"/>
          <w:lang w:val="en-US" w:eastAsia="zh-CN"/>
        </w:rPr>
        <w:t>6.3  本项目支持投标人性别平等的相关政策。</w:t>
      </w:r>
    </w:p>
    <w:p>
      <w:pPr>
        <w:rPr>
          <w:rFonts w:ascii="黑体" w:hAnsi="宋体" w:eastAsia="黑体"/>
          <w:sz w:val="24"/>
        </w:rPr>
      </w:pPr>
      <w:r>
        <w:rPr>
          <w:rFonts w:hint="eastAsia" w:ascii="黑体" w:hAnsi="宋体" w:eastAsia="黑体"/>
          <w:sz w:val="24"/>
        </w:rPr>
        <w:t>7. 本项目若涉及采购货物，则合格的货物及相应服务应满足以下要求：</w:t>
      </w:r>
    </w:p>
    <w:p>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92"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92"/>
    </w:p>
    <w:p>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pPr>
        <w:rPr>
          <w:rFonts w:ascii="黑体" w:hAnsi="宋体" w:eastAsia="黑体"/>
          <w:sz w:val="24"/>
        </w:rPr>
      </w:pPr>
      <w:r>
        <w:rPr>
          <w:rFonts w:hint="eastAsia" w:ascii="黑体" w:hAnsi="宋体" w:eastAsia="黑体"/>
          <w:sz w:val="24"/>
        </w:rPr>
        <w:t>8．投标费用</w:t>
      </w:r>
    </w:p>
    <w:p>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pPr>
        <w:rPr>
          <w:rFonts w:ascii="黑体" w:hAnsi="宋体" w:eastAsia="黑体"/>
          <w:sz w:val="24"/>
        </w:rPr>
      </w:pPr>
      <w:r>
        <w:rPr>
          <w:rFonts w:hint="eastAsia" w:ascii="黑体" w:hAnsi="宋体" w:eastAsia="黑体"/>
          <w:sz w:val="24"/>
        </w:rPr>
        <w:t>9．踏勘现场</w:t>
      </w:r>
    </w:p>
    <w:p>
      <w:pPr>
        <w:ind w:firstLine="411" w:firstLineChars="196"/>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rPr>
      </w:pPr>
      <w:r>
        <w:rPr>
          <w:rFonts w:hint="eastAsia" w:ascii="宋体" w:hAnsi="宋体"/>
        </w:rPr>
        <w:t>9.3采购人应当通过政府集中采购机构向投标人提供有关现场的书面资料和数据。</w:t>
      </w:r>
    </w:p>
    <w:p>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91"/>
    <w:p>
      <w:pPr>
        <w:ind w:firstLine="411" w:firstLineChars="196"/>
        <w:rPr>
          <w:rFonts w:ascii="宋体" w:hAnsi="宋体"/>
        </w:rPr>
      </w:pPr>
    </w:p>
    <w:p>
      <w:pPr>
        <w:pStyle w:val="7"/>
        <w:numPr>
          <w:ilvl w:val="0"/>
          <w:numId w:val="16"/>
        </w:numPr>
        <w:spacing w:before="120" w:beforeLines="50" w:after="120" w:afterLines="50"/>
        <w:ind w:left="562" w:hanging="562"/>
        <w:rPr>
          <w:sz w:val="28"/>
          <w:szCs w:val="28"/>
        </w:rPr>
      </w:pPr>
      <w:r>
        <w:rPr>
          <w:rFonts w:hint="eastAsia"/>
          <w:sz w:val="28"/>
          <w:szCs w:val="28"/>
        </w:rPr>
        <w:t>招标文件</w:t>
      </w:r>
    </w:p>
    <w:p>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93" w:name="_Hlk72399819"/>
      <w:r>
        <w:rPr>
          <w:rFonts w:hint="eastAsia" w:ascii="黑体" w:hAnsi="宋体" w:eastAsia="黑体"/>
          <w:sz w:val="24"/>
        </w:rPr>
        <w:t>招标文件的编制与组成</w:t>
      </w:r>
    </w:p>
    <w:p>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szCs w:val="21"/>
        </w:rPr>
      </w:pPr>
      <w:r>
        <w:rPr>
          <w:rFonts w:hint="eastAsia" w:ascii="宋体" w:hAnsi="宋体"/>
          <w:szCs w:val="21"/>
        </w:rPr>
        <w:t>招标文件包括下列内容：</w:t>
      </w:r>
    </w:p>
    <w:p>
      <w:pPr>
        <w:ind w:left="420" w:leftChars="200" w:firstLine="413" w:firstLineChars="196"/>
        <w:rPr>
          <w:rFonts w:ascii="宋体" w:hAnsi="宋体"/>
          <w:b/>
          <w:szCs w:val="21"/>
        </w:rPr>
      </w:pPr>
      <w:r>
        <w:rPr>
          <w:rFonts w:hint="eastAsia" w:ascii="宋体" w:hAnsi="宋体"/>
          <w:b/>
          <w:szCs w:val="21"/>
        </w:rPr>
        <w:t>第一册  专用条款</w:t>
      </w:r>
    </w:p>
    <w:p>
      <w:pPr>
        <w:ind w:left="1079" w:leftChars="514"/>
        <w:rPr>
          <w:rFonts w:ascii="宋体" w:hAnsi="宋体"/>
          <w:b/>
          <w:szCs w:val="21"/>
        </w:rPr>
      </w:pPr>
      <w:r>
        <w:rPr>
          <w:rFonts w:hint="eastAsia" w:ascii="宋体" w:hAnsi="宋体"/>
          <w:b/>
          <w:szCs w:val="21"/>
        </w:rPr>
        <w:t>关键信息</w:t>
      </w:r>
    </w:p>
    <w:p>
      <w:pPr>
        <w:ind w:left="630" w:leftChars="300" w:firstLine="411" w:firstLineChars="196"/>
        <w:rPr>
          <w:rFonts w:ascii="宋体" w:hAnsi="宋体"/>
          <w:szCs w:val="21"/>
        </w:rPr>
      </w:pPr>
      <w:r>
        <w:rPr>
          <w:rFonts w:hint="eastAsia" w:ascii="宋体" w:hAnsi="宋体"/>
          <w:szCs w:val="21"/>
        </w:rPr>
        <w:t>第一章  招标公告</w:t>
      </w:r>
    </w:p>
    <w:p>
      <w:pPr>
        <w:ind w:left="630" w:leftChars="300" w:firstLine="411" w:firstLineChars="196"/>
        <w:rPr>
          <w:rFonts w:ascii="宋体" w:hAnsi="宋体"/>
          <w:szCs w:val="21"/>
        </w:rPr>
      </w:pPr>
      <w:r>
        <w:rPr>
          <w:rFonts w:hint="eastAsia" w:ascii="宋体" w:hAnsi="宋体"/>
          <w:szCs w:val="21"/>
        </w:rPr>
        <w:t>第二章  对通用条款的补充内容及其他关键信息</w:t>
      </w:r>
    </w:p>
    <w:p>
      <w:pPr>
        <w:ind w:left="630" w:leftChars="300" w:firstLine="411" w:firstLineChars="196"/>
        <w:rPr>
          <w:rFonts w:ascii="宋体" w:hAnsi="宋体"/>
          <w:szCs w:val="21"/>
        </w:rPr>
      </w:pPr>
      <w:r>
        <w:rPr>
          <w:rFonts w:hint="eastAsia" w:ascii="宋体" w:hAnsi="宋体"/>
          <w:szCs w:val="21"/>
        </w:rPr>
        <w:t>第三章  用户需求书</w:t>
      </w:r>
    </w:p>
    <w:p>
      <w:pPr>
        <w:ind w:left="630" w:leftChars="300" w:firstLine="411" w:firstLineChars="196"/>
        <w:rPr>
          <w:rFonts w:ascii="宋体" w:hAnsi="宋体"/>
          <w:szCs w:val="21"/>
        </w:rPr>
      </w:pPr>
      <w:r>
        <w:rPr>
          <w:rFonts w:hint="eastAsia"/>
        </w:rPr>
        <w:t xml:space="preserve">第四章 </w:t>
      </w:r>
      <w:r>
        <w:t xml:space="preserve"> </w:t>
      </w:r>
      <w:r>
        <w:rPr>
          <w:rFonts w:hint="eastAsia"/>
        </w:rPr>
        <w:t>投标文件格式及附件</w:t>
      </w:r>
    </w:p>
    <w:p>
      <w:pPr>
        <w:ind w:left="630" w:leftChars="300" w:firstLine="411" w:firstLineChars="196"/>
        <w:rPr>
          <w:rFonts w:ascii="宋体" w:hAnsi="宋体"/>
          <w:szCs w:val="21"/>
        </w:rPr>
      </w:pPr>
      <w:r>
        <w:rPr>
          <w:rFonts w:hint="eastAsia" w:ascii="宋体" w:hAnsi="宋体"/>
          <w:szCs w:val="21"/>
        </w:rPr>
        <w:t>第五章  合同条款及格式</w:t>
      </w:r>
    </w:p>
    <w:p>
      <w:pPr>
        <w:ind w:left="420" w:leftChars="200" w:firstLine="413" w:firstLineChars="196"/>
        <w:rPr>
          <w:rFonts w:ascii="宋体" w:hAnsi="宋体"/>
          <w:b/>
          <w:szCs w:val="21"/>
        </w:rPr>
      </w:pPr>
      <w:r>
        <w:rPr>
          <w:rFonts w:hint="eastAsia" w:ascii="宋体" w:hAnsi="宋体"/>
          <w:b/>
          <w:szCs w:val="21"/>
        </w:rPr>
        <w:t>第二册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left="630" w:leftChars="300" w:firstLine="411" w:firstLineChars="196"/>
        <w:rPr>
          <w:rFonts w:ascii="宋体" w:hAnsi="宋体"/>
          <w:szCs w:val="21"/>
        </w:rPr>
      </w:pPr>
      <w:r>
        <w:rPr>
          <w:rFonts w:hint="eastAsia" w:ascii="宋体" w:hAnsi="宋体"/>
          <w:szCs w:val="21"/>
        </w:rPr>
        <w:t>第十一章  质疑处理</w:t>
      </w:r>
    </w:p>
    <w:p>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pStyle w:val="2"/>
        <w:ind w:firstLine="420" w:firstLineChars="200"/>
        <w:rPr>
          <w:rFonts w:hint="default" w:ascii="宋体" w:hAnsi="宋体" w:eastAsia="宋体" w:cs="Times New Roman"/>
          <w:b w:val="0"/>
          <w:bCs w:val="0"/>
          <w:kern w:val="2"/>
          <w:sz w:val="21"/>
          <w:szCs w:val="24"/>
          <w:lang w:val="en-US" w:eastAsia="zh-CN" w:bidi="ar-SA"/>
        </w:rPr>
      </w:pPr>
      <w:r>
        <w:rPr>
          <w:rFonts w:hint="eastAsia" w:ascii="宋体" w:hAnsi="宋体" w:eastAsia="宋体" w:cs="Times New Roman"/>
          <w:b w:val="0"/>
          <w:bCs w:val="0"/>
          <w:kern w:val="2"/>
          <w:sz w:val="21"/>
          <w:szCs w:val="24"/>
          <w:lang w:val="en-US" w:eastAsia="zh-CN" w:bidi="ar-SA"/>
        </w:rPr>
        <w:t>11.4</w:t>
      </w:r>
      <w:r>
        <w:rPr>
          <w:rFonts w:hint="eastAsia" w:ascii="宋体" w:hAnsi="宋体" w:cs="Times New Roman"/>
          <w:b w:val="0"/>
          <w:bCs w:val="0"/>
          <w:kern w:val="2"/>
          <w:sz w:val="21"/>
          <w:szCs w:val="24"/>
          <w:lang w:val="en-US" w:eastAsia="zh-CN" w:bidi="ar-SA"/>
        </w:rPr>
        <w:t>招标文件所称“原件</w:t>
      </w:r>
      <w:r>
        <w:rPr>
          <w:rFonts w:hint="eastAsia" w:ascii="宋体" w:hAnsi="宋体" w:eastAsia="宋体" w:cs="Times New Roman"/>
          <w:b w:val="0"/>
          <w:bCs w:val="0"/>
          <w:kern w:val="2"/>
          <w:sz w:val="21"/>
          <w:szCs w:val="24"/>
          <w:lang w:val="en-US" w:eastAsia="zh-CN" w:bidi="ar-SA"/>
        </w:rPr>
        <w:t>备查</w:t>
      </w:r>
      <w:r>
        <w:rPr>
          <w:rFonts w:hint="eastAsia" w:ascii="宋体" w:hAnsi="宋体" w:cs="Times New Roman"/>
          <w:b w:val="0"/>
          <w:bCs w:val="0"/>
          <w:kern w:val="2"/>
          <w:sz w:val="21"/>
          <w:szCs w:val="24"/>
          <w:lang w:val="en-US" w:eastAsia="zh-CN" w:bidi="ar-SA"/>
        </w:rPr>
        <w:t>”，</w:t>
      </w:r>
      <w:r>
        <w:rPr>
          <w:rFonts w:hint="eastAsia" w:ascii="宋体" w:hAnsi="宋体" w:eastAsia="宋体" w:cs="Times New Roman"/>
          <w:b w:val="0"/>
          <w:bCs w:val="0"/>
          <w:kern w:val="2"/>
          <w:sz w:val="21"/>
          <w:szCs w:val="24"/>
          <w:lang w:val="en-US" w:eastAsia="zh-CN" w:bidi="ar-SA"/>
        </w:rPr>
        <w:t>是指在项目产生质疑、投诉等阶段，主管部门、采购人、代理机构、评审委员会等可以要求供应商提供原件进行核查。</w:t>
      </w:r>
    </w:p>
    <w:p>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93"/>
    </w:p>
    <w:p>
      <w:pPr>
        <w:rPr>
          <w:rFonts w:ascii="宋体" w:hAnsi="宋体"/>
          <w:szCs w:val="21"/>
        </w:rPr>
      </w:pPr>
    </w:p>
    <w:p>
      <w:pPr>
        <w:pStyle w:val="7"/>
        <w:numPr>
          <w:ilvl w:val="0"/>
          <w:numId w:val="16"/>
        </w:numPr>
        <w:spacing w:before="120" w:beforeLines="50" w:after="120" w:afterLines="50"/>
        <w:ind w:left="562" w:hanging="562"/>
        <w:rPr>
          <w:sz w:val="28"/>
          <w:szCs w:val="28"/>
        </w:rPr>
      </w:pPr>
      <w:r>
        <w:rPr>
          <w:rFonts w:hint="eastAsia"/>
          <w:sz w:val="28"/>
          <w:szCs w:val="28"/>
        </w:rPr>
        <w:t>投标文件的编制</w:t>
      </w:r>
    </w:p>
    <w:p>
      <w:pPr>
        <w:rPr>
          <w:rFonts w:ascii="黑体" w:hAnsi="宋体" w:eastAsia="黑体"/>
          <w:sz w:val="24"/>
        </w:rPr>
      </w:pPr>
      <w:r>
        <w:rPr>
          <w:rFonts w:hint="eastAsia" w:ascii="黑体" w:hAnsi="宋体" w:eastAsia="黑体"/>
          <w:sz w:val="24"/>
        </w:rPr>
        <w:t>14．</w:t>
      </w:r>
      <w:bookmarkStart w:id="94" w:name="_Hlk72400236"/>
      <w:r>
        <w:rPr>
          <w:rFonts w:hint="eastAsia" w:ascii="黑体" w:hAnsi="宋体" w:eastAsia="黑体"/>
          <w:sz w:val="24"/>
        </w:rPr>
        <w:t>投标文件的语言及度量单位</w:t>
      </w:r>
    </w:p>
    <w:p>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94"/>
    <w:p>
      <w:pPr>
        <w:rPr>
          <w:rFonts w:ascii="黑体" w:hAnsi="宋体" w:eastAsia="黑体"/>
          <w:sz w:val="24"/>
        </w:rPr>
      </w:pPr>
      <w:r>
        <w:rPr>
          <w:rFonts w:hint="eastAsia" w:ascii="黑体" w:hAnsi="宋体" w:eastAsia="黑体"/>
          <w:sz w:val="24"/>
        </w:rPr>
        <w:t>15．</w:t>
      </w:r>
      <w:bookmarkStart w:id="95" w:name="_Hlk72401567"/>
      <w:r>
        <w:rPr>
          <w:rFonts w:hint="eastAsia" w:ascii="黑体" w:hAnsi="宋体" w:eastAsia="黑体"/>
          <w:sz w:val="24"/>
        </w:rPr>
        <w:t>投标文件的组成</w:t>
      </w:r>
    </w:p>
    <w:p>
      <w:pPr>
        <w:ind w:firstLine="411" w:firstLineChars="196"/>
        <w:rPr>
          <w:rFonts w:ascii="宋体" w:hAnsi="宋体"/>
          <w:szCs w:val="21"/>
        </w:rPr>
      </w:pPr>
      <w:r>
        <w:rPr>
          <w:rFonts w:hint="eastAsia" w:ascii="宋体" w:hAnsi="宋体"/>
          <w:szCs w:val="21"/>
        </w:rPr>
        <w:t>具体内容在招标文件专用条款中进行规定。</w:t>
      </w:r>
    </w:p>
    <w:p>
      <w:pPr>
        <w:rPr>
          <w:rFonts w:ascii="黑体" w:hAnsi="宋体" w:eastAsia="黑体"/>
          <w:sz w:val="24"/>
        </w:rPr>
      </w:pPr>
      <w:r>
        <w:rPr>
          <w:rFonts w:ascii="黑体" w:hAnsi="宋体" w:eastAsia="黑体"/>
          <w:sz w:val="24"/>
        </w:rPr>
        <w:t>16．投标文件格式</w:t>
      </w:r>
    </w:p>
    <w:p>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pPr>
        <w:rPr>
          <w:rFonts w:ascii="黑体" w:hAnsi="宋体" w:eastAsia="黑体"/>
          <w:sz w:val="24"/>
        </w:rPr>
      </w:pPr>
      <w:r>
        <w:rPr>
          <w:rFonts w:hint="eastAsia" w:ascii="黑体" w:hAnsi="宋体" w:eastAsia="黑体"/>
          <w:sz w:val="24"/>
        </w:rPr>
        <w:t>17．投标货币</w:t>
      </w:r>
    </w:p>
    <w:p>
      <w:pPr>
        <w:ind w:firstLine="411" w:firstLineChars="196"/>
        <w:rPr>
          <w:rFonts w:ascii="宋体" w:hAnsi="宋体"/>
          <w:szCs w:val="21"/>
        </w:rPr>
      </w:pPr>
      <w:r>
        <w:rPr>
          <w:rFonts w:hint="eastAsia" w:ascii="宋体" w:hAnsi="宋体"/>
          <w:szCs w:val="21"/>
        </w:rPr>
        <w:t>本项目的投标报价应以人民币计。</w:t>
      </w:r>
    </w:p>
    <w:bookmarkEnd w:id="95"/>
    <w:p>
      <w:pPr>
        <w:rPr>
          <w:rFonts w:ascii="黑体" w:hAnsi="宋体" w:eastAsia="黑体"/>
          <w:sz w:val="24"/>
        </w:rPr>
      </w:pPr>
      <w:r>
        <w:rPr>
          <w:rFonts w:hint="eastAsia" w:ascii="黑体" w:hAnsi="宋体" w:eastAsia="黑体"/>
          <w:sz w:val="24"/>
        </w:rPr>
        <w:t>18．</w:t>
      </w:r>
      <w:bookmarkStart w:id="96" w:name="_Hlk72401735"/>
      <w:r>
        <w:rPr>
          <w:rFonts w:hint="eastAsia" w:ascii="黑体" w:hAnsi="宋体" w:eastAsia="黑体"/>
          <w:sz w:val="24"/>
        </w:rPr>
        <w:t>证明投标文件投标技术方案的合格性和符合招标文件规定的文件要求</w:t>
      </w:r>
    </w:p>
    <w:p>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szCs w:val="21"/>
        </w:rPr>
      </w:pPr>
      <w:r>
        <w:rPr>
          <w:rFonts w:hint="eastAsia" w:ascii="宋体" w:hAnsi="宋体"/>
          <w:szCs w:val="21"/>
        </w:rPr>
        <w:t>18.2.1主要技术指标和性能的详细说明。</w:t>
      </w:r>
    </w:p>
    <w:p>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96"/>
    <w:p>
      <w:pPr>
        <w:rPr>
          <w:rFonts w:ascii="黑体" w:hAnsi="宋体" w:eastAsia="黑体"/>
          <w:sz w:val="24"/>
        </w:rPr>
      </w:pPr>
      <w:r>
        <w:rPr>
          <w:rFonts w:hint="eastAsia" w:ascii="黑体" w:hAnsi="宋体" w:eastAsia="黑体"/>
          <w:sz w:val="24"/>
        </w:rPr>
        <w:t>19．</w:t>
      </w:r>
      <w:bookmarkStart w:id="97" w:name="_Hlk72402034"/>
      <w:r>
        <w:rPr>
          <w:rFonts w:hint="eastAsia" w:ascii="黑体" w:hAnsi="宋体" w:eastAsia="黑体"/>
          <w:sz w:val="24"/>
        </w:rPr>
        <w:t>投标文件其他证明文件的要求</w:t>
      </w:r>
    </w:p>
    <w:p>
      <w:pPr>
        <w:rPr>
          <w:rFonts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8" w:name="_Hlk71407299"/>
      <w:r>
        <w:rPr>
          <w:rFonts w:hint="eastAsia" w:ascii="宋体" w:hAnsi="宋体"/>
          <w:szCs w:val="21"/>
        </w:rPr>
        <w:t>若投标人未按要求提供证明材料或提供的是部分证明材料或提供不清晰的扫描件（或照片）的，采购人</w:t>
      </w:r>
      <w:r>
        <w:rPr>
          <w:rFonts w:hint="eastAsia" w:ascii="宋体" w:hAnsi="宋体"/>
          <w:szCs w:val="21"/>
          <w:lang w:eastAsia="zh-CN"/>
        </w:rPr>
        <w:t>、</w:t>
      </w:r>
      <w:r>
        <w:rPr>
          <w:rFonts w:hint="eastAsia" w:ascii="宋体" w:hAnsi="宋体"/>
          <w:szCs w:val="21"/>
        </w:rPr>
        <w:t>代理机构</w:t>
      </w:r>
      <w:r>
        <w:rPr>
          <w:rFonts w:hint="eastAsia" w:ascii="宋体" w:hAnsi="宋体"/>
          <w:szCs w:val="21"/>
          <w:lang w:val="en-US" w:eastAsia="zh-CN"/>
        </w:rPr>
        <w:t>及</w:t>
      </w:r>
      <w:r>
        <w:rPr>
          <w:rFonts w:hint="eastAsia" w:ascii="宋体" w:hAnsi="宋体"/>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8"/>
    <w:p>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sz w:val="24"/>
        </w:rPr>
      </w:pPr>
      <w:r>
        <w:rPr>
          <w:rFonts w:hint="eastAsia" w:ascii="黑体" w:hAnsi="宋体" w:eastAsia="黑体"/>
          <w:sz w:val="24"/>
        </w:rPr>
        <w:t>20．投标有效期</w:t>
      </w:r>
    </w:p>
    <w:bookmarkEnd w:id="97"/>
    <w:p>
      <w:pPr>
        <w:ind w:firstLine="411" w:firstLineChars="196"/>
        <w:rPr>
          <w:rFonts w:ascii="宋体" w:hAnsi="宋体"/>
          <w:szCs w:val="21"/>
        </w:rPr>
      </w:pPr>
      <w:bookmarkStart w:id="99"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99"/>
    <w:p>
      <w:pPr>
        <w:rPr>
          <w:rFonts w:ascii="黑体" w:hAnsi="宋体" w:eastAsia="黑体"/>
          <w:sz w:val="24"/>
        </w:rPr>
      </w:pPr>
      <w:r>
        <w:rPr>
          <w:rFonts w:hint="eastAsia" w:ascii="黑体" w:hAnsi="宋体" w:eastAsia="黑体"/>
          <w:sz w:val="24"/>
        </w:rPr>
        <w:t>21．</w:t>
      </w:r>
      <w:bookmarkStart w:id="100" w:name="_Hlk72402325"/>
      <w:r>
        <w:rPr>
          <w:rFonts w:hint="eastAsia" w:ascii="黑体" w:hAnsi="宋体" w:eastAsia="黑体"/>
          <w:sz w:val="24"/>
        </w:rPr>
        <w:t xml:space="preserve">关于投标保证金 </w:t>
      </w:r>
    </w:p>
    <w:p>
      <w:pPr>
        <w:rPr>
          <w:rFonts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pPr>
        <w:rPr>
          <w:rFonts w:ascii="黑体" w:hAnsi="宋体" w:eastAsia="黑体"/>
          <w:sz w:val="24"/>
        </w:rPr>
      </w:pPr>
      <w:r>
        <w:rPr>
          <w:rFonts w:hint="eastAsia" w:ascii="黑体" w:hAnsi="宋体" w:eastAsia="黑体"/>
          <w:sz w:val="24"/>
        </w:rPr>
        <w:t>22．投标人的替代方案</w:t>
      </w:r>
    </w:p>
    <w:p>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100"/>
    <w:p>
      <w:pPr>
        <w:rPr>
          <w:rFonts w:ascii="黑体" w:hAnsi="宋体" w:eastAsia="黑体"/>
          <w:sz w:val="24"/>
        </w:rPr>
      </w:pPr>
      <w:r>
        <w:rPr>
          <w:rFonts w:hint="eastAsia" w:ascii="黑体" w:hAnsi="宋体" w:eastAsia="黑体"/>
          <w:sz w:val="24"/>
        </w:rPr>
        <w:t>23．</w:t>
      </w:r>
      <w:bookmarkStart w:id="101"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pPr>
        <w:ind w:firstLine="411" w:firstLineChars="196"/>
        <w:rPr>
          <w:rFonts w:ascii="宋体" w:hAnsi="宋体"/>
        </w:rPr>
      </w:pPr>
      <w:r>
        <w:rPr>
          <w:rFonts w:hint="eastAsia" w:ascii="宋体" w:hAnsi="宋体"/>
        </w:rPr>
        <w:t>23.1投标人应准备所投项目的电子投标文件一份。此电子投标文件须由投标人根据政府集中采购机构提供的后缀名为.</w:t>
      </w:r>
      <w:r>
        <w:t xml:space="preserve"> </w:t>
      </w:r>
      <w:r>
        <w:rPr>
          <w:rFonts w:ascii="宋体" w:hAnsi="宋体"/>
        </w:rPr>
        <w:t>szczf</w:t>
      </w:r>
      <w:r>
        <w:rPr>
          <w:rFonts w:hint="eastAsia" w:ascii="宋体" w:hAnsi="宋体"/>
        </w:rPr>
        <w:t>的电子招标文件，下载并使用相应的深圳智慧采购平台投标文件制作专用软件打开招标文件（.szczf格式）【下载地址：</w:t>
      </w:r>
      <w:r>
        <w:rPr>
          <w:rFonts w:ascii="宋体" w:hAnsi="宋体"/>
        </w:rPr>
        <w:t>http://zfcg.szggzy.com:8081/cgxy/013002/list.html</w:t>
      </w:r>
      <w:r>
        <w:rPr>
          <w:rFonts w:hint="eastAsia" w:ascii="宋体" w:hAnsi="宋体"/>
        </w:rPr>
        <w:t>】。</w:t>
      </w:r>
    </w:p>
    <w:p>
      <w:pPr>
        <w:ind w:firstLine="411" w:firstLineChars="196"/>
        <w:rPr>
          <w:rFonts w:ascii="宋体" w:hAnsi="宋体"/>
        </w:rPr>
      </w:pPr>
      <w:r>
        <w:rPr>
          <w:rFonts w:hint="eastAsia" w:ascii="宋体" w:hAnsi="宋体"/>
        </w:rPr>
        <w:t>23.2投标人在使用《投标书编制软件》编制投标书时须注意：</w:t>
      </w:r>
    </w:p>
    <w:p>
      <w:pPr>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pPr>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pPr>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rPr>
      </w:pPr>
      <w:r>
        <w:rPr>
          <w:rFonts w:hint="eastAsia" w:ascii="宋体" w:hAnsi="宋体"/>
        </w:rPr>
        <w:t>23.2.5完整填写“投标关键信息”，如下图所示：</w:t>
      </w:r>
    </w:p>
    <w:p>
      <w:pPr>
        <w:rPr>
          <w:rFonts w:ascii="宋体" w:hAnsi="宋体"/>
        </w:rPr>
      </w:pPr>
      <w:r>
        <w:rPr>
          <w:rFonts w:ascii="宋体" w:hAnsi="宋体"/>
        </w:rPr>
        <w:drawing>
          <wp:inline distT="0" distB="0" distL="0" distR="0">
            <wp:extent cx="5278755" cy="2721610"/>
            <wp:effectExtent l="0" t="0" r="0" b="0"/>
            <wp:docPr id="3" name="图片 3"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形用户界面, 应用程序&#10;&#10;描述已自动生成"/>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8755" cy="2721610"/>
                    </a:xfrm>
                    <a:prstGeom prst="rect">
                      <a:avLst/>
                    </a:prstGeom>
                    <a:noFill/>
                    <a:ln>
                      <a:noFill/>
                    </a:ln>
                  </pic:spPr>
                </pic:pic>
              </a:graphicData>
            </a:graphic>
          </wp:inline>
        </w:drawing>
      </w:r>
    </w:p>
    <w:p>
      <w:pPr>
        <w:widowControl/>
        <w:jc w:val="left"/>
        <w:rPr>
          <w:rFonts w:ascii="宋体" w:hAnsi="宋体" w:cs="宋体"/>
          <w:kern w:val="0"/>
          <w:sz w:val="24"/>
        </w:rPr>
      </w:pPr>
    </w:p>
    <w:p>
      <w:pPr>
        <w:ind w:firstLine="413" w:firstLineChars="196"/>
        <w:rPr>
          <w:rFonts w:ascii="宋体" w:hAnsi="宋体"/>
          <w:b/>
        </w:rPr>
      </w:pPr>
      <w:r>
        <w:rPr>
          <w:rFonts w:hint="eastAsia" w:ascii="宋体" w:hAnsi="宋体"/>
          <w:b/>
        </w:rPr>
        <w:t>备注：上述“开标一览表”中的“投标报价”将作为价格分计算依据；其它信息仅是对投标文件相关内容的概括性表述，不作为评审依据。</w:t>
      </w:r>
    </w:p>
    <w:p>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pPr>
        <w:ind w:firstLine="411" w:firstLineChars="196"/>
        <w:rPr>
          <w:rFonts w:ascii="宋体" w:hAnsi="宋体"/>
        </w:rPr>
      </w:pPr>
      <w:r>
        <w:rPr>
          <w:rFonts w:hint="eastAsia" w:ascii="宋体" w:hAnsi="宋体"/>
        </w:rPr>
        <w:t>23.2.7投标文件编写完成后，</w:t>
      </w:r>
      <w:r>
        <w:rPr>
          <w:rFonts w:hint="eastAsia" w:ascii="宋体" w:hAnsi="宋体"/>
          <w:b/>
        </w:rPr>
        <w:t>必须用属于投标人的电子密钥</w:t>
      </w:r>
      <w:r>
        <w:rPr>
          <w:rFonts w:hint="eastAsia" w:ascii="宋体" w:hAnsi="宋体"/>
          <w:b/>
          <w:lang w:val="en-US" w:eastAsia="zh-CN"/>
        </w:rPr>
        <w:t>或电子营业执照</w:t>
      </w:r>
      <w:r>
        <w:rPr>
          <w:rFonts w:hint="eastAsia" w:ascii="宋体" w:hAnsi="宋体"/>
          <w:b/>
        </w:rPr>
        <w:t>进行加密，否则视同未盖公章，将导致投标文件无效。</w:t>
      </w:r>
    </w:p>
    <w:p>
      <w:pPr>
        <w:ind w:firstLine="411" w:firstLineChars="196"/>
        <w:rPr>
          <w:rFonts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pPr>
        <w:ind w:firstLine="411" w:firstLineChars="196"/>
        <w:rPr>
          <w:rFonts w:ascii="宋体" w:hAnsi="宋体"/>
        </w:rPr>
      </w:pPr>
      <w:r>
        <w:rPr>
          <w:rFonts w:hint="eastAsia" w:ascii="宋体" w:hAnsi="宋体"/>
        </w:rPr>
        <w:t>23.3电报、电话、传真形式的投标概不接受。</w:t>
      </w:r>
    </w:p>
    <w:p>
      <w:pPr>
        <w:ind w:firstLine="413" w:firstLineChars="196"/>
        <w:rPr>
          <w:rFonts w:ascii="宋体" w:hAnsi="宋体"/>
          <w:b/>
        </w:rPr>
      </w:pPr>
      <w:r>
        <w:rPr>
          <w:rFonts w:hint="eastAsia" w:ascii="宋体" w:hAnsi="宋体"/>
          <w:b/>
        </w:rPr>
        <w:t>23.4经投标人电子密钥</w:t>
      </w:r>
      <w:r>
        <w:rPr>
          <w:rFonts w:hint="eastAsia" w:ascii="宋体" w:hAnsi="宋体"/>
          <w:b/>
          <w:lang w:val="en-US" w:eastAsia="zh-CN"/>
        </w:rPr>
        <w:t>或电子营业执照</w:t>
      </w:r>
      <w:r>
        <w:rPr>
          <w:rFonts w:hint="eastAsia" w:ascii="宋体" w:hAnsi="宋体"/>
          <w:b/>
        </w:rPr>
        <w:t>加密的投标文件无须盖章或签字，</w:t>
      </w:r>
      <w:r>
        <w:rPr>
          <w:rFonts w:hint="eastAsia" w:ascii="宋体" w:hAnsi="宋体"/>
        </w:rPr>
        <w:t>专用条款另有要求的除外。</w:t>
      </w:r>
    </w:p>
    <w:p>
      <w:pPr>
        <w:ind w:firstLine="411" w:firstLineChars="196"/>
        <w:rPr>
          <w:rFonts w:ascii="宋体" w:hAnsi="宋体"/>
        </w:rPr>
      </w:pPr>
      <w:r>
        <w:rPr>
          <w:rFonts w:hint="eastAsia" w:ascii="宋体" w:hAnsi="宋体"/>
          <w:b w:val="0"/>
          <w:bCs/>
        </w:rPr>
        <w:t xml:space="preserve">23.5 </w:t>
      </w:r>
      <w:r>
        <w:rPr>
          <w:rFonts w:hint="eastAsia" w:ascii="宋体" w:hAnsi="宋体"/>
        </w:rPr>
        <w:t>各类资格（资质）文件提供扫描件，专用条款另有要求的除外。</w:t>
      </w:r>
      <w:bookmarkEnd w:id="101"/>
    </w:p>
    <w:p>
      <w:pPr>
        <w:ind w:firstLine="411" w:firstLineChars="196"/>
        <w:rPr>
          <w:rFonts w:ascii="宋体" w:hAnsi="宋体"/>
          <w:szCs w:val="21"/>
        </w:rPr>
      </w:pPr>
    </w:p>
    <w:p>
      <w:pPr>
        <w:pStyle w:val="7"/>
        <w:numPr>
          <w:ilvl w:val="0"/>
          <w:numId w:val="16"/>
        </w:numPr>
        <w:spacing w:before="120" w:beforeLines="50" w:after="120" w:afterLines="50"/>
        <w:ind w:left="562" w:hanging="562"/>
        <w:rPr>
          <w:sz w:val="28"/>
          <w:szCs w:val="28"/>
        </w:rPr>
      </w:pPr>
      <w:r>
        <w:rPr>
          <w:rFonts w:hint="eastAsia"/>
          <w:sz w:val="28"/>
          <w:szCs w:val="28"/>
        </w:rPr>
        <w:t>投标文件的递交</w:t>
      </w:r>
    </w:p>
    <w:p>
      <w:pPr>
        <w:rPr>
          <w:rFonts w:ascii="黑体" w:hAnsi="宋体" w:eastAsia="黑体"/>
          <w:sz w:val="24"/>
        </w:rPr>
      </w:pPr>
      <w:bookmarkStart w:id="102" w:name="_Hlk72405459"/>
      <w:r>
        <w:rPr>
          <w:rFonts w:hint="eastAsia" w:ascii="黑体" w:hAnsi="宋体" w:eastAsia="黑体"/>
          <w:sz w:val="24"/>
        </w:rPr>
        <w:t>24．投标文件的保密</w:t>
      </w:r>
    </w:p>
    <w:p>
      <w:pPr>
        <w:ind w:firstLine="411" w:firstLineChars="196"/>
        <w:rPr>
          <w:rFonts w:ascii="宋体" w:hAnsi="宋体"/>
        </w:rPr>
      </w:pPr>
      <w:r>
        <w:rPr>
          <w:rFonts w:hint="eastAsia" w:ascii="宋体" w:hAnsi="宋体"/>
        </w:rPr>
        <w:t>24.1在投标文件制作完成后，在投标书编制软件点击【生成标书】按钮进入【填写开标一览表界面】界面，在该界面填写完开标一览表信息后点击【确定】，进入投标文件生成环节。投标文件制作软件会在投标文件生成过程中，提示用户输入密码，输入密码后对</w:t>
      </w:r>
      <w:r>
        <w:rPr>
          <w:rFonts w:hint="eastAsia" w:ascii="宋体" w:hAnsi="宋体"/>
          <w:lang w:val="en-US" w:eastAsia="zh-CN"/>
        </w:rPr>
        <w:t>投</w:t>
      </w:r>
      <w:r>
        <w:rPr>
          <w:rFonts w:hint="eastAsia" w:ascii="宋体" w:hAnsi="宋体"/>
        </w:rPr>
        <w:t>标文件自动进行加密，此加密程序确保投标文件在到达投标截止时间后才能解密查看。在加密过程中，请按照软件提示进行操作。加密界面如下图所示：</w:t>
      </w:r>
    </w:p>
    <w:p>
      <w:pPr>
        <w:widowControl/>
        <w:jc w:val="left"/>
        <w:rPr>
          <w:rFonts w:ascii="宋体" w:hAnsi="宋体" w:cs="宋体"/>
          <w:kern w:val="0"/>
          <w:sz w:val="24"/>
        </w:rPr>
      </w:pPr>
      <w:r>
        <w:rPr>
          <w:rFonts w:ascii="宋体" w:hAnsi="宋体"/>
        </w:rPr>
        <w:drawing>
          <wp:inline distT="0" distB="0" distL="0" distR="0">
            <wp:extent cx="5278755" cy="2721610"/>
            <wp:effectExtent l="0" t="0" r="0" b="0"/>
            <wp:docPr id="8" name="图片 8"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形用户界面, 应用程序&#10;&#10;描述已自动生成"/>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8755" cy="2721610"/>
                    </a:xfrm>
                    <a:prstGeom prst="rect">
                      <a:avLst/>
                    </a:prstGeom>
                    <a:noFill/>
                    <a:ln>
                      <a:noFill/>
                    </a:ln>
                  </pic:spPr>
                </pic:pic>
              </a:graphicData>
            </a:graphic>
          </wp:inline>
        </w:drawing>
      </w:r>
    </w:p>
    <w:p>
      <w:pPr>
        <w:ind w:firstLine="480" w:firstLineChars="200"/>
        <w:rPr>
          <w:sz w:val="24"/>
        </w:rPr>
      </w:pPr>
    </w:p>
    <w:p>
      <w:pPr>
        <w:rPr>
          <w:sz w:val="24"/>
        </w:rPr>
      </w:pPr>
      <w:r>
        <w:rPr>
          <w:rFonts w:ascii="宋体" w:hAnsi="宋体"/>
        </w:rPr>
        <w:drawing>
          <wp:inline distT="0" distB="0" distL="0" distR="0">
            <wp:extent cx="5278755" cy="2732405"/>
            <wp:effectExtent l="0" t="0" r="0" b="0"/>
            <wp:docPr id="9" name="图片 9"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形用户界面&#10;&#10;描述已自动生成"/>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8755" cy="2732405"/>
                    </a:xfrm>
                    <a:prstGeom prst="rect">
                      <a:avLst/>
                    </a:prstGeom>
                    <a:noFill/>
                    <a:ln>
                      <a:noFill/>
                    </a:ln>
                  </pic:spPr>
                </pic:pic>
              </a:graphicData>
            </a:graphic>
          </wp:inline>
        </w:drawing>
      </w:r>
    </w:p>
    <w:p>
      <w:pPr>
        <w:ind w:firstLine="411" w:firstLineChars="196"/>
        <w:rPr>
          <w:rFonts w:ascii="宋体" w:hAnsi="宋体"/>
          <w:b w:val="0"/>
        </w:rPr>
      </w:pPr>
    </w:p>
    <w:p>
      <w:pPr>
        <w:rPr>
          <w:rFonts w:ascii="宋体" w:hAnsi="宋体"/>
          <w:b/>
        </w:rPr>
      </w:pPr>
      <w:r>
        <w:rPr>
          <w:rFonts w:hint="eastAsia" w:ascii="黑体" w:hAnsi="宋体" w:eastAsia="黑体"/>
          <w:sz w:val="24"/>
        </w:rPr>
        <w:t>24.2若采购项目出现延期情况：</w:t>
      </w:r>
    </w:p>
    <w:p>
      <w:pPr>
        <w:ind w:firstLine="420" w:firstLineChars="200"/>
        <w:rPr>
          <w:rFonts w:ascii="黑体" w:hAnsi="宋体" w:eastAsia="黑体"/>
          <w:b/>
          <w:sz w:val="24"/>
        </w:rPr>
      </w:pPr>
      <w:r>
        <w:rPr>
          <w:rFonts w:hint="eastAsia" w:ascii="宋体" w:hAnsi="宋体"/>
        </w:rPr>
        <w:t>如果供下载的招标文件（后缀名为. szczf）有更新，</w:t>
      </w:r>
      <w:r>
        <w:rPr>
          <w:rFonts w:hint="eastAsia" w:ascii="宋体" w:hAnsi="宋体"/>
          <w:b/>
          <w:bCs/>
        </w:rPr>
        <w:t>投标人必须重新下载招标文件、重新制作投标文件、重新加密投标文件、重新上传投标文件</w:t>
      </w:r>
      <w:r>
        <w:rPr>
          <w:rFonts w:hint="eastAsia" w:ascii="宋体" w:hAnsi="宋体"/>
        </w:rPr>
        <w:t>；如果供下载的招标文件（后缀名为. szczf）没有更新，</w:t>
      </w:r>
      <w:r>
        <w:rPr>
          <w:rFonts w:hint="eastAsia" w:ascii="宋体" w:hAnsi="宋体"/>
          <w:b/>
          <w:bCs/>
        </w:rPr>
        <w:t>投标人必须重新加密投标文件、重新上传投标文件</w:t>
      </w:r>
      <w:r>
        <w:rPr>
          <w:rFonts w:hint="eastAsia" w:ascii="宋体" w:hAnsi="宋体"/>
          <w:b w:val="0"/>
          <w:bCs w:val="0"/>
        </w:rPr>
        <w:t>（是否重新制作投标文件根据项目实际情况定）</w:t>
      </w:r>
      <w:r>
        <w:rPr>
          <w:rFonts w:hint="eastAsia" w:ascii="宋体" w:hAnsi="宋体"/>
        </w:rPr>
        <w:t>。否则，投标人自行承担投标文件无法解密导致投标无效的后果。</w:t>
      </w:r>
    </w:p>
    <w:p>
      <w:pPr>
        <w:rPr>
          <w:rFonts w:ascii="黑体" w:hAnsi="宋体" w:eastAsia="黑体"/>
          <w:sz w:val="24"/>
        </w:rPr>
      </w:pPr>
      <w:r>
        <w:rPr>
          <w:rFonts w:hint="eastAsia" w:ascii="黑体" w:hAnsi="宋体" w:eastAsia="黑体"/>
          <w:sz w:val="24"/>
        </w:rPr>
        <w:t>25．上传投标文件及投标截止日期</w:t>
      </w:r>
    </w:p>
    <w:p>
      <w:pPr>
        <w:keepNext w:val="0"/>
        <w:keepLines w:val="0"/>
        <w:pageBreakBefore w:val="0"/>
        <w:widowControl w:val="0"/>
        <w:kinsoku/>
        <w:wordWrap w:val="0"/>
        <w:overflowPunct/>
        <w:topLinePunct w:val="0"/>
        <w:autoSpaceDE/>
        <w:autoSpaceDN/>
        <w:bidi w:val="0"/>
        <w:adjustRightInd/>
        <w:snapToGrid/>
        <w:ind w:firstLine="411" w:firstLineChars="196"/>
        <w:textAlignment w:val="auto"/>
        <w:rPr>
          <w:rFonts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智慧平台用户网上办事子系统（http://zfcg.szggzy.com/TPBidder/memberLogin）”，用“【我的项目】→【项目流程】→【递交投标(应答)文件】”功能点上传投标文件。如上传过程中遇到问题，可拨打</w:t>
      </w:r>
      <w:r>
        <w:rPr>
          <w:rFonts w:hint="eastAsia" w:ascii="宋体" w:hAnsi="宋体"/>
          <w:lang w:val="en-US" w:eastAsia="zh-CN"/>
        </w:rPr>
        <w:t>采购公告中的技术支持电话</w:t>
      </w:r>
      <w:r>
        <w:rPr>
          <w:rFonts w:hint="eastAsia" w:ascii="宋体" w:hAnsi="宋体"/>
        </w:rPr>
        <w:t>。如多次上传均告失败，请在投标截止时间之前携带加密后的电子投标文件送达至</w:t>
      </w:r>
      <w:r>
        <w:rPr>
          <w:rFonts w:hint="eastAsia" w:ascii="宋体" w:hAnsi="宋体"/>
          <w:b/>
          <w:bCs/>
          <w:szCs w:val="21"/>
          <w:lang w:eastAsia="zh-CN"/>
        </w:rPr>
        <w:t>深圳公共资源交易中心（深圳交易集团有限公司</w:t>
      </w:r>
      <w:r>
        <w:rPr>
          <w:rFonts w:hint="eastAsia" w:ascii="宋体" w:hAnsi="宋体"/>
          <w:b/>
          <w:bCs/>
          <w:szCs w:val="21"/>
          <w:lang w:val="en-US" w:eastAsia="zh-CN"/>
        </w:rPr>
        <w:t>大鹏</w:t>
      </w:r>
      <w:r>
        <w:rPr>
          <w:rFonts w:hint="eastAsia" w:ascii="宋体" w:hAnsi="宋体"/>
          <w:b/>
          <w:bCs/>
          <w:szCs w:val="21"/>
          <w:lang w:eastAsia="zh-CN"/>
        </w:rPr>
        <w:t>分公司）</w:t>
      </w:r>
      <w:r>
        <w:rPr>
          <w:rFonts w:hint="eastAsia" w:ascii="宋体" w:hAnsi="宋体"/>
          <w:b/>
          <w:bCs/>
        </w:rPr>
        <w:t>（地址：</w:t>
      </w:r>
      <w:r>
        <w:rPr>
          <w:rFonts w:hint="eastAsia" w:asciiTheme="minorEastAsia" w:hAnsiTheme="minorEastAsia" w:eastAsiaTheme="minorEastAsia" w:cstheme="minorEastAsia"/>
          <w:b/>
          <w:bCs/>
          <w:color w:val="FF0000"/>
          <w:szCs w:val="21"/>
        </w:rPr>
        <w:t>深圳市大鹏新区葵涌街道生命科学产业园A8栋203室</w:t>
      </w:r>
      <w:r>
        <w:rPr>
          <w:rFonts w:hint="eastAsia" w:ascii="宋体" w:hAnsi="宋体"/>
          <w:b/>
          <w:bCs/>
        </w:rPr>
        <w:t>）</w:t>
      </w:r>
      <w:r>
        <w:rPr>
          <w:rFonts w:ascii="宋体" w:hAnsi="宋体"/>
          <w:b/>
          <w:bCs/>
        </w:rPr>
        <w:t>协助上传</w:t>
      </w:r>
      <w:r>
        <w:rPr>
          <w:rFonts w:hint="eastAsia" w:ascii="宋体" w:hAnsi="宋体"/>
          <w:b/>
          <w:bCs/>
        </w:rPr>
        <w:t>，</w:t>
      </w:r>
      <w:r>
        <w:rPr>
          <w:rFonts w:ascii="宋体" w:hAnsi="宋体"/>
          <w:b/>
          <w:bCs/>
        </w:rPr>
        <w:t>但上传过程</w:t>
      </w:r>
      <w:r>
        <w:rPr>
          <w:rFonts w:hint="eastAsia" w:ascii="宋体" w:hAnsi="宋体"/>
          <w:b/>
          <w:bCs/>
        </w:rPr>
        <w:t>中</w:t>
      </w:r>
      <w:r>
        <w:rPr>
          <w:rFonts w:ascii="宋体" w:hAnsi="宋体"/>
          <w:b/>
          <w:bCs/>
        </w:rPr>
        <w:t>投标截止时间到达仍无法上传成功的，由投标人自行负责</w:t>
      </w:r>
      <w:r>
        <w:rPr>
          <w:rFonts w:hint="eastAsia" w:ascii="宋体" w:hAnsi="宋体"/>
        </w:rPr>
        <w:t>。</w:t>
      </w:r>
    </w:p>
    <w:p>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pPr>
        <w:ind w:firstLine="411" w:firstLineChars="196"/>
        <w:rPr>
          <w:rFonts w:ascii="宋体" w:hAnsi="宋体"/>
        </w:rPr>
      </w:pPr>
    </w:p>
    <w:p>
      <w:pPr>
        <w:ind w:firstLine="411" w:firstLineChars="196"/>
        <w:rPr>
          <w:rFonts w:ascii="宋体" w:hAnsi="宋体"/>
        </w:rPr>
      </w:pPr>
    </w:p>
    <w:bookmarkEnd w:id="102"/>
    <w:p>
      <w:pPr>
        <w:rPr>
          <w:rFonts w:ascii="黑体" w:hAnsi="宋体" w:eastAsia="黑体"/>
          <w:sz w:val="24"/>
        </w:rPr>
      </w:pPr>
      <w:r>
        <w:rPr>
          <w:rFonts w:hint="eastAsia" w:ascii="黑体" w:hAnsi="宋体" w:eastAsia="黑体"/>
          <w:sz w:val="24"/>
        </w:rPr>
        <w:t>26. 样品、现场演示、方案讲解</w:t>
      </w:r>
    </w:p>
    <w:p>
      <w:pPr>
        <w:ind w:firstLine="411" w:firstLineChars="196"/>
        <w:rPr>
          <w:rFonts w:ascii="宋体" w:hAnsi="宋体"/>
          <w:szCs w:val="21"/>
        </w:rPr>
      </w:pPr>
      <w:r>
        <w:rPr>
          <w:rFonts w:hint="eastAsia" w:ascii="宋体" w:hAnsi="宋体"/>
          <w:szCs w:val="21"/>
        </w:rPr>
        <w:t>26.1 样品、现场演示、方案讲解等事项在招标文件专用条款中进行规定。</w:t>
      </w:r>
    </w:p>
    <w:p>
      <w:pPr>
        <w:rPr>
          <w:rFonts w:ascii="黑体" w:hAnsi="宋体" w:eastAsia="黑体"/>
          <w:sz w:val="24"/>
        </w:rPr>
      </w:pPr>
      <w:bookmarkStart w:id="103"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pPr>
        <w:ind w:firstLine="411" w:firstLineChars="196"/>
        <w:rPr>
          <w:rFonts w:ascii="宋体" w:hAnsi="宋体"/>
          <w:szCs w:val="21"/>
        </w:rPr>
      </w:pPr>
      <w:r>
        <w:rPr>
          <w:rFonts w:hint="eastAsia" w:ascii="宋体" w:hAnsi="宋体"/>
          <w:szCs w:val="21"/>
        </w:rPr>
        <w:t>27.4政府集中采购机构不退还投标文件，专用条款另有规定的除外。</w:t>
      </w:r>
    </w:p>
    <w:bookmarkEnd w:id="103"/>
    <w:p>
      <w:pPr>
        <w:pStyle w:val="7"/>
        <w:numPr>
          <w:ilvl w:val="0"/>
          <w:numId w:val="16"/>
        </w:numPr>
        <w:spacing w:before="120" w:beforeLines="50" w:after="120" w:afterLines="50"/>
        <w:ind w:left="562" w:hanging="562"/>
        <w:rPr>
          <w:sz w:val="28"/>
          <w:szCs w:val="28"/>
        </w:rPr>
      </w:pPr>
      <w:r>
        <w:rPr>
          <w:rFonts w:hint="eastAsia"/>
          <w:sz w:val="28"/>
          <w:szCs w:val="28"/>
        </w:rPr>
        <w:t>开标</w:t>
      </w:r>
    </w:p>
    <w:p>
      <w:pPr>
        <w:rPr>
          <w:rFonts w:ascii="黑体" w:hAnsi="宋体" w:eastAsia="黑体"/>
          <w:sz w:val="24"/>
        </w:rPr>
      </w:pPr>
      <w:r>
        <w:rPr>
          <w:rFonts w:hint="eastAsia" w:ascii="黑体" w:hAnsi="宋体" w:eastAsia="黑体"/>
          <w:sz w:val="24"/>
        </w:rPr>
        <w:t>28．开标</w:t>
      </w:r>
    </w:p>
    <w:p>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315" w:firstLineChars="150"/>
        <w:rPr>
          <w:rFonts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ascii="宋体" w:hAnsi="宋体"/>
          <w:szCs w:val="21"/>
        </w:rPr>
      </w:pPr>
    </w:p>
    <w:p>
      <w:pPr>
        <w:pStyle w:val="7"/>
        <w:numPr>
          <w:ilvl w:val="0"/>
          <w:numId w:val="16"/>
        </w:numPr>
        <w:spacing w:before="120" w:beforeLines="50" w:after="120" w:afterLines="50"/>
        <w:ind w:left="562" w:hanging="562"/>
        <w:rPr>
          <w:sz w:val="28"/>
          <w:szCs w:val="28"/>
        </w:rPr>
      </w:pPr>
      <w:r>
        <w:rPr>
          <w:rFonts w:hint="eastAsia"/>
          <w:sz w:val="28"/>
          <w:szCs w:val="28"/>
        </w:rPr>
        <w:t>评审要求</w:t>
      </w:r>
    </w:p>
    <w:p>
      <w:pPr>
        <w:rPr>
          <w:rFonts w:ascii="黑体" w:hAnsi="宋体" w:eastAsia="黑体"/>
          <w:sz w:val="24"/>
        </w:rPr>
      </w:pPr>
      <w:r>
        <w:rPr>
          <w:rFonts w:hint="eastAsia" w:ascii="黑体" w:hAnsi="宋体" w:eastAsia="黑体"/>
          <w:sz w:val="24"/>
        </w:rPr>
        <w:t>29．评审委员会组成</w:t>
      </w:r>
    </w:p>
    <w:p>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pPr>
        <w:ind w:firstLine="411" w:firstLineChars="196"/>
        <w:rPr>
          <w:rFonts w:hint="eastAsia" w:ascii="宋体" w:hAnsi="宋体"/>
        </w:rPr>
      </w:pPr>
      <w:bookmarkStart w:id="104"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104"/>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pPr>
        <w:pStyle w:val="2"/>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Times New Roman"/>
          <w:b/>
          <w:bCs/>
          <w:color w:val="FF0000"/>
          <w:kern w:val="2"/>
          <w:sz w:val="21"/>
          <w:szCs w:val="24"/>
          <w:lang w:val="en-US" w:eastAsia="zh-CN" w:bidi="ar-SA"/>
        </w:rPr>
      </w:pPr>
      <w:r>
        <w:rPr>
          <w:rFonts w:hint="eastAsia" w:ascii="宋体" w:hAnsi="宋体" w:eastAsia="宋体" w:cs="Times New Roman"/>
          <w:b/>
          <w:bCs/>
          <w:color w:val="FF0000"/>
          <w:kern w:val="2"/>
          <w:sz w:val="21"/>
          <w:szCs w:val="24"/>
          <w:lang w:val="en-US" w:eastAsia="zh-CN" w:bidi="ar-SA"/>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pPr>
        <w:ind w:firstLine="411" w:firstLineChars="196"/>
        <w:rPr>
          <w:rFonts w:ascii="宋体" w:hAnsi="宋体"/>
        </w:rPr>
      </w:pPr>
      <w:r>
        <w:rPr>
          <w:rFonts w:hint="eastAsia" w:ascii="宋体" w:hAnsi="宋体"/>
        </w:rPr>
        <w:t>29.2评审定标应当遵循公平、公正、科学、择优的原则。</w:t>
      </w:r>
    </w:p>
    <w:p>
      <w:pPr>
        <w:ind w:firstLine="411" w:firstLineChars="196"/>
        <w:rPr>
          <w:rFonts w:ascii="宋体" w:hAnsi="宋体"/>
        </w:rPr>
      </w:pPr>
      <w:r>
        <w:rPr>
          <w:rFonts w:hint="eastAsia" w:ascii="宋体" w:hAnsi="宋体"/>
        </w:rPr>
        <w:t>29.3评审活动依法进行，任何单位和个人不得非法干预评标过程和结果。</w:t>
      </w:r>
    </w:p>
    <w:p>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pPr>
        <w:rPr>
          <w:rFonts w:ascii="黑体" w:hAnsi="宋体" w:eastAsia="黑体"/>
          <w:sz w:val="24"/>
        </w:rPr>
      </w:pPr>
      <w:r>
        <w:rPr>
          <w:rFonts w:hint="eastAsia" w:ascii="黑体" w:hAnsi="宋体" w:eastAsia="黑体"/>
          <w:sz w:val="24"/>
        </w:rPr>
        <w:t>30．向评审委员会提供的资料</w:t>
      </w:r>
    </w:p>
    <w:p>
      <w:pPr>
        <w:ind w:firstLine="411" w:firstLineChars="196"/>
        <w:rPr>
          <w:rFonts w:ascii="宋体" w:hAnsi="宋体"/>
        </w:rPr>
      </w:pPr>
      <w:r>
        <w:rPr>
          <w:rFonts w:hint="eastAsia" w:ascii="宋体" w:hAnsi="宋体"/>
        </w:rPr>
        <w:t>30.1公开发布的招标文件，包括图纸、服务清单、答疑文件等；</w:t>
      </w:r>
    </w:p>
    <w:p>
      <w:pPr>
        <w:ind w:firstLine="411" w:firstLineChars="196"/>
        <w:rPr>
          <w:rFonts w:ascii="宋体" w:hAnsi="宋体"/>
        </w:rPr>
      </w:pPr>
      <w:r>
        <w:rPr>
          <w:rFonts w:hint="eastAsia" w:ascii="宋体" w:hAnsi="宋体"/>
        </w:rPr>
        <w:t>30.2其他评标必须的资料。</w:t>
      </w:r>
    </w:p>
    <w:p>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pPr>
        <w:ind w:firstLine="411" w:firstLineChars="196"/>
        <w:rPr>
          <w:rFonts w:ascii="宋体" w:hAnsi="宋体"/>
        </w:rPr>
      </w:pPr>
      <w:r>
        <w:rPr>
          <w:rFonts w:hint="eastAsia" w:ascii="宋体" w:hAnsi="宋体"/>
        </w:rPr>
        <w:t>（1）招标的目的；</w:t>
      </w:r>
    </w:p>
    <w:p>
      <w:pPr>
        <w:ind w:firstLine="411" w:firstLineChars="196"/>
        <w:rPr>
          <w:rFonts w:ascii="宋体" w:hAnsi="宋体"/>
        </w:rPr>
      </w:pPr>
      <w:r>
        <w:rPr>
          <w:rFonts w:hint="eastAsia" w:ascii="宋体" w:hAnsi="宋体"/>
        </w:rPr>
        <w:t>（2）招标项目需求的范围和性质；</w:t>
      </w:r>
    </w:p>
    <w:p>
      <w:pPr>
        <w:ind w:firstLine="411" w:firstLineChars="196"/>
        <w:rPr>
          <w:rFonts w:ascii="宋体" w:hAnsi="宋体"/>
        </w:rPr>
      </w:pPr>
      <w:r>
        <w:rPr>
          <w:rFonts w:hint="eastAsia" w:ascii="宋体" w:hAnsi="宋体"/>
        </w:rPr>
        <w:t>（3）招标文件规定的投标人的资格、财政预算限额、商务条款；</w:t>
      </w:r>
    </w:p>
    <w:p>
      <w:pPr>
        <w:ind w:firstLine="411" w:firstLineChars="196"/>
        <w:rPr>
          <w:rFonts w:ascii="宋体" w:hAnsi="宋体"/>
        </w:rPr>
      </w:pPr>
      <w:r>
        <w:rPr>
          <w:rFonts w:hint="eastAsia" w:ascii="宋体" w:hAnsi="宋体"/>
        </w:rPr>
        <w:t>（4）招标文件规定的评标程序、评标方法和评标因素；</w:t>
      </w:r>
    </w:p>
    <w:p>
      <w:pPr>
        <w:ind w:firstLine="411" w:firstLineChars="196"/>
        <w:rPr>
          <w:rFonts w:ascii="宋体" w:hAnsi="宋体"/>
        </w:rPr>
      </w:pPr>
      <w:r>
        <w:rPr>
          <w:rFonts w:hint="eastAsia" w:ascii="宋体" w:hAnsi="宋体"/>
        </w:rPr>
        <w:t>（5）招标文件所列示的资格性审查表及符合性审查表。</w:t>
      </w:r>
    </w:p>
    <w:p>
      <w:pPr>
        <w:rPr>
          <w:rFonts w:ascii="黑体" w:hAnsi="宋体" w:eastAsia="黑体"/>
          <w:sz w:val="24"/>
        </w:rPr>
      </w:pPr>
      <w:r>
        <w:rPr>
          <w:rFonts w:hint="eastAsia" w:ascii="黑体" w:hAnsi="宋体" w:eastAsia="黑体"/>
          <w:sz w:val="24"/>
        </w:rPr>
        <w:t>31．独立评审</w:t>
      </w:r>
    </w:p>
    <w:p>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pPr>
        <w:ind w:firstLine="411" w:firstLineChars="196"/>
        <w:rPr>
          <w:rFonts w:ascii="宋体" w:hAnsi="宋体"/>
          <w:bCs/>
          <w:szCs w:val="21"/>
        </w:rPr>
      </w:pPr>
    </w:p>
    <w:p>
      <w:pPr>
        <w:pStyle w:val="7"/>
        <w:numPr>
          <w:ilvl w:val="0"/>
          <w:numId w:val="16"/>
        </w:numPr>
        <w:spacing w:before="120" w:beforeLines="50" w:after="120" w:afterLines="50"/>
        <w:ind w:left="562" w:hanging="562"/>
        <w:rPr>
          <w:sz w:val="28"/>
          <w:szCs w:val="28"/>
        </w:rPr>
      </w:pPr>
      <w:r>
        <w:rPr>
          <w:rFonts w:hint="eastAsia"/>
          <w:sz w:val="28"/>
          <w:szCs w:val="28"/>
        </w:rPr>
        <w:t>评审程序及评审方法</w:t>
      </w:r>
    </w:p>
    <w:p>
      <w:pPr>
        <w:rPr>
          <w:rFonts w:ascii="黑体" w:hAnsi="宋体" w:eastAsia="黑体"/>
          <w:sz w:val="24"/>
        </w:rPr>
      </w:pPr>
      <w:r>
        <w:rPr>
          <w:rFonts w:hint="eastAsia" w:ascii="黑体" w:hAnsi="宋体" w:eastAsia="黑体"/>
          <w:sz w:val="24"/>
        </w:rPr>
        <w:t>32．投标文件初审</w:t>
      </w:r>
    </w:p>
    <w:p>
      <w:pPr>
        <w:ind w:firstLine="411" w:firstLineChars="196"/>
        <w:rPr>
          <w:rFonts w:ascii="宋体" w:hAnsi="宋体"/>
        </w:rPr>
      </w:pPr>
      <w:r>
        <w:rPr>
          <w:rFonts w:hint="eastAsia" w:ascii="宋体" w:hAnsi="宋体"/>
        </w:rPr>
        <w:t>32.1投标文件初审包括资格性审查和符合性审查。</w:t>
      </w:r>
    </w:p>
    <w:p>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pPr>
        <w:ind w:firstLine="411" w:firstLineChars="196"/>
        <w:rPr>
          <w:rFonts w:ascii="宋体" w:hAnsi="宋体"/>
          <w:bCs/>
        </w:rPr>
      </w:pPr>
      <w:r>
        <w:rPr>
          <w:rFonts w:hint="eastAsia" w:ascii="宋体" w:hAnsi="宋体"/>
          <w:bCs/>
        </w:rPr>
        <w:t>32.3 投标文件初审中关于供应商家数的计算:</w:t>
      </w:r>
    </w:p>
    <w:p>
      <w:pPr>
        <w:ind w:firstLine="411" w:firstLineChars="196"/>
        <w:rPr>
          <w:rFonts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rPr>
      </w:pPr>
      <w:r>
        <w:rPr>
          <w:rFonts w:hint="eastAsia" w:ascii="宋体" w:hAnsi="宋体"/>
        </w:rPr>
        <w:t>32.4投标人投标文件作无效处理的情形，具体包括但不限于以下：</w:t>
      </w:r>
    </w:p>
    <w:p>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pPr>
        <w:ind w:firstLine="411" w:firstLineChars="196"/>
        <w:rPr>
          <w:rFonts w:ascii="宋体" w:hAnsi="宋体"/>
        </w:rPr>
      </w:pPr>
      <w:r>
        <w:rPr>
          <w:rFonts w:hint="eastAsia" w:ascii="宋体" w:hAnsi="宋体"/>
        </w:rPr>
        <w:t>32.4.3不同投标人的投标文件载明的项目管理成员或者联系人员为同一人；</w:t>
      </w:r>
    </w:p>
    <w:p>
      <w:pPr>
        <w:ind w:firstLine="411" w:firstLineChars="196"/>
        <w:rPr>
          <w:rFonts w:ascii="宋体" w:hAnsi="宋体"/>
        </w:rPr>
      </w:pPr>
      <w:r>
        <w:rPr>
          <w:rFonts w:hint="eastAsia" w:ascii="宋体" w:hAnsi="宋体"/>
        </w:rPr>
        <w:t>32.4.4不同投标人的投标文件异常一致或者投标报价呈规律性差异；</w:t>
      </w:r>
    </w:p>
    <w:p>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pPr>
        <w:ind w:firstLine="411" w:firstLineChars="196"/>
        <w:rPr>
          <w:rFonts w:ascii="宋体" w:hAnsi="宋体"/>
        </w:rPr>
      </w:pPr>
      <w:r>
        <w:rPr>
          <w:rFonts w:hint="eastAsia" w:ascii="宋体" w:hAnsi="宋体"/>
        </w:rPr>
        <w:t>32.4.6投标供应商之间相互约定给予未中标的供应商利益补偿；</w:t>
      </w:r>
    </w:p>
    <w:p>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rPr>
      </w:pPr>
      <w:r>
        <w:rPr>
          <w:rFonts w:hint="eastAsia" w:ascii="宋体" w:hAnsi="宋体"/>
        </w:rPr>
        <w:t>32.4.8不同投标供应商的投标文件内容存在非正常一致；</w:t>
      </w:r>
    </w:p>
    <w:p>
      <w:pPr>
        <w:ind w:firstLine="411" w:firstLineChars="196"/>
        <w:rPr>
          <w:rFonts w:ascii="宋体" w:hAnsi="宋体"/>
        </w:rPr>
      </w:pPr>
      <w:r>
        <w:rPr>
          <w:rFonts w:hint="eastAsia" w:ascii="宋体" w:hAnsi="宋体"/>
        </w:rPr>
        <w:t>32.4.9在同一单位工作人员为两家以上（含两家）供应商进行同一项投标活动；</w:t>
      </w:r>
    </w:p>
    <w:p>
      <w:pPr>
        <w:ind w:firstLine="411" w:firstLineChars="196"/>
        <w:rPr>
          <w:rFonts w:ascii="宋体" w:hAnsi="宋体"/>
        </w:rPr>
      </w:pPr>
      <w:r>
        <w:rPr>
          <w:rFonts w:hint="eastAsia" w:ascii="宋体" w:hAnsi="宋体"/>
        </w:rPr>
        <w:t>32.4.10主管部门依照法律、法规认定的其他情形。</w:t>
      </w:r>
    </w:p>
    <w:p>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pPr>
        <w:rPr>
          <w:rFonts w:ascii="黑体" w:hAnsi="宋体" w:eastAsia="黑体"/>
          <w:sz w:val="24"/>
        </w:rPr>
      </w:pPr>
      <w:r>
        <w:rPr>
          <w:rFonts w:hint="eastAsia" w:ascii="黑体" w:hAnsi="宋体" w:eastAsia="黑体"/>
          <w:sz w:val="24"/>
        </w:rPr>
        <w:t>33．澄清有关问题</w:t>
      </w:r>
    </w:p>
    <w:p>
      <w:pPr>
        <w:ind w:firstLine="411" w:firstLineChars="196"/>
        <w:rPr>
          <w:rFonts w:ascii="宋体" w:hAnsi="宋体"/>
        </w:rPr>
      </w:pPr>
      <w:bookmarkStart w:id="105"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105"/>
    </w:p>
    <w:p>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pPr>
        <w:ind w:firstLine="411" w:firstLineChars="196"/>
        <w:rPr>
          <w:rFonts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pPr>
        <w:rPr>
          <w:rFonts w:ascii="黑体" w:hAnsi="宋体" w:eastAsia="黑体"/>
          <w:sz w:val="24"/>
        </w:rPr>
      </w:pPr>
      <w:bookmarkStart w:id="106" w:name="_Toc73521669"/>
      <w:bookmarkStart w:id="107" w:name="_Toc100052400"/>
      <w:bookmarkStart w:id="108" w:name="_Toc73517673"/>
      <w:bookmarkStart w:id="109" w:name="_Toc73518151"/>
      <w:bookmarkStart w:id="110" w:name="_Toc73521581"/>
      <w:r>
        <w:rPr>
          <w:rFonts w:hint="eastAsia" w:ascii="黑体" w:hAnsi="宋体" w:eastAsia="黑体"/>
          <w:sz w:val="24"/>
        </w:rPr>
        <w:t>34．错误的修正</w:t>
      </w:r>
      <w:bookmarkEnd w:id="106"/>
      <w:bookmarkEnd w:id="107"/>
      <w:bookmarkEnd w:id="108"/>
      <w:bookmarkEnd w:id="109"/>
      <w:bookmarkEnd w:id="110"/>
    </w:p>
    <w:p>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11" w:firstLineChars="196"/>
        <w:rPr>
          <w:rFonts w:ascii="宋体" w:hAnsi="宋体"/>
          <w:szCs w:val="21"/>
        </w:rPr>
      </w:pPr>
      <w:r>
        <w:rPr>
          <w:rFonts w:hint="eastAsia" w:ascii="宋体" w:hAnsi="宋体"/>
          <w:szCs w:val="21"/>
        </w:rPr>
        <w:t>34.2大写金额和小写金额不一致的，以大写金额为准；</w:t>
      </w:r>
    </w:p>
    <w:p>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pPr>
        <w:ind w:firstLine="411" w:firstLineChars="196"/>
        <w:rPr>
          <w:rFonts w:ascii="宋体" w:hAnsi="宋体"/>
          <w:szCs w:val="21"/>
        </w:rPr>
      </w:pPr>
      <w:r>
        <w:rPr>
          <w:rFonts w:hint="eastAsia" w:ascii="宋体" w:hAnsi="宋体"/>
          <w:szCs w:val="21"/>
        </w:rPr>
        <w:t>34.4总价金额与按单价汇总金额不一致的，以单价金额计算结果为准。</w:t>
      </w:r>
    </w:p>
    <w:p>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sz w:val="24"/>
        </w:rPr>
      </w:pPr>
      <w:r>
        <w:rPr>
          <w:rFonts w:hint="eastAsia" w:ascii="黑体" w:hAnsi="宋体" w:eastAsia="黑体"/>
          <w:sz w:val="24"/>
        </w:rPr>
        <w:t>35．投标文件的比较与评价</w:t>
      </w:r>
    </w:p>
    <w:p>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sz w:val="24"/>
        </w:rPr>
      </w:pPr>
      <w:r>
        <w:rPr>
          <w:rFonts w:hint="eastAsia" w:ascii="黑体" w:hAnsi="宋体" w:eastAsia="黑体"/>
          <w:sz w:val="24"/>
        </w:rPr>
        <w:t>36. 实地考察</w:t>
      </w:r>
    </w:p>
    <w:p>
      <w:pPr>
        <w:ind w:firstLine="411" w:firstLineChars="196"/>
        <w:rPr>
          <w:rFonts w:ascii="宋体" w:hAnsi="宋体"/>
          <w:szCs w:val="21"/>
        </w:rPr>
      </w:pPr>
      <w:r>
        <w:rPr>
          <w:rFonts w:hint="eastAsia" w:ascii="宋体" w:hAnsi="宋体"/>
          <w:szCs w:val="21"/>
        </w:rPr>
        <w:t>36.1</w:t>
      </w:r>
      <w:r>
        <w:rPr>
          <w:rFonts w:hint="eastAsia" w:ascii="宋体" w:hAnsi="宋体"/>
          <w:szCs w:val="21"/>
          <w:lang w:val="en-US" w:eastAsia="zh-CN"/>
        </w:rPr>
        <w:t>在评审期间，评审委员会根据招标文件规定（详见“一、对通用条款的补充内容”），有权对本项目的投标人开展实地考察，投标人需时刻做好接收实地考察的准备。</w:t>
      </w:r>
    </w:p>
    <w:p>
      <w:pPr>
        <w:rPr>
          <w:rFonts w:ascii="黑体" w:hAnsi="宋体" w:eastAsia="黑体"/>
          <w:sz w:val="24"/>
        </w:rPr>
      </w:pPr>
      <w:r>
        <w:rPr>
          <w:rFonts w:hint="eastAsia" w:ascii="黑体" w:hAnsi="宋体" w:eastAsia="黑体"/>
          <w:sz w:val="24"/>
        </w:rPr>
        <w:t>37．评审方法</w:t>
      </w:r>
    </w:p>
    <w:p>
      <w:pPr>
        <w:ind w:firstLine="413" w:firstLineChars="196"/>
        <w:rPr>
          <w:rFonts w:ascii="宋体" w:hAnsi="宋体"/>
          <w:b/>
          <w:bCs/>
          <w:szCs w:val="21"/>
        </w:rPr>
      </w:pPr>
      <w:r>
        <w:rPr>
          <w:rFonts w:hint="eastAsia" w:ascii="宋体" w:hAnsi="宋体"/>
          <w:b/>
          <w:bCs/>
          <w:szCs w:val="21"/>
        </w:rPr>
        <w:t>37.1.1最低价法</w:t>
      </w:r>
    </w:p>
    <w:p>
      <w:pPr>
        <w:ind w:firstLine="411" w:firstLineChars="196"/>
        <w:rPr>
          <w:rFonts w:hint="eastAsia" w:ascii="ˎ̥" w:hAnsi="ˎ̥"/>
          <w:lang w:eastAsia="zh-CN"/>
        </w:rPr>
      </w:pPr>
      <w:bookmarkStart w:id="111" w:name="_Hlk72438142"/>
      <w:r>
        <w:rPr>
          <w:rFonts w:ascii="ˎ̥" w:hAnsi="ˎ̥"/>
        </w:rPr>
        <w:t>最低价法，</w:t>
      </w:r>
      <w:r>
        <w:rPr>
          <w:rFonts w:hint="eastAsia" w:ascii="ˎ̥" w:hAnsi="ˎ̥"/>
        </w:rPr>
        <w:t>是指投标文件满足招标文件全部实质性要求，且投标报价最低的投标人为中标候选人的评标方法</w:t>
      </w:r>
      <w:r>
        <w:rPr>
          <w:rFonts w:hint="eastAsia" w:ascii="ˎ̥" w:hAnsi="ˎ̥"/>
          <w:lang w:eastAsia="zh-CN"/>
        </w:rPr>
        <w:t>。</w:t>
      </w:r>
    </w:p>
    <w:p>
      <w:pPr>
        <w:ind w:firstLine="411" w:firstLineChars="196"/>
        <w:rPr>
          <w:rFonts w:hint="eastAsia" w:ascii="ˎ̥" w:hAnsi="ˎ̥" w:eastAsia="宋体"/>
          <w:lang w:eastAsia="zh-CN"/>
        </w:rPr>
      </w:pPr>
      <w:r>
        <w:rPr>
          <w:rFonts w:hint="eastAsia" w:ascii="ˎ̥" w:hAnsi="ˎ̥"/>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b/>
          <w:bCs/>
          <w:szCs w:val="21"/>
        </w:rPr>
      </w:pPr>
      <w:r>
        <w:rPr>
          <w:rFonts w:hint="eastAsia" w:ascii="宋体" w:hAnsi="宋体"/>
          <w:b/>
          <w:bCs/>
          <w:szCs w:val="21"/>
        </w:rPr>
        <w:t>37.1.2综合评分法</w:t>
      </w:r>
    </w:p>
    <w:p>
      <w:pPr>
        <w:ind w:firstLine="411" w:firstLineChars="196"/>
        <w:rPr>
          <w:rFonts w:hint="eastAsia" w:ascii="ˎ̥" w:hAnsi="ˎ̥"/>
          <w:lang w:eastAsia="zh-CN"/>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111"/>
      <w:r>
        <w:rPr>
          <w:rFonts w:hint="eastAsia" w:ascii="ˎ̥" w:hAnsi="ˎ̥"/>
          <w:lang w:eastAsia="zh-CN"/>
        </w:rPr>
        <w:t>。</w:t>
      </w:r>
    </w:p>
    <w:p>
      <w:pPr>
        <w:ind w:firstLine="411" w:firstLineChars="196"/>
        <w:rPr>
          <w:rFonts w:hint="eastAsia" w:ascii="ˎ̥" w:hAnsi="ˎ̥"/>
          <w:lang w:eastAsia="zh-CN"/>
        </w:rPr>
      </w:pPr>
      <w:r>
        <w:rPr>
          <w:rFonts w:hint="eastAsia" w:ascii="ˎ̥" w:hAnsi="ˎ̥"/>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b/>
          <w:bCs/>
          <w:szCs w:val="21"/>
        </w:rPr>
      </w:pPr>
      <w:r>
        <w:rPr>
          <w:rFonts w:hint="eastAsia" w:ascii="宋体" w:hAnsi="宋体"/>
          <w:b/>
          <w:bCs/>
          <w:szCs w:val="21"/>
        </w:rPr>
        <w:t>37.2本项目采用的评审方法见本项目招标文件第一册“专用条款”的相关内容。</w:t>
      </w:r>
    </w:p>
    <w:p>
      <w:pPr>
        <w:ind w:firstLine="413" w:firstLineChars="196"/>
        <w:rPr>
          <w:rFonts w:ascii="宋体" w:hAnsi="宋体"/>
          <w:b/>
          <w:bCs/>
          <w:szCs w:val="21"/>
        </w:rPr>
      </w:pPr>
      <w:r>
        <w:rPr>
          <w:rFonts w:hint="eastAsia" w:ascii="宋体" w:hAnsi="宋体"/>
          <w:b/>
          <w:bCs/>
          <w:szCs w:val="21"/>
        </w:rPr>
        <w:t>37.3重新评审的情形</w:t>
      </w:r>
    </w:p>
    <w:p>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pPr>
        <w:ind w:firstLine="411" w:firstLineChars="196"/>
        <w:rPr>
          <w:rFonts w:ascii="宋体" w:hAnsi="宋体" w:cs="宋体"/>
          <w:kern w:val="0"/>
          <w:szCs w:val="21"/>
        </w:rPr>
      </w:pPr>
      <w:r>
        <w:rPr>
          <w:rFonts w:hint="eastAsia" w:ascii="宋体" w:hAnsi="宋体" w:cs="宋体"/>
          <w:kern w:val="0"/>
          <w:szCs w:val="21"/>
        </w:rPr>
        <w:t>37.3.1分值汇总计算错误的；</w:t>
      </w:r>
    </w:p>
    <w:p>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pPr>
        <w:ind w:firstLine="413" w:firstLineChars="196"/>
        <w:rPr>
          <w:rFonts w:ascii="宋体" w:hAnsi="宋体"/>
          <w:b/>
          <w:bCs/>
          <w:szCs w:val="21"/>
        </w:rPr>
      </w:pPr>
      <w:r>
        <w:rPr>
          <w:rFonts w:hint="eastAsia" w:ascii="宋体" w:hAnsi="宋体"/>
          <w:b/>
          <w:bCs/>
          <w:szCs w:val="21"/>
        </w:rPr>
        <w:t>37.4重新组建评审委员会的情形</w:t>
      </w:r>
    </w:p>
    <w:p>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ascii="宋体" w:hAnsi="宋体"/>
          <w:szCs w:val="21"/>
        </w:rPr>
      </w:pPr>
    </w:p>
    <w:p>
      <w:pPr>
        <w:pStyle w:val="7"/>
        <w:numPr>
          <w:ilvl w:val="0"/>
          <w:numId w:val="16"/>
        </w:numPr>
        <w:spacing w:before="120" w:beforeLines="50" w:after="120" w:afterLines="50"/>
        <w:ind w:left="562" w:hanging="562"/>
        <w:rPr>
          <w:sz w:val="28"/>
          <w:szCs w:val="28"/>
        </w:rPr>
      </w:pPr>
      <w:r>
        <w:rPr>
          <w:rFonts w:hint="eastAsia"/>
          <w:sz w:val="28"/>
          <w:szCs w:val="28"/>
        </w:rPr>
        <w:t>定标及公示</w:t>
      </w:r>
    </w:p>
    <w:p>
      <w:pPr>
        <w:rPr>
          <w:rFonts w:ascii="黑体" w:hAnsi="宋体" w:eastAsia="黑体"/>
          <w:sz w:val="24"/>
        </w:rPr>
      </w:pPr>
      <w:r>
        <w:rPr>
          <w:rFonts w:hint="eastAsia" w:ascii="黑体" w:hAnsi="宋体" w:eastAsia="黑体"/>
          <w:sz w:val="24"/>
        </w:rPr>
        <w:t>38．定标方法</w:t>
      </w:r>
    </w:p>
    <w:p>
      <w:pPr>
        <w:ind w:firstLine="411" w:firstLineChars="196"/>
        <w:rPr>
          <w:rFonts w:ascii="宋体" w:hAnsi="宋体"/>
          <w:szCs w:val="21"/>
        </w:rPr>
      </w:pPr>
      <w:bookmarkStart w:id="112" w:name="_Hlk73782795"/>
      <w:r>
        <w:rPr>
          <w:rFonts w:hint="eastAsia" w:ascii="宋体" w:hAnsi="宋体"/>
          <w:szCs w:val="21"/>
        </w:rPr>
        <w:t>38.1非评定分离项目定标方法</w:t>
      </w:r>
    </w:p>
    <w:p>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w:t>
      </w:r>
      <w:bookmarkStart w:id="113" w:name="_Hlk73821177"/>
      <w:r>
        <w:rPr>
          <w:rFonts w:hint="eastAsia" w:ascii="ˎ̥" w:hAnsi="ˎ̥"/>
        </w:rPr>
        <w:t>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bookmarkEnd w:id="113"/>
      <w:r>
        <w:rPr>
          <w:rFonts w:ascii="ˎ̥" w:hAnsi="ˎ̥"/>
        </w:rPr>
        <w:t>）。</w:t>
      </w:r>
    </w:p>
    <w:p>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rPr>
        <w:t>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r>
        <w:rPr>
          <w:rFonts w:hint="eastAsia" w:ascii="ˎ̥" w:hAnsi="ˎ̥"/>
        </w:rPr>
        <w:t>出现</w:t>
      </w:r>
      <w:r>
        <w:rPr>
          <w:rFonts w:ascii="ˎ̥" w:hAnsi="ˎ̥"/>
        </w:rPr>
        <w:t>得分且投标报价相同的并列</w:t>
      </w:r>
      <w:r>
        <w:rPr>
          <w:rFonts w:hint="eastAsia" w:ascii="ˎ̥" w:hAnsi="ˎ̥"/>
        </w:rPr>
        <w:t>情况时，采取随机抽取的方式确定，具体操作办法及流程由评审委员会确定。</w:t>
      </w:r>
    </w:p>
    <w:p>
      <w:pPr>
        <w:ind w:firstLine="411" w:firstLineChars="196"/>
        <w:rPr>
          <w:rFonts w:ascii="宋体" w:hAnsi="宋体"/>
          <w:szCs w:val="21"/>
        </w:rPr>
      </w:pPr>
      <w:r>
        <w:rPr>
          <w:rFonts w:hint="eastAsia" w:ascii="宋体" w:hAnsi="宋体"/>
          <w:szCs w:val="21"/>
        </w:rPr>
        <w:t>38.2评定分离项目定标方法</w:t>
      </w:r>
    </w:p>
    <w:p>
      <w:pPr>
        <w:ind w:firstLine="411" w:firstLineChars="196"/>
        <w:rPr>
          <w:rFonts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pPr>
      <w:r>
        <w:rPr>
          <w:rFonts w:ascii="宋体" w:hAnsi="宋体"/>
          <w:szCs w:val="21"/>
        </w:rPr>
        <w:t xml:space="preserve">38.2.2 </w:t>
      </w:r>
      <w:bookmarkStart w:id="114"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pPr>
        <w:ind w:firstLine="411" w:firstLineChars="196"/>
        <w:rPr>
          <w:rFonts w:ascii="宋体" w:hAnsi="宋体"/>
          <w:szCs w:val="21"/>
        </w:rPr>
      </w:pPr>
      <w:r>
        <w:rPr>
          <w:rFonts w:hint="eastAsia" w:ascii="宋体" w:hAnsi="宋体"/>
          <w:szCs w:val="21"/>
        </w:rPr>
        <w:t>38.2.3</w:t>
      </w:r>
      <w:bookmarkStart w:id="115"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114"/>
      <w:bookmarkEnd w:id="115"/>
    </w:p>
    <w:p>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w:t>
      </w:r>
      <w:r>
        <w:rPr>
          <w:rFonts w:hint="eastAsia"/>
          <w:lang w:val="en-US" w:eastAsia="zh-CN"/>
        </w:rPr>
        <w:t>&lt;</w:t>
      </w:r>
      <w:r>
        <w:rPr>
          <w:rFonts w:hint="eastAsia"/>
        </w:rPr>
        <w:t>深圳市政府采购评标定标分离管理办法</w:t>
      </w:r>
      <w:r>
        <w:rPr>
          <w:rFonts w:hint="eastAsia"/>
          <w:lang w:val="en-US" w:eastAsia="zh-CN"/>
        </w:rPr>
        <w:t>&gt;</w:t>
      </w:r>
      <w:r>
        <w:rPr>
          <w:rFonts w:hint="eastAsia"/>
        </w:rPr>
        <w:t>续期的通知》（深财规〔2023〕1号）执行。</w:t>
      </w:r>
    </w:p>
    <w:p>
      <w:pPr>
        <w:ind w:firstLine="411" w:firstLineChars="196"/>
        <w:rPr>
          <w:rFonts w:ascii="宋体" w:hAnsi="宋体"/>
          <w:szCs w:val="21"/>
        </w:rPr>
      </w:pPr>
      <w:r>
        <w:rPr>
          <w:rFonts w:hint="eastAsia" w:ascii="宋体" w:hAnsi="宋体"/>
          <w:szCs w:val="21"/>
        </w:rPr>
        <w:t>说明：采购人及投标供应商应按照上述方法提前做好相关准备。</w:t>
      </w:r>
    </w:p>
    <w:p>
      <w:pPr>
        <w:ind w:firstLine="411" w:firstLineChars="196"/>
        <w:rPr>
          <w:rFonts w:ascii="宋体" w:hAnsi="宋体"/>
          <w:szCs w:val="21"/>
        </w:rPr>
      </w:pPr>
      <w:r>
        <w:rPr>
          <w:rFonts w:hint="eastAsia" w:ascii="宋体" w:hAnsi="宋体"/>
          <w:szCs w:val="21"/>
        </w:rPr>
        <w:t>38.3专用条款另有规定的，按专用条款相关要求定标。</w:t>
      </w:r>
      <w:bookmarkEnd w:id="112"/>
    </w:p>
    <w:p>
      <w:pPr>
        <w:rPr>
          <w:rFonts w:ascii="黑体" w:hAnsi="宋体" w:eastAsia="黑体"/>
          <w:sz w:val="24"/>
        </w:rPr>
      </w:pPr>
      <w:r>
        <w:rPr>
          <w:rFonts w:hint="eastAsia" w:ascii="黑体" w:hAnsi="宋体" w:eastAsia="黑体"/>
          <w:sz w:val="24"/>
        </w:rPr>
        <w:t>39．编写评审报告</w:t>
      </w:r>
    </w:p>
    <w:p>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sz w:val="24"/>
        </w:rPr>
      </w:pPr>
      <w:r>
        <w:rPr>
          <w:rFonts w:hint="eastAsia" w:ascii="黑体" w:hAnsi="宋体" w:eastAsia="黑体"/>
          <w:sz w:val="24"/>
        </w:rPr>
        <w:t>40．中标公告</w:t>
      </w:r>
    </w:p>
    <w:p>
      <w:pPr>
        <w:ind w:firstLine="411" w:firstLineChars="196"/>
        <w:rPr>
          <w:rFonts w:ascii="宋体" w:hAnsi="宋体"/>
          <w:szCs w:val="21"/>
        </w:rPr>
      </w:pPr>
      <w:r>
        <w:rPr>
          <w:rFonts w:hint="eastAsia" w:ascii="宋体" w:hAnsi="宋体"/>
          <w:szCs w:val="21"/>
        </w:rPr>
        <w:t>40.1</w:t>
      </w:r>
      <w:bookmarkStart w:id="116"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深圳公共资源交易网（https://szggzy.com/）</w:t>
      </w:r>
      <w:r>
        <w:rPr>
          <w:rFonts w:hint="eastAsia" w:ascii="宋体" w:hAnsi="宋体"/>
          <w:szCs w:val="21"/>
        </w:rPr>
        <w:t>上发布中标结果公告。</w:t>
      </w:r>
      <w:bookmarkEnd w:id="116"/>
      <w:bookmarkStart w:id="117"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w:t>
      </w:r>
      <w:r>
        <w:rPr>
          <w:rFonts w:hint="eastAsia" w:ascii="宋体" w:hAnsi="宋体"/>
          <w:szCs w:val="21"/>
        </w:rPr>
        <w:t>若在公示期内未提出质疑，则视为认同该评审结果。</w:t>
      </w:r>
    </w:p>
    <w:bookmarkEnd w:id="117"/>
    <w:p>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pPr>
        <w:rPr>
          <w:rFonts w:ascii="黑体" w:hAnsi="宋体" w:eastAsia="黑体"/>
          <w:sz w:val="24"/>
        </w:rPr>
      </w:pPr>
      <w:r>
        <w:rPr>
          <w:rFonts w:hint="eastAsia" w:ascii="黑体" w:hAnsi="宋体" w:eastAsia="黑体"/>
          <w:sz w:val="24"/>
        </w:rPr>
        <w:t>41．中标通知书</w:t>
      </w:r>
    </w:p>
    <w:p>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118" w:name="_Hlk72438863"/>
      <w:r>
        <w:rPr>
          <w:rFonts w:hint="eastAsia" w:ascii="宋体" w:hAnsi="宋体"/>
          <w:szCs w:val="21"/>
        </w:rPr>
        <w:t>中标公告公布以后无异常的情况下,中标供应商和采购人可自行在</w:t>
      </w:r>
      <w:r>
        <w:rPr>
          <w:rFonts w:hint="eastAsia" w:ascii="宋体" w:hAnsi="宋体"/>
          <w:b/>
          <w:bCs/>
          <w:szCs w:val="21"/>
        </w:rPr>
        <w:t>“深圳政府采购智慧平台（http://zfcg.szggzy.com/）”</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118"/>
    </w:p>
    <w:p>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11" w:firstLineChars="196"/>
        <w:rPr>
          <w:rFonts w:ascii="宋体" w:hAnsi="宋体"/>
          <w:szCs w:val="21"/>
        </w:rPr>
      </w:pPr>
      <w:bookmarkStart w:id="119" w:name="_Hlk71407340"/>
      <w:r>
        <w:rPr>
          <w:rFonts w:hint="eastAsia" w:ascii="宋体" w:hAnsi="宋体"/>
          <w:szCs w:val="21"/>
        </w:rPr>
        <w:t>41.3因质疑投诉或其它原因导致项目结果变更或采购终止的，政府集中采购机构有权吊销中标通知书。</w:t>
      </w:r>
    </w:p>
    <w:bookmarkEnd w:id="119"/>
    <w:p>
      <w:pPr>
        <w:ind w:firstLine="411" w:firstLineChars="196"/>
        <w:rPr>
          <w:rFonts w:ascii="宋体" w:hAnsi="宋体"/>
          <w:szCs w:val="21"/>
        </w:rPr>
      </w:pPr>
    </w:p>
    <w:p>
      <w:pPr>
        <w:pStyle w:val="7"/>
        <w:numPr>
          <w:ilvl w:val="0"/>
          <w:numId w:val="16"/>
        </w:numPr>
        <w:spacing w:before="120" w:beforeLines="50" w:after="120" w:afterLines="50"/>
        <w:ind w:left="562" w:hanging="562"/>
        <w:rPr>
          <w:sz w:val="28"/>
          <w:szCs w:val="28"/>
        </w:rPr>
      </w:pPr>
      <w:r>
        <w:rPr>
          <w:rFonts w:hint="eastAsia"/>
          <w:sz w:val="28"/>
          <w:szCs w:val="28"/>
        </w:rPr>
        <w:t>公开招标失败的后续处理</w:t>
      </w:r>
    </w:p>
    <w:p>
      <w:pPr>
        <w:rPr>
          <w:rFonts w:ascii="黑体" w:hAnsi="宋体" w:eastAsia="黑体"/>
          <w:sz w:val="24"/>
        </w:rPr>
      </w:pPr>
      <w:r>
        <w:rPr>
          <w:rFonts w:hint="eastAsia" w:ascii="黑体" w:hAnsi="宋体" w:eastAsia="黑体"/>
          <w:sz w:val="24"/>
        </w:rPr>
        <w:t>42．公开招标失败的处理</w:t>
      </w:r>
    </w:p>
    <w:p>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pPr>
        <w:ind w:firstLine="411" w:firstLineChars="196"/>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szCs w:val="21"/>
        </w:rPr>
      </w:pPr>
      <w:r>
        <w:rPr>
          <w:rFonts w:hint="eastAsia" w:ascii="宋体" w:hAnsi="宋体"/>
          <w:szCs w:val="21"/>
        </w:rPr>
        <w:t>42.3重新组织采购有以下两种组织形式：</w:t>
      </w:r>
    </w:p>
    <w:p>
      <w:pPr>
        <w:ind w:firstLine="411" w:firstLineChars="196"/>
        <w:rPr>
          <w:rFonts w:ascii="宋体" w:hAnsi="宋体"/>
        </w:rPr>
      </w:pPr>
      <w:r>
        <w:rPr>
          <w:rFonts w:hint="eastAsia" w:ascii="宋体" w:hAnsi="宋体"/>
        </w:rPr>
        <w:t>（1）由政府集中采购机构重新组织公开招标；</w:t>
      </w:r>
    </w:p>
    <w:p>
      <w:pPr>
        <w:ind w:firstLine="411" w:firstLineChars="196"/>
        <w:rPr>
          <w:rFonts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pPr>
        <w:ind w:firstLine="411" w:firstLineChars="196"/>
        <w:rPr>
          <w:rFonts w:ascii="宋体" w:hAnsi="宋体"/>
        </w:rPr>
      </w:pPr>
      <w:r>
        <w:rPr>
          <w:rFonts w:hint="eastAsia" w:ascii="宋体" w:hAnsi="宋体"/>
        </w:rPr>
        <w:t>42.4公开招标失败的采购项目重新组织公开招标，由政府集中采购机构重新按公开招标流程组织采购活动。</w:t>
      </w:r>
    </w:p>
    <w:p>
      <w:pPr>
        <w:rPr>
          <w:rFonts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pPr>
        <w:rPr>
          <w:rFonts w:ascii="黑体" w:hAnsi="宋体" w:eastAsia="黑体"/>
          <w:sz w:val="24"/>
        </w:rPr>
      </w:pPr>
    </w:p>
    <w:p>
      <w:pPr>
        <w:pStyle w:val="7"/>
        <w:numPr>
          <w:ilvl w:val="0"/>
          <w:numId w:val="16"/>
        </w:numPr>
        <w:spacing w:before="120" w:beforeLines="50" w:after="120" w:afterLines="50"/>
        <w:ind w:left="562" w:hanging="562"/>
        <w:rPr>
          <w:sz w:val="28"/>
          <w:szCs w:val="28"/>
        </w:rPr>
      </w:pPr>
      <w:bookmarkStart w:id="120" w:name="_Hlk72439043"/>
      <w:r>
        <w:rPr>
          <w:rFonts w:hint="eastAsia"/>
          <w:sz w:val="28"/>
          <w:szCs w:val="28"/>
        </w:rPr>
        <w:t>合同的授予与备案</w:t>
      </w:r>
      <w:bookmarkEnd w:id="120"/>
    </w:p>
    <w:p>
      <w:pPr>
        <w:rPr>
          <w:rFonts w:ascii="黑体" w:hAnsi="宋体" w:eastAsia="黑体"/>
          <w:sz w:val="24"/>
        </w:rPr>
      </w:pPr>
      <w:bookmarkStart w:id="121" w:name="_Toc73517679"/>
      <w:bookmarkStart w:id="122" w:name="_Toc73518157"/>
      <w:bookmarkStart w:id="123" w:name="_Toc73521586"/>
      <w:bookmarkStart w:id="124" w:name="_Toc73521674"/>
      <w:bookmarkStart w:id="125" w:name="_Toc100052408"/>
      <w:bookmarkStart w:id="126" w:name="_Hlk72439088"/>
      <w:r>
        <w:rPr>
          <w:rFonts w:hint="eastAsia" w:ascii="黑体" w:hAnsi="宋体" w:eastAsia="黑体"/>
          <w:sz w:val="24"/>
        </w:rPr>
        <w:t>43．合同授予标准</w:t>
      </w:r>
      <w:bookmarkEnd w:id="121"/>
      <w:bookmarkEnd w:id="122"/>
      <w:bookmarkEnd w:id="123"/>
      <w:bookmarkEnd w:id="124"/>
      <w:bookmarkEnd w:id="125"/>
    </w:p>
    <w:p>
      <w:pPr>
        <w:ind w:firstLine="411" w:firstLineChars="196"/>
        <w:rPr>
          <w:rFonts w:ascii="宋体" w:hAnsi="宋体"/>
          <w:szCs w:val="21"/>
        </w:rPr>
      </w:pPr>
      <w:r>
        <w:rPr>
          <w:rFonts w:hint="eastAsia" w:ascii="宋体" w:hAnsi="宋体"/>
          <w:szCs w:val="21"/>
        </w:rPr>
        <w:t>本项目的合同将授予经本招标文件规定评审确定的中标供应商。</w:t>
      </w:r>
    </w:p>
    <w:p>
      <w:pPr>
        <w:rPr>
          <w:rFonts w:ascii="黑体" w:hAnsi="宋体" w:eastAsia="黑体"/>
          <w:sz w:val="24"/>
        </w:rPr>
      </w:pPr>
      <w:bookmarkStart w:id="127" w:name="_Toc73517680"/>
      <w:bookmarkStart w:id="128" w:name="_Toc73518158"/>
      <w:bookmarkStart w:id="129" w:name="_Toc73521675"/>
      <w:bookmarkStart w:id="130" w:name="_Toc100052409"/>
      <w:bookmarkStart w:id="131" w:name="_Toc73521587"/>
      <w:r>
        <w:rPr>
          <w:rFonts w:hint="eastAsia" w:ascii="黑体" w:hAnsi="宋体" w:eastAsia="黑体"/>
          <w:sz w:val="24"/>
        </w:rPr>
        <w:t>44．</w:t>
      </w:r>
      <w:bookmarkEnd w:id="127"/>
      <w:bookmarkEnd w:id="128"/>
      <w:bookmarkEnd w:id="129"/>
      <w:bookmarkEnd w:id="130"/>
      <w:bookmarkEnd w:id="131"/>
      <w:r>
        <w:rPr>
          <w:rFonts w:hint="eastAsia" w:ascii="黑体" w:hAnsi="宋体" w:eastAsia="黑体"/>
          <w:sz w:val="24"/>
        </w:rPr>
        <w:t>接受和拒绝任何或所有投标的权力</w:t>
      </w:r>
    </w:p>
    <w:p>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sz w:val="24"/>
        </w:rPr>
      </w:pPr>
      <w:bookmarkStart w:id="132" w:name="_Toc73521589"/>
      <w:bookmarkStart w:id="133" w:name="_Toc100052410"/>
      <w:bookmarkStart w:id="134" w:name="_Toc73517682"/>
      <w:bookmarkStart w:id="135" w:name="_Toc73518160"/>
      <w:bookmarkStart w:id="136" w:name="_Toc73521677"/>
      <w:r>
        <w:rPr>
          <w:rFonts w:hint="eastAsia" w:ascii="黑体" w:hAnsi="宋体" w:eastAsia="黑体"/>
          <w:sz w:val="24"/>
        </w:rPr>
        <w:t>45．合同的签订</w:t>
      </w:r>
      <w:bookmarkEnd w:id="132"/>
      <w:bookmarkEnd w:id="133"/>
      <w:bookmarkEnd w:id="134"/>
      <w:bookmarkEnd w:id="135"/>
      <w:bookmarkEnd w:id="136"/>
    </w:p>
    <w:p>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pPr>
        <w:rPr>
          <w:rFonts w:ascii="黑体" w:hAnsi="宋体" w:eastAsia="黑体"/>
          <w:sz w:val="24"/>
        </w:rPr>
      </w:pPr>
      <w:bookmarkStart w:id="137" w:name="_Toc73521590"/>
      <w:bookmarkStart w:id="138" w:name="_Toc73517683"/>
      <w:bookmarkStart w:id="139" w:name="_Toc100052411"/>
      <w:bookmarkStart w:id="140" w:name="_Toc73518161"/>
      <w:bookmarkStart w:id="141" w:name="_Toc73521678"/>
      <w:r>
        <w:rPr>
          <w:rFonts w:hint="eastAsia" w:ascii="黑体" w:hAnsi="宋体" w:eastAsia="黑体"/>
          <w:sz w:val="24"/>
        </w:rPr>
        <w:t>46．履约担保</w:t>
      </w:r>
      <w:bookmarkEnd w:id="137"/>
      <w:bookmarkEnd w:id="138"/>
      <w:bookmarkEnd w:id="139"/>
      <w:bookmarkEnd w:id="140"/>
      <w:bookmarkEnd w:id="141"/>
    </w:p>
    <w:p>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pPr>
        <w:rPr>
          <w:rFonts w:ascii="黑体" w:hAnsi="宋体" w:eastAsia="黑体"/>
          <w:sz w:val="24"/>
        </w:rPr>
      </w:pPr>
      <w:r>
        <w:rPr>
          <w:rFonts w:hint="eastAsia" w:ascii="黑体" w:hAnsi="宋体" w:eastAsia="黑体"/>
          <w:sz w:val="24"/>
        </w:rPr>
        <w:t>47. 合同备案</w:t>
      </w:r>
    </w:p>
    <w:p>
      <w:pPr>
        <w:ind w:firstLine="420" w:firstLineChars="200"/>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采购人与中标供应商自中标通知书发出之日起10个工作日内签订政府采购合同，</w:t>
      </w:r>
      <w:r>
        <w:rPr>
          <w:rFonts w:hint="eastAsia" w:ascii="宋体" w:hAnsi="宋体" w:eastAsia="宋体" w:cs="Times New Roman"/>
          <w:kern w:val="2"/>
          <w:sz w:val="21"/>
          <w:szCs w:val="21"/>
          <w:lang w:val="en-US" w:eastAsia="zh-CN"/>
        </w:rPr>
        <w:t>并按财政部门规定提交备案。</w:t>
      </w:r>
    </w:p>
    <w:p>
      <w:pPr>
        <w:rPr>
          <w:rFonts w:ascii="黑体" w:hAnsi="宋体" w:eastAsia="黑体"/>
          <w:sz w:val="24"/>
        </w:rPr>
      </w:pPr>
      <w:r>
        <w:rPr>
          <w:rFonts w:hint="eastAsia" w:ascii="黑体" w:hAnsi="宋体" w:eastAsia="黑体"/>
          <w:sz w:val="24"/>
        </w:rPr>
        <w:t>48. 合同变更</w:t>
      </w:r>
    </w:p>
    <w:p>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pPr>
        <w:rPr>
          <w:rFonts w:ascii="黑体" w:hAnsi="宋体" w:eastAsia="黑体"/>
          <w:sz w:val="24"/>
        </w:rPr>
      </w:pPr>
      <w:r>
        <w:rPr>
          <w:rFonts w:hint="eastAsia" w:ascii="黑体" w:hAnsi="宋体" w:eastAsia="黑体"/>
          <w:sz w:val="24"/>
        </w:rPr>
        <w:t>49. 项目验收</w:t>
      </w:r>
    </w:p>
    <w:p>
      <w:pPr>
        <w:widowControl/>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pPr>
        <w:rPr>
          <w:rFonts w:ascii="黑体" w:hAnsi="宋体" w:eastAsia="黑体"/>
          <w:sz w:val="24"/>
        </w:rPr>
      </w:pPr>
      <w:r>
        <w:rPr>
          <w:rFonts w:hint="eastAsia" w:ascii="黑体" w:hAnsi="宋体" w:eastAsia="黑体"/>
          <w:sz w:val="24"/>
        </w:rPr>
        <w:t>50. 宣传</w:t>
      </w:r>
    </w:p>
    <w:p>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pPr>
        <w:ind w:left="210" w:leftChars="100" w:firstLine="411" w:firstLineChars="196"/>
        <w:rPr>
          <w:rFonts w:ascii="宋体" w:hAnsi="宋体"/>
        </w:rPr>
      </w:pPr>
      <w:r>
        <w:rPr>
          <w:rFonts w:ascii="宋体" w:hAnsi="宋体"/>
        </w:rPr>
        <w:t>a.名片、宣传册、广告标语等；</w:t>
      </w:r>
    </w:p>
    <w:p>
      <w:pPr>
        <w:ind w:left="210" w:leftChars="100" w:firstLine="411" w:firstLineChars="196"/>
        <w:rPr>
          <w:rFonts w:ascii="宋体" w:hAnsi="宋体"/>
        </w:rPr>
      </w:pPr>
      <w:r>
        <w:rPr>
          <w:rFonts w:ascii="宋体" w:hAnsi="宋体"/>
        </w:rPr>
        <w:t>b.案例介绍、推广等；</w:t>
      </w:r>
    </w:p>
    <w:p>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pPr>
        <w:rPr>
          <w:rFonts w:ascii="黑体" w:hAnsi="宋体" w:eastAsia="黑体"/>
          <w:sz w:val="24"/>
        </w:rPr>
      </w:pPr>
      <w:r>
        <w:rPr>
          <w:rFonts w:hint="eastAsia" w:ascii="黑体" w:hAnsi="宋体" w:eastAsia="黑体"/>
          <w:sz w:val="24"/>
        </w:rPr>
        <w:t>51. 供应商违法责任</w:t>
      </w:r>
    </w:p>
    <w:p>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szCs w:val="21"/>
        </w:rPr>
      </w:pPr>
      <w:r>
        <w:rPr>
          <w:rFonts w:hint="eastAsia" w:ascii="宋体" w:hAnsi="宋体"/>
          <w:szCs w:val="21"/>
        </w:rPr>
        <w:t>（1）在采购活动中应当回避而未回避的；</w:t>
      </w:r>
    </w:p>
    <w:p>
      <w:pPr>
        <w:ind w:firstLine="411" w:firstLineChars="196"/>
        <w:rPr>
          <w:rFonts w:ascii="宋体" w:hAnsi="宋体"/>
          <w:szCs w:val="21"/>
        </w:rPr>
      </w:pPr>
      <w:r>
        <w:rPr>
          <w:rFonts w:hint="eastAsia" w:ascii="宋体" w:hAnsi="宋体"/>
          <w:szCs w:val="21"/>
        </w:rPr>
        <w:t>（2）未按本条例规定签订、履行采购合同，造成严重后果的；</w:t>
      </w:r>
    </w:p>
    <w:p>
      <w:pPr>
        <w:ind w:firstLine="411" w:firstLineChars="196"/>
        <w:rPr>
          <w:rFonts w:ascii="宋体" w:hAnsi="宋体"/>
          <w:szCs w:val="21"/>
        </w:rPr>
      </w:pPr>
      <w:r>
        <w:rPr>
          <w:rFonts w:hint="eastAsia" w:ascii="宋体" w:hAnsi="宋体"/>
          <w:szCs w:val="21"/>
        </w:rPr>
        <w:t>（3）隐瞒真实情况，提供虚假资料的；</w:t>
      </w:r>
    </w:p>
    <w:p>
      <w:pPr>
        <w:ind w:firstLine="411" w:firstLineChars="196"/>
        <w:rPr>
          <w:rFonts w:ascii="宋体" w:hAnsi="宋体"/>
          <w:szCs w:val="21"/>
        </w:rPr>
      </w:pPr>
      <w:r>
        <w:rPr>
          <w:rFonts w:hint="eastAsia" w:ascii="宋体" w:hAnsi="宋体"/>
          <w:szCs w:val="21"/>
        </w:rPr>
        <w:t>（4）以非法手段排斥其他供应商参与竞争的；</w:t>
      </w:r>
    </w:p>
    <w:p>
      <w:pPr>
        <w:ind w:firstLine="411" w:firstLineChars="196"/>
        <w:rPr>
          <w:rFonts w:ascii="宋体" w:hAnsi="宋体"/>
          <w:szCs w:val="21"/>
        </w:rPr>
      </w:pPr>
      <w:r>
        <w:rPr>
          <w:rFonts w:hint="eastAsia" w:ascii="宋体" w:hAnsi="宋体"/>
          <w:szCs w:val="21"/>
        </w:rPr>
        <w:t>（5）与其他采购参加人串通投标的；</w:t>
      </w:r>
    </w:p>
    <w:p>
      <w:pPr>
        <w:ind w:firstLine="411" w:firstLineChars="196"/>
        <w:rPr>
          <w:rFonts w:ascii="宋体" w:hAnsi="宋体"/>
          <w:szCs w:val="21"/>
        </w:rPr>
      </w:pPr>
      <w:r>
        <w:rPr>
          <w:rFonts w:hint="eastAsia" w:ascii="宋体" w:hAnsi="宋体"/>
          <w:szCs w:val="21"/>
        </w:rPr>
        <w:t>（6）恶意投诉的；</w:t>
      </w:r>
    </w:p>
    <w:p>
      <w:pPr>
        <w:ind w:firstLine="411" w:firstLineChars="196"/>
        <w:rPr>
          <w:rFonts w:ascii="宋体" w:hAnsi="宋体"/>
          <w:szCs w:val="21"/>
        </w:rPr>
      </w:pPr>
      <w:r>
        <w:rPr>
          <w:rFonts w:hint="eastAsia" w:ascii="宋体" w:hAnsi="宋体"/>
          <w:szCs w:val="21"/>
        </w:rPr>
        <w:t>（7）向采购项目相关人行贿或者提供其他不当利益的；</w:t>
      </w:r>
    </w:p>
    <w:p>
      <w:pPr>
        <w:ind w:firstLine="411" w:firstLineChars="196"/>
        <w:rPr>
          <w:rFonts w:ascii="宋体" w:hAnsi="宋体"/>
          <w:szCs w:val="21"/>
        </w:rPr>
      </w:pPr>
      <w:r>
        <w:rPr>
          <w:rFonts w:hint="eastAsia" w:ascii="宋体" w:hAnsi="宋体"/>
          <w:szCs w:val="21"/>
        </w:rPr>
        <w:t>（8）阻碍、抗拒主管部门监督检查的；</w:t>
      </w:r>
    </w:p>
    <w:p>
      <w:pPr>
        <w:ind w:firstLine="411" w:firstLineChars="196"/>
        <w:rPr>
          <w:rFonts w:ascii="宋体" w:hAnsi="宋体"/>
          <w:szCs w:val="21"/>
        </w:rPr>
      </w:pPr>
      <w:r>
        <w:rPr>
          <w:rFonts w:hint="eastAsia" w:ascii="宋体" w:hAnsi="宋体"/>
          <w:szCs w:val="21"/>
        </w:rPr>
        <w:t>（9）其他违反本条例规定的行为。</w:t>
      </w:r>
    </w:p>
    <w:p>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142" w:name="_Hlk72440769"/>
      <w:r>
        <w:rPr>
          <w:rFonts w:hint="eastAsia" w:ascii="宋体" w:hAnsi="宋体"/>
          <w:szCs w:val="21"/>
        </w:rPr>
        <w:t>政府集中采购机构或采购人不予退还其交纳的谈判保证金，情节严重的，并由主管部门</w:t>
      </w:r>
      <w:bookmarkEnd w:id="142"/>
      <w:r>
        <w:rPr>
          <w:rFonts w:hint="eastAsia" w:ascii="宋体" w:hAnsi="宋体"/>
          <w:szCs w:val="21"/>
        </w:rPr>
        <w:t>记入供应商诚信档案，予以通报：</w:t>
      </w:r>
    </w:p>
    <w:p>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126"/>
    <w:p>
      <w:pPr>
        <w:pStyle w:val="7"/>
        <w:numPr>
          <w:ilvl w:val="0"/>
          <w:numId w:val="16"/>
        </w:numPr>
        <w:spacing w:before="120" w:beforeLines="50" w:after="120" w:afterLines="50"/>
        <w:ind w:left="562" w:hanging="562"/>
        <w:rPr>
          <w:sz w:val="28"/>
          <w:szCs w:val="28"/>
        </w:rPr>
      </w:pPr>
      <w:r>
        <w:rPr>
          <w:rFonts w:hint="eastAsia"/>
          <w:sz w:val="28"/>
          <w:szCs w:val="28"/>
        </w:rPr>
        <w:t>质疑处理</w:t>
      </w:r>
    </w:p>
    <w:p>
      <w:pPr>
        <w:rPr>
          <w:rFonts w:ascii="黑体" w:hAnsi="宋体" w:eastAsia="黑体"/>
          <w:sz w:val="24"/>
        </w:rPr>
      </w:pPr>
      <w:bookmarkStart w:id="143" w:name="_Hlk72439706"/>
      <w:r>
        <w:rPr>
          <w:rFonts w:hint="eastAsia" w:ascii="黑体" w:hAnsi="宋体" w:eastAsia="黑体"/>
          <w:sz w:val="24"/>
        </w:rPr>
        <w:t>52.质疑提出与答复</w:t>
      </w:r>
    </w:p>
    <w:p>
      <w:pPr>
        <w:rPr>
          <w:rFonts w:ascii="宋体" w:hAnsi="宋体"/>
          <w:szCs w:val="21"/>
        </w:rPr>
      </w:pPr>
      <w:r>
        <w:rPr>
          <w:rFonts w:hint="eastAsia" w:ascii="宋体" w:hAnsi="宋体"/>
          <w:szCs w:val="21"/>
        </w:rPr>
        <w:t xml:space="preserve">    52.1提出质疑</w:t>
      </w:r>
    </w:p>
    <w:p>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pPr>
        <w:rPr>
          <w:rFonts w:ascii="宋体" w:hAnsi="宋体"/>
          <w:szCs w:val="21"/>
        </w:rPr>
      </w:pPr>
      <w:r>
        <w:rPr>
          <w:rFonts w:hint="eastAsia" w:ascii="宋体" w:hAnsi="宋体"/>
          <w:szCs w:val="21"/>
        </w:rPr>
        <w:t xml:space="preserve">    52.2</w:t>
      </w:r>
      <w:r>
        <w:rPr>
          <w:rFonts w:ascii="宋体" w:hAnsi="宋体"/>
          <w:szCs w:val="21"/>
        </w:rPr>
        <w:t>法律依据</w:t>
      </w:r>
    </w:p>
    <w:p>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pPr>
        <w:rPr>
          <w:rFonts w:ascii="宋体" w:hAnsi="宋体"/>
          <w:szCs w:val="21"/>
        </w:rPr>
      </w:pPr>
      <w:r>
        <w:rPr>
          <w:rFonts w:hint="eastAsia" w:ascii="宋体" w:hAnsi="宋体"/>
          <w:szCs w:val="21"/>
        </w:rPr>
        <w:t xml:space="preserve">    52.3.1提出质疑的供应商应当是参与所质疑项目采购活动的供应商；</w:t>
      </w:r>
      <w:bookmarkStart w:id="144" w:name="_Hlk75374941"/>
      <w:r>
        <w:rPr>
          <w:rFonts w:hint="eastAsia" w:ascii="宋体" w:hAnsi="宋体"/>
          <w:szCs w:val="21"/>
        </w:rPr>
        <w:t>以联合体形式参与的，质疑应当由组成联合体的所有成员共同提出</w:t>
      </w:r>
      <w:bookmarkEnd w:id="144"/>
      <w:r>
        <w:rPr>
          <w:rFonts w:hint="eastAsia" w:ascii="宋体" w:hAnsi="宋体"/>
          <w:szCs w:val="21"/>
        </w:rPr>
        <w:t>；</w:t>
      </w:r>
    </w:p>
    <w:p>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szCs w:val="21"/>
          <w:lang w:val="en-US" w:eastAsia="zh-CN"/>
        </w:rPr>
        <w:t>采购</w:t>
      </w:r>
      <w:r>
        <w:rPr>
          <w:rFonts w:hint="eastAsia" w:ascii="宋体" w:hAnsi="宋体"/>
          <w:szCs w:val="21"/>
        </w:rPr>
        <w:t>文件的质疑，为</w:t>
      </w:r>
      <w:r>
        <w:rPr>
          <w:rFonts w:hint="eastAsia" w:ascii="宋体" w:hAnsi="宋体"/>
          <w:szCs w:val="21"/>
          <w:lang w:val="en-US" w:eastAsia="zh-CN"/>
        </w:rPr>
        <w:t>采购</w:t>
      </w:r>
      <w:r>
        <w:rPr>
          <w:rFonts w:hint="eastAsia" w:ascii="宋体" w:hAnsi="宋体"/>
          <w:szCs w:val="21"/>
        </w:rPr>
        <w:t>文件公布之日；对采购过程的质疑，为各采购程序环节结束之日；对中标</w:t>
      </w:r>
      <w:r>
        <w:rPr>
          <w:rFonts w:hint="eastAsia" w:ascii="宋体" w:hAnsi="宋体"/>
          <w:szCs w:val="21"/>
          <w:lang w:eastAsia="zh-CN"/>
        </w:rPr>
        <w:t>（</w:t>
      </w:r>
      <w:r>
        <w:rPr>
          <w:rFonts w:hint="eastAsia" w:ascii="宋体" w:hAnsi="宋体"/>
          <w:szCs w:val="21"/>
          <w:lang w:val="en-US" w:eastAsia="zh-CN"/>
        </w:rPr>
        <w:t>成交</w:t>
      </w:r>
      <w:r>
        <w:rPr>
          <w:rFonts w:hint="eastAsia" w:ascii="宋体" w:hAnsi="宋体"/>
          <w:szCs w:val="21"/>
          <w:lang w:eastAsia="zh-CN"/>
        </w:rPr>
        <w:t>）</w:t>
      </w:r>
      <w:r>
        <w:rPr>
          <w:rFonts w:hint="eastAsia" w:ascii="宋体" w:hAnsi="宋体"/>
          <w:szCs w:val="21"/>
        </w:rPr>
        <w:t>结果以及评审委员会组成人员的质疑，为中标</w:t>
      </w:r>
      <w:r>
        <w:rPr>
          <w:rFonts w:hint="eastAsia" w:ascii="宋体" w:hAnsi="宋体"/>
          <w:szCs w:val="21"/>
          <w:lang w:eastAsia="zh-CN"/>
        </w:rPr>
        <w:t>（</w:t>
      </w:r>
      <w:r>
        <w:rPr>
          <w:rFonts w:hint="eastAsia" w:ascii="宋体" w:hAnsi="宋体"/>
          <w:szCs w:val="21"/>
          <w:lang w:val="en-US" w:eastAsia="zh-CN"/>
        </w:rPr>
        <w:t>成交</w:t>
      </w:r>
      <w:r>
        <w:rPr>
          <w:rFonts w:hint="eastAsia" w:ascii="宋体" w:hAnsi="宋体"/>
          <w:szCs w:val="21"/>
          <w:lang w:eastAsia="zh-CN"/>
        </w:rPr>
        <w:t>）</w:t>
      </w:r>
      <w:r>
        <w:rPr>
          <w:rFonts w:hint="eastAsia" w:ascii="宋体" w:hAnsi="宋体"/>
          <w:szCs w:val="21"/>
        </w:rPr>
        <w:t>结果公示之日；</w:t>
      </w:r>
    </w:p>
    <w:p>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rPr>
          <w:rFonts w:ascii="宋体" w:hAnsi="宋体"/>
          <w:szCs w:val="21"/>
        </w:rPr>
      </w:pPr>
      <w:r>
        <w:rPr>
          <w:rFonts w:hint="eastAsia" w:ascii="宋体" w:hAnsi="宋体"/>
          <w:szCs w:val="21"/>
        </w:rPr>
        <w:t>（1）供应商的名称（或者姓名）、地址、邮编、邮箱、联系人及联系电话；</w:t>
      </w:r>
    </w:p>
    <w:p>
      <w:pPr>
        <w:ind w:firstLine="420" w:firstLineChars="200"/>
        <w:rPr>
          <w:rFonts w:ascii="宋体" w:hAnsi="宋体"/>
          <w:szCs w:val="21"/>
        </w:rPr>
      </w:pPr>
      <w:r>
        <w:rPr>
          <w:rFonts w:hint="eastAsia" w:ascii="宋体" w:hAnsi="宋体"/>
          <w:szCs w:val="21"/>
        </w:rPr>
        <w:t>（2）质疑项目的名称、编号；</w:t>
      </w:r>
    </w:p>
    <w:p>
      <w:pPr>
        <w:ind w:firstLine="420" w:firstLineChars="200"/>
        <w:rPr>
          <w:rFonts w:ascii="宋体" w:hAnsi="宋体"/>
          <w:szCs w:val="21"/>
        </w:rPr>
      </w:pPr>
      <w:r>
        <w:rPr>
          <w:rFonts w:hint="eastAsia" w:ascii="宋体" w:hAnsi="宋体"/>
          <w:szCs w:val="21"/>
        </w:rPr>
        <w:t>（3）具体、明确的质疑对象、质疑事项和质疑请求；</w:t>
      </w:r>
    </w:p>
    <w:p>
      <w:pPr>
        <w:ind w:firstLine="420" w:firstLineChars="200"/>
        <w:rPr>
          <w:rFonts w:ascii="宋体" w:hAnsi="宋体"/>
          <w:szCs w:val="21"/>
        </w:rPr>
      </w:pPr>
      <w:r>
        <w:rPr>
          <w:rFonts w:hint="eastAsia" w:ascii="宋体" w:hAnsi="宋体"/>
          <w:szCs w:val="21"/>
        </w:rPr>
        <w:t>（4）因质疑事项而受损害的权益；</w:t>
      </w:r>
    </w:p>
    <w:p>
      <w:pPr>
        <w:ind w:firstLine="420" w:firstLineChars="200"/>
        <w:rPr>
          <w:rFonts w:ascii="宋体" w:hAnsi="宋体"/>
          <w:szCs w:val="21"/>
        </w:rPr>
      </w:pPr>
      <w:r>
        <w:rPr>
          <w:rFonts w:hint="eastAsia" w:ascii="宋体" w:hAnsi="宋体"/>
          <w:szCs w:val="21"/>
        </w:rPr>
        <w:t>（5）事实依据；</w:t>
      </w:r>
    </w:p>
    <w:p>
      <w:pPr>
        <w:ind w:firstLine="420" w:firstLineChars="200"/>
        <w:rPr>
          <w:rFonts w:ascii="宋体" w:hAnsi="宋体"/>
          <w:szCs w:val="21"/>
        </w:rPr>
      </w:pPr>
      <w:r>
        <w:rPr>
          <w:rFonts w:hint="eastAsia" w:ascii="宋体" w:hAnsi="宋体"/>
          <w:szCs w:val="21"/>
        </w:rPr>
        <w:t>（6）必要的法律依据；</w:t>
      </w:r>
    </w:p>
    <w:p>
      <w:pPr>
        <w:ind w:firstLine="420" w:firstLineChars="200"/>
        <w:rPr>
          <w:rFonts w:ascii="宋体" w:hAnsi="宋体"/>
          <w:szCs w:val="21"/>
        </w:rPr>
      </w:pPr>
      <w:r>
        <w:rPr>
          <w:rFonts w:hint="eastAsia" w:ascii="宋体" w:hAnsi="宋体"/>
          <w:szCs w:val="21"/>
        </w:rPr>
        <w:t>（7）提出质疑的日期。</w:t>
      </w:r>
    </w:p>
    <w:p>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szCs w:val="21"/>
        </w:rPr>
      </w:pPr>
      <w:r>
        <w:rPr>
          <w:rFonts w:hint="eastAsia" w:ascii="宋体" w:hAnsi="宋体"/>
          <w:szCs w:val="21"/>
        </w:rPr>
        <w:t>52.4提交</w:t>
      </w:r>
      <w:r>
        <w:rPr>
          <w:rFonts w:ascii="宋体" w:hAnsi="宋体"/>
          <w:szCs w:val="21"/>
        </w:rPr>
        <w:t>材料</w:t>
      </w:r>
    </w:p>
    <w:p>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szCs w:val="21"/>
        </w:rPr>
      </w:pPr>
      <w:r>
        <w:rPr>
          <w:rFonts w:hint="eastAsia" w:ascii="宋体" w:hAnsi="宋体"/>
          <w:szCs w:val="21"/>
        </w:rPr>
        <w:t>52.5收文地点</w:t>
      </w:r>
    </w:p>
    <w:p>
      <w:pPr>
        <w:ind w:firstLine="422" w:firstLineChars="200"/>
        <w:rPr>
          <w:rFonts w:ascii="宋体" w:hAnsi="宋体"/>
          <w:b/>
          <w:bCs/>
          <w:szCs w:val="21"/>
        </w:rPr>
      </w:pPr>
      <w:r>
        <w:rPr>
          <w:rFonts w:hint="eastAsia" w:ascii="宋体" w:hAnsi="宋体"/>
          <w:b/>
          <w:bCs/>
          <w:szCs w:val="21"/>
        </w:rPr>
        <w:t>地址：</w:t>
      </w:r>
      <w:r>
        <w:rPr>
          <w:rFonts w:hint="eastAsia" w:ascii="宋体" w:hAnsi="宋体"/>
          <w:b/>
          <w:bCs/>
          <w:szCs w:val="21"/>
          <w:lang w:eastAsia="zh-CN"/>
        </w:rPr>
        <w:t>深圳公共资源交易中心（深圳交易集团有限公司大鹏分公司）（</w:t>
      </w:r>
      <w:r>
        <w:rPr>
          <w:rFonts w:hint="eastAsia" w:asciiTheme="minorEastAsia" w:hAnsiTheme="minorEastAsia" w:eastAsiaTheme="minorEastAsia" w:cstheme="minorEastAsia"/>
          <w:b/>
          <w:bCs/>
          <w:color w:val="FF0000"/>
          <w:szCs w:val="21"/>
        </w:rPr>
        <w:t>深圳市大鹏新区葵涌街道生命科学产业园A8栋203室</w:t>
      </w:r>
      <w:r>
        <w:rPr>
          <w:rFonts w:hint="eastAsia" w:asciiTheme="minorEastAsia" w:hAnsiTheme="minorEastAsia" w:eastAsiaTheme="minorEastAsia" w:cstheme="minorEastAsia"/>
          <w:b/>
          <w:bCs/>
          <w:color w:val="FF0000"/>
          <w:szCs w:val="21"/>
          <w:lang w:eastAsia="zh-CN"/>
        </w:rPr>
        <w:t>）</w:t>
      </w:r>
      <w:r>
        <w:rPr>
          <w:rFonts w:hint="eastAsia" w:ascii="宋体" w:hAnsi="宋体"/>
          <w:b/>
          <w:bCs/>
          <w:szCs w:val="21"/>
        </w:rPr>
        <w:t>，质疑咨询电话：0755-28333190。</w:t>
      </w:r>
    </w:p>
    <w:p>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ascii="宋体" w:hAnsi="宋体"/>
          <w:szCs w:val="21"/>
        </w:rPr>
      </w:pPr>
      <w:r>
        <w:rPr>
          <w:rFonts w:hint="eastAsia" w:ascii="宋体" w:hAnsi="宋体"/>
          <w:szCs w:val="21"/>
        </w:rPr>
        <w:t>供应商提交的质疑存在下列情形之一的，不予受理：</w:t>
      </w:r>
    </w:p>
    <w:p>
      <w:pPr>
        <w:ind w:firstLine="420" w:firstLineChars="200"/>
        <w:rPr>
          <w:rFonts w:ascii="宋体" w:hAnsi="宋体"/>
          <w:szCs w:val="21"/>
        </w:rPr>
      </w:pPr>
      <w:r>
        <w:rPr>
          <w:rFonts w:hint="eastAsia" w:ascii="宋体" w:hAnsi="宋体"/>
          <w:szCs w:val="21"/>
        </w:rPr>
        <w:t>（1）质疑主体不满足要求的；</w:t>
      </w:r>
    </w:p>
    <w:p>
      <w:pPr>
        <w:ind w:firstLine="420" w:firstLineChars="200"/>
        <w:rPr>
          <w:rFonts w:ascii="宋体" w:hAnsi="宋体"/>
          <w:szCs w:val="21"/>
        </w:rPr>
      </w:pPr>
      <w:r>
        <w:rPr>
          <w:rFonts w:hint="eastAsia" w:ascii="宋体" w:hAnsi="宋体"/>
          <w:szCs w:val="21"/>
        </w:rPr>
        <w:t>（2）供应商自身权益未受到损害的；</w:t>
      </w:r>
    </w:p>
    <w:p>
      <w:pPr>
        <w:ind w:firstLine="420" w:firstLineChars="200"/>
        <w:rPr>
          <w:rFonts w:ascii="宋体" w:hAnsi="宋体"/>
          <w:szCs w:val="21"/>
        </w:rPr>
      </w:pPr>
      <w:r>
        <w:rPr>
          <w:rFonts w:hint="eastAsia" w:ascii="宋体" w:hAnsi="宋体"/>
          <w:szCs w:val="21"/>
        </w:rPr>
        <w:t>（3）供应商未在法定质疑期限内提出质疑的；</w:t>
      </w:r>
    </w:p>
    <w:p>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ascii="宋体" w:hAnsi="宋体"/>
          <w:szCs w:val="21"/>
        </w:rPr>
      </w:pPr>
      <w:r>
        <w:rPr>
          <w:rFonts w:hint="eastAsia" w:ascii="宋体" w:hAnsi="宋体"/>
          <w:szCs w:val="21"/>
        </w:rPr>
        <w:t>（5）其他不符合受理条件情形的。</w:t>
      </w:r>
    </w:p>
    <w:p>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pPr>
        <w:rPr>
          <w:rFonts w:ascii="宋体" w:hAnsi="宋体"/>
          <w:szCs w:val="21"/>
        </w:rPr>
      </w:pPr>
      <w:r>
        <w:rPr>
          <w:rFonts w:hint="eastAsia" w:ascii="宋体" w:hAnsi="宋体"/>
          <w:szCs w:val="21"/>
        </w:rPr>
        <w:t xml:space="preserve">    自收文之日起七个工作日内。</w:t>
      </w:r>
    </w:p>
    <w:p>
      <w:pPr>
        <w:rPr>
          <w:rFonts w:ascii="宋体" w:hAnsi="宋体"/>
          <w:szCs w:val="21"/>
        </w:rPr>
      </w:pPr>
      <w:r>
        <w:rPr>
          <w:rFonts w:hint="eastAsia" w:ascii="宋体" w:hAnsi="宋体"/>
          <w:szCs w:val="21"/>
        </w:rPr>
        <w:t xml:space="preserve">    52.8投诉</w:t>
      </w:r>
    </w:p>
    <w:p>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对质疑答复不满意或者未在规定时间内答复的，提出质疑的供应商可以在答复期满后15个工作日内向同级财政部门投诉。</w:t>
      </w:r>
    </w:p>
    <w:p>
      <w:pPr>
        <w:rPr>
          <w:rFonts w:ascii="黑体" w:hAnsi="宋体" w:eastAsia="黑体"/>
          <w:sz w:val="24"/>
        </w:rPr>
      </w:pPr>
      <w:r>
        <w:rPr>
          <w:rFonts w:hint="eastAsia" w:ascii="黑体" w:hAnsi="宋体" w:eastAsia="黑体"/>
          <w:sz w:val="24"/>
        </w:rPr>
        <w:t>53. 质疑后续处理</w:t>
      </w:r>
    </w:p>
    <w:p>
      <w:pPr>
        <w:jc w:val="both"/>
        <w:rPr>
          <w:rFonts w:ascii="宋体" w:hAnsi="宋体"/>
          <w:szCs w:val="21"/>
        </w:rPr>
      </w:pPr>
      <w:r>
        <w:rPr>
          <w:rFonts w:hint="eastAsia" w:ascii="宋体" w:hAnsi="宋体"/>
          <w:szCs w:val="21"/>
        </w:rPr>
        <w:t xml:space="preserve">    53.1供应商质疑不成立，或者成立但未对中标、成交结果构成影响的，继续开展采购活动。</w:t>
      </w:r>
    </w:p>
    <w:p>
      <w:pPr>
        <w:ind w:firstLine="420"/>
        <w:jc w:val="both"/>
        <w:rPr>
          <w:rFonts w:hint="eastAsia"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both"/>
      </w:pPr>
      <w:r>
        <w:t>---- END ----</w:t>
      </w:r>
      <w:bookmarkEnd w:id="143"/>
    </w:p>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t xml:space="preserve">- </w:t>
    </w:r>
    <w:r>
      <w:fldChar w:fldCharType="begin"/>
    </w:r>
    <w:r>
      <w:instrText xml:space="preserve"> PAGE </w:instrText>
    </w:r>
    <w:r>
      <w:fldChar w:fldCharType="separate"/>
    </w:r>
    <w:r>
      <w:t>32</w:t>
    </w:r>
    <w:r>
      <w:fldChar w:fldCharType="end"/>
    </w:r>
    <w:r>
      <w:t xml:space="preserve"> -</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rPr>
        <w:rStyle w:val="49"/>
      </w:rPr>
      <w:fldChar w:fldCharType="begin"/>
    </w:r>
    <w:r>
      <w:rPr>
        <w:rStyle w:val="49"/>
      </w:rPr>
      <w:instrText xml:space="preserve">PAGE  </w:instrText>
    </w:r>
    <w:r>
      <w:rPr>
        <w:rStyle w:val="49"/>
      </w:rPr>
      <w:fldChar w:fldCharType="end"/>
    </w:r>
  </w:p>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FFFFFF7C"/>
    <w:multiLevelType w:val="singleLevel"/>
    <w:tmpl w:val="FFFFFF7C"/>
    <w:lvl w:ilvl="0" w:tentative="0">
      <w:start w:val="1"/>
      <w:numFmt w:val="decimal"/>
      <w:pStyle w:val="69"/>
      <w:lvlText w:val="%1."/>
      <w:lvlJc w:val="left"/>
      <w:pPr>
        <w:tabs>
          <w:tab w:val="left" w:pos="7994"/>
        </w:tabs>
        <w:ind w:left="7994" w:leftChars="800" w:hanging="360" w:hangingChars="200"/>
      </w:pPr>
    </w:lvl>
  </w:abstractNum>
  <w:abstractNum w:abstractNumId="9">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10">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2503483"/>
    <w:multiLevelType w:val="multilevel"/>
    <w:tmpl w:val="12503483"/>
    <w:lvl w:ilvl="0" w:tentative="0">
      <w:start w:val="1"/>
      <w:numFmt w:val="bullet"/>
      <w:pStyle w:val="117"/>
      <w:lvlText w:val=""/>
      <w:lvlJc w:val="left"/>
      <w:pPr>
        <w:tabs>
          <w:tab w:val="left" w:pos="420"/>
        </w:tabs>
        <w:ind w:left="420" w:hanging="420"/>
      </w:pPr>
      <w:rPr>
        <w:rFonts w:hint="default" w:ascii="Wingdings" w:hAnsi="Wingdings"/>
      </w:rPr>
    </w:lvl>
    <w:lvl w:ilvl="1" w:tentative="0">
      <w:start w:val="1"/>
      <w:numFmt w:val="bullet"/>
      <w:pStyle w:val="11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160D20D0"/>
    <w:multiLevelType w:val="multilevel"/>
    <w:tmpl w:val="160D20D0"/>
    <w:lvl w:ilvl="0" w:tentative="0">
      <w:start w:val="1"/>
      <w:numFmt w:val="bullet"/>
      <w:pStyle w:val="85"/>
      <w:lvlText w:val=""/>
      <w:lvlJc w:val="left"/>
      <w:pPr>
        <w:tabs>
          <w:tab w:val="left" w:pos="840"/>
        </w:tabs>
        <w:ind w:left="840" w:hanging="420"/>
      </w:pPr>
      <w:rPr>
        <w:rFonts w:hint="default" w:ascii="Wingdings" w:hAnsi="Wingdings"/>
      </w:rPr>
    </w:lvl>
    <w:lvl w:ilvl="1" w:tentative="0">
      <w:start w:val="1"/>
      <w:numFmt w:val="bullet"/>
      <w:pStyle w:val="86"/>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
    <w:nsid w:val="2F395B7B"/>
    <w:multiLevelType w:val="multilevel"/>
    <w:tmpl w:val="2F395B7B"/>
    <w:lvl w:ilvl="0" w:tentative="0">
      <w:start w:val="1"/>
      <w:numFmt w:val="bullet"/>
      <w:pStyle w:val="177"/>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7A0F6431"/>
    <w:multiLevelType w:val="singleLevel"/>
    <w:tmpl w:val="7A0F6431"/>
    <w:lvl w:ilvl="0" w:tentative="0">
      <w:start w:val="1"/>
      <w:numFmt w:val="decimal"/>
      <w:suff w:val="space"/>
      <w:lvlText w:val="%1."/>
      <w:lvlJc w:val="left"/>
    </w:lvl>
  </w:abstractNum>
  <w:abstractNum w:abstractNumId="15">
    <w:nsid w:val="7AEF7716"/>
    <w:multiLevelType w:val="multilevel"/>
    <w:tmpl w:val="7AEF7716"/>
    <w:lvl w:ilvl="0" w:tentative="0">
      <w:start w:val="1"/>
      <w:numFmt w:val="chineseCountingThousand"/>
      <w:pStyle w:val="130"/>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12"/>
  </w:num>
  <w:num w:numId="4">
    <w:abstractNumId w:val="11"/>
  </w:num>
  <w:num w:numId="5">
    <w:abstractNumId w:val="15"/>
  </w:num>
  <w:num w:numId="6">
    <w:abstractNumId w:val="13"/>
  </w:num>
  <w:num w:numId="7">
    <w:abstractNumId w:val="0"/>
  </w:num>
  <w:num w:numId="8">
    <w:abstractNumId w:val="1"/>
  </w:num>
  <w:num w:numId="9">
    <w:abstractNumId w:val="14"/>
  </w:num>
  <w:num w:numId="10">
    <w:abstractNumId w:val="3"/>
  </w:num>
  <w:num w:numId="11">
    <w:abstractNumId w:val="7"/>
  </w:num>
  <w:num w:numId="12">
    <w:abstractNumId w:val="5"/>
  </w:num>
  <w:num w:numId="13">
    <w:abstractNumId w:val="4"/>
  </w:num>
  <w:num w:numId="14">
    <w:abstractNumId w:val="2"/>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TViYmM5N2VkNzE3YzEyMDY3NjQ5MmFhNDQzY2MifQ=="/>
    <w:docVar w:name="KSO_WPS_MARK_KEY" w:val="a5980290-81d1-4166-b591-31e4936b8684"/>
  </w:docVars>
  <w:rsids>
    <w:rsidRoot w:val="006C5683"/>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094C"/>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9D4"/>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2ED3"/>
    <w:rsid w:val="00244711"/>
    <w:rsid w:val="00244AE4"/>
    <w:rsid w:val="00245EBE"/>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243"/>
    <w:rsid w:val="00361633"/>
    <w:rsid w:val="00361935"/>
    <w:rsid w:val="003626AE"/>
    <w:rsid w:val="0036292A"/>
    <w:rsid w:val="00362AF3"/>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6BF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0A4"/>
    <w:rsid w:val="00610871"/>
    <w:rsid w:val="00610E48"/>
    <w:rsid w:val="00610FE0"/>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8CD"/>
    <w:rsid w:val="007839A9"/>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4566"/>
    <w:rsid w:val="008C46B6"/>
    <w:rsid w:val="008C4935"/>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405"/>
    <w:rsid w:val="009B6D8D"/>
    <w:rsid w:val="009B729E"/>
    <w:rsid w:val="009B7498"/>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D89"/>
    <w:rsid w:val="00A63EF3"/>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51B75"/>
    <w:rsid w:val="00B52AD3"/>
    <w:rsid w:val="00B539EB"/>
    <w:rsid w:val="00B54B76"/>
    <w:rsid w:val="00B55ECC"/>
    <w:rsid w:val="00B560E5"/>
    <w:rsid w:val="00B5610F"/>
    <w:rsid w:val="00B576E1"/>
    <w:rsid w:val="00B6088D"/>
    <w:rsid w:val="00B608F1"/>
    <w:rsid w:val="00B60F79"/>
    <w:rsid w:val="00B61158"/>
    <w:rsid w:val="00B6252C"/>
    <w:rsid w:val="00B62CBE"/>
    <w:rsid w:val="00B62EFD"/>
    <w:rsid w:val="00B63999"/>
    <w:rsid w:val="00B63B4A"/>
    <w:rsid w:val="00B63E1F"/>
    <w:rsid w:val="00B641C5"/>
    <w:rsid w:val="00B64F8D"/>
    <w:rsid w:val="00B6533C"/>
    <w:rsid w:val="00B6538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15D3"/>
    <w:rsid w:val="00B8270D"/>
    <w:rsid w:val="00B827F1"/>
    <w:rsid w:val="00B82B33"/>
    <w:rsid w:val="00B8384C"/>
    <w:rsid w:val="00B83AF4"/>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3B64"/>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701"/>
    <w:rsid w:val="00C95DD7"/>
    <w:rsid w:val="00C95ED6"/>
    <w:rsid w:val="00C96BBB"/>
    <w:rsid w:val="00CA04D5"/>
    <w:rsid w:val="00CA0F7D"/>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5C07"/>
    <w:rsid w:val="00CF5CFC"/>
    <w:rsid w:val="00D00272"/>
    <w:rsid w:val="00D00AF5"/>
    <w:rsid w:val="00D00E75"/>
    <w:rsid w:val="00D00EE2"/>
    <w:rsid w:val="00D01917"/>
    <w:rsid w:val="00D01EBC"/>
    <w:rsid w:val="00D036AC"/>
    <w:rsid w:val="00D03DE1"/>
    <w:rsid w:val="00D03EDD"/>
    <w:rsid w:val="00D03EEF"/>
    <w:rsid w:val="00D04F08"/>
    <w:rsid w:val="00D050BB"/>
    <w:rsid w:val="00D058B9"/>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31D"/>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4509"/>
    <w:rsid w:val="00E94A0D"/>
    <w:rsid w:val="00E9558B"/>
    <w:rsid w:val="00E95A44"/>
    <w:rsid w:val="00E95D1B"/>
    <w:rsid w:val="00E969A4"/>
    <w:rsid w:val="00E9735C"/>
    <w:rsid w:val="00EA0266"/>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1E42FB"/>
    <w:rsid w:val="012146C6"/>
    <w:rsid w:val="015D35F5"/>
    <w:rsid w:val="01B80B7A"/>
    <w:rsid w:val="01E55D35"/>
    <w:rsid w:val="01F72B36"/>
    <w:rsid w:val="02095687"/>
    <w:rsid w:val="024419F1"/>
    <w:rsid w:val="025D0D1C"/>
    <w:rsid w:val="02743188"/>
    <w:rsid w:val="02AC10D3"/>
    <w:rsid w:val="02B91483"/>
    <w:rsid w:val="034033B2"/>
    <w:rsid w:val="03733C5F"/>
    <w:rsid w:val="03B76677"/>
    <w:rsid w:val="03B866D0"/>
    <w:rsid w:val="03C40B3F"/>
    <w:rsid w:val="03E11E16"/>
    <w:rsid w:val="04833B9D"/>
    <w:rsid w:val="04E470A0"/>
    <w:rsid w:val="04FC5581"/>
    <w:rsid w:val="0513143C"/>
    <w:rsid w:val="052132CD"/>
    <w:rsid w:val="05821997"/>
    <w:rsid w:val="05891928"/>
    <w:rsid w:val="05BF24C9"/>
    <w:rsid w:val="05DF0DF0"/>
    <w:rsid w:val="06892C4B"/>
    <w:rsid w:val="06C559AF"/>
    <w:rsid w:val="07554285"/>
    <w:rsid w:val="0775586D"/>
    <w:rsid w:val="07EC528E"/>
    <w:rsid w:val="081C64DD"/>
    <w:rsid w:val="083E1B6F"/>
    <w:rsid w:val="08435461"/>
    <w:rsid w:val="08435AFA"/>
    <w:rsid w:val="0865499C"/>
    <w:rsid w:val="087109F5"/>
    <w:rsid w:val="08AF0DE8"/>
    <w:rsid w:val="090C7C1B"/>
    <w:rsid w:val="0929095D"/>
    <w:rsid w:val="09493091"/>
    <w:rsid w:val="09FF0058"/>
    <w:rsid w:val="0A914C01"/>
    <w:rsid w:val="0AD31787"/>
    <w:rsid w:val="0ADD6816"/>
    <w:rsid w:val="0AF96D6A"/>
    <w:rsid w:val="0B912479"/>
    <w:rsid w:val="0BCC39BB"/>
    <w:rsid w:val="0C2520CA"/>
    <w:rsid w:val="0C39703D"/>
    <w:rsid w:val="0C4C5587"/>
    <w:rsid w:val="0C7777A9"/>
    <w:rsid w:val="0CD30126"/>
    <w:rsid w:val="0CFC3FE1"/>
    <w:rsid w:val="0D490A8D"/>
    <w:rsid w:val="0DC93D4A"/>
    <w:rsid w:val="0E0771E4"/>
    <w:rsid w:val="0E5643EF"/>
    <w:rsid w:val="0E5923FB"/>
    <w:rsid w:val="0E6E6F80"/>
    <w:rsid w:val="0E855450"/>
    <w:rsid w:val="0F7A7451"/>
    <w:rsid w:val="0F953AB1"/>
    <w:rsid w:val="0FCD3BE5"/>
    <w:rsid w:val="0FF94323"/>
    <w:rsid w:val="1071763A"/>
    <w:rsid w:val="107A34BF"/>
    <w:rsid w:val="107A51CD"/>
    <w:rsid w:val="108D4A90"/>
    <w:rsid w:val="10993984"/>
    <w:rsid w:val="10E67EAB"/>
    <w:rsid w:val="110D1AD5"/>
    <w:rsid w:val="11925F20"/>
    <w:rsid w:val="11C91423"/>
    <w:rsid w:val="1203536E"/>
    <w:rsid w:val="123821EC"/>
    <w:rsid w:val="12584AF5"/>
    <w:rsid w:val="12E96032"/>
    <w:rsid w:val="12EC0F8D"/>
    <w:rsid w:val="13560879"/>
    <w:rsid w:val="13D4431F"/>
    <w:rsid w:val="151D38BF"/>
    <w:rsid w:val="158B5F79"/>
    <w:rsid w:val="159C281E"/>
    <w:rsid w:val="15BA18F1"/>
    <w:rsid w:val="15BF1762"/>
    <w:rsid w:val="15F31C73"/>
    <w:rsid w:val="160650C5"/>
    <w:rsid w:val="161A1EE6"/>
    <w:rsid w:val="16BA40A9"/>
    <w:rsid w:val="16CE64D4"/>
    <w:rsid w:val="16E54E7B"/>
    <w:rsid w:val="16F47498"/>
    <w:rsid w:val="17051BB8"/>
    <w:rsid w:val="176D63E7"/>
    <w:rsid w:val="17727A45"/>
    <w:rsid w:val="181638D8"/>
    <w:rsid w:val="181978EE"/>
    <w:rsid w:val="18841AD7"/>
    <w:rsid w:val="18A015D3"/>
    <w:rsid w:val="1944578F"/>
    <w:rsid w:val="198E1224"/>
    <w:rsid w:val="19A766B9"/>
    <w:rsid w:val="19AF5A77"/>
    <w:rsid w:val="19B1604A"/>
    <w:rsid w:val="19B95C26"/>
    <w:rsid w:val="19E46AD9"/>
    <w:rsid w:val="1A126E19"/>
    <w:rsid w:val="1A652503"/>
    <w:rsid w:val="1A78230D"/>
    <w:rsid w:val="1A7A5D34"/>
    <w:rsid w:val="1AC668AF"/>
    <w:rsid w:val="1B325F2A"/>
    <w:rsid w:val="1B3464C9"/>
    <w:rsid w:val="1B405AA4"/>
    <w:rsid w:val="1B62301A"/>
    <w:rsid w:val="1C1F1E0E"/>
    <w:rsid w:val="1C1F3E4C"/>
    <w:rsid w:val="1CF12935"/>
    <w:rsid w:val="1CF96B9F"/>
    <w:rsid w:val="1D190873"/>
    <w:rsid w:val="1D4B710C"/>
    <w:rsid w:val="1DCF425D"/>
    <w:rsid w:val="1E330E9C"/>
    <w:rsid w:val="1E340CEE"/>
    <w:rsid w:val="1E9C6591"/>
    <w:rsid w:val="1F507A92"/>
    <w:rsid w:val="1F875EE1"/>
    <w:rsid w:val="1FD21930"/>
    <w:rsid w:val="20043B19"/>
    <w:rsid w:val="202919B6"/>
    <w:rsid w:val="203A1396"/>
    <w:rsid w:val="2043141B"/>
    <w:rsid w:val="20BE2A44"/>
    <w:rsid w:val="20BE2B36"/>
    <w:rsid w:val="20D17B68"/>
    <w:rsid w:val="2112344B"/>
    <w:rsid w:val="21481A39"/>
    <w:rsid w:val="214B3DBF"/>
    <w:rsid w:val="219A1B7F"/>
    <w:rsid w:val="219A6846"/>
    <w:rsid w:val="21B22A5C"/>
    <w:rsid w:val="21E65C8F"/>
    <w:rsid w:val="235220CD"/>
    <w:rsid w:val="23AA6A32"/>
    <w:rsid w:val="23C9229F"/>
    <w:rsid w:val="23F24EDE"/>
    <w:rsid w:val="24195A43"/>
    <w:rsid w:val="245D31B5"/>
    <w:rsid w:val="247D5ABB"/>
    <w:rsid w:val="24826101"/>
    <w:rsid w:val="25735D35"/>
    <w:rsid w:val="25784A9C"/>
    <w:rsid w:val="2596668B"/>
    <w:rsid w:val="25E16A45"/>
    <w:rsid w:val="25F11338"/>
    <w:rsid w:val="25F46AB0"/>
    <w:rsid w:val="27217B54"/>
    <w:rsid w:val="274348DC"/>
    <w:rsid w:val="277D1EE5"/>
    <w:rsid w:val="27A31B59"/>
    <w:rsid w:val="27B87AF2"/>
    <w:rsid w:val="27EE3E21"/>
    <w:rsid w:val="281A1DEB"/>
    <w:rsid w:val="286C3B37"/>
    <w:rsid w:val="289002C6"/>
    <w:rsid w:val="28B86003"/>
    <w:rsid w:val="28C71A62"/>
    <w:rsid w:val="29054106"/>
    <w:rsid w:val="293801B5"/>
    <w:rsid w:val="298A23AD"/>
    <w:rsid w:val="2B033371"/>
    <w:rsid w:val="2B067EC8"/>
    <w:rsid w:val="2B3A56AF"/>
    <w:rsid w:val="2BB71443"/>
    <w:rsid w:val="2BF00047"/>
    <w:rsid w:val="2C0853D9"/>
    <w:rsid w:val="2C240F34"/>
    <w:rsid w:val="2C64115C"/>
    <w:rsid w:val="2C70392E"/>
    <w:rsid w:val="2C74331C"/>
    <w:rsid w:val="2CCA6EE5"/>
    <w:rsid w:val="2D0B54A3"/>
    <w:rsid w:val="2D230138"/>
    <w:rsid w:val="2D355E3C"/>
    <w:rsid w:val="2D6F4378"/>
    <w:rsid w:val="2DED1D9C"/>
    <w:rsid w:val="2DFF521E"/>
    <w:rsid w:val="2E590BD6"/>
    <w:rsid w:val="2EA0509E"/>
    <w:rsid w:val="2EFC74D7"/>
    <w:rsid w:val="2F3F3850"/>
    <w:rsid w:val="2F815A0A"/>
    <w:rsid w:val="2FF73D1D"/>
    <w:rsid w:val="300801AF"/>
    <w:rsid w:val="3009697D"/>
    <w:rsid w:val="30104524"/>
    <w:rsid w:val="30113460"/>
    <w:rsid w:val="30204AC3"/>
    <w:rsid w:val="304B4E50"/>
    <w:rsid w:val="3063463F"/>
    <w:rsid w:val="308F3CFA"/>
    <w:rsid w:val="30E262DA"/>
    <w:rsid w:val="312F7772"/>
    <w:rsid w:val="31A11AE9"/>
    <w:rsid w:val="31A812D2"/>
    <w:rsid w:val="31FC3EF9"/>
    <w:rsid w:val="322E5E24"/>
    <w:rsid w:val="324B16F5"/>
    <w:rsid w:val="32CF303F"/>
    <w:rsid w:val="32FB0035"/>
    <w:rsid w:val="3350673E"/>
    <w:rsid w:val="33576B0C"/>
    <w:rsid w:val="33977D4F"/>
    <w:rsid w:val="33B67A9F"/>
    <w:rsid w:val="33E02E1C"/>
    <w:rsid w:val="341D63B4"/>
    <w:rsid w:val="34483DB0"/>
    <w:rsid w:val="346C42A4"/>
    <w:rsid w:val="34C001D4"/>
    <w:rsid w:val="34E60A39"/>
    <w:rsid w:val="3513289C"/>
    <w:rsid w:val="351D0A98"/>
    <w:rsid w:val="354F755A"/>
    <w:rsid w:val="355C0DE1"/>
    <w:rsid w:val="35893F26"/>
    <w:rsid w:val="35F03911"/>
    <w:rsid w:val="361D3B28"/>
    <w:rsid w:val="36383DD0"/>
    <w:rsid w:val="36F1018E"/>
    <w:rsid w:val="37503F9E"/>
    <w:rsid w:val="376857B1"/>
    <w:rsid w:val="377622CB"/>
    <w:rsid w:val="3780685D"/>
    <w:rsid w:val="37BA2F63"/>
    <w:rsid w:val="37C81053"/>
    <w:rsid w:val="37E817A5"/>
    <w:rsid w:val="38704532"/>
    <w:rsid w:val="38AA04E2"/>
    <w:rsid w:val="38B04014"/>
    <w:rsid w:val="38D77AF6"/>
    <w:rsid w:val="38DA1EF9"/>
    <w:rsid w:val="38E050B1"/>
    <w:rsid w:val="38FC0F21"/>
    <w:rsid w:val="3919393C"/>
    <w:rsid w:val="393D75AA"/>
    <w:rsid w:val="394E75C1"/>
    <w:rsid w:val="396A2FF0"/>
    <w:rsid w:val="398A2C99"/>
    <w:rsid w:val="39B41E0D"/>
    <w:rsid w:val="39B853D1"/>
    <w:rsid w:val="39DB34A5"/>
    <w:rsid w:val="3A3C23C2"/>
    <w:rsid w:val="3A3E27D3"/>
    <w:rsid w:val="3AA0244D"/>
    <w:rsid w:val="3B040851"/>
    <w:rsid w:val="3B5D312D"/>
    <w:rsid w:val="3BA76A03"/>
    <w:rsid w:val="3BE30FA7"/>
    <w:rsid w:val="3BFE1F56"/>
    <w:rsid w:val="3C002C09"/>
    <w:rsid w:val="3C56385D"/>
    <w:rsid w:val="3C895347"/>
    <w:rsid w:val="3CDF3135"/>
    <w:rsid w:val="3CE41001"/>
    <w:rsid w:val="3D0425FF"/>
    <w:rsid w:val="3D177A29"/>
    <w:rsid w:val="3D1D0F09"/>
    <w:rsid w:val="3D4153BD"/>
    <w:rsid w:val="3D5F6F75"/>
    <w:rsid w:val="3D605B64"/>
    <w:rsid w:val="3DB66D48"/>
    <w:rsid w:val="3DFB5183"/>
    <w:rsid w:val="3E086906"/>
    <w:rsid w:val="3E42676A"/>
    <w:rsid w:val="3F26350E"/>
    <w:rsid w:val="3F2B5786"/>
    <w:rsid w:val="3F3E428E"/>
    <w:rsid w:val="3F513CB1"/>
    <w:rsid w:val="3FA86688"/>
    <w:rsid w:val="3FB269C3"/>
    <w:rsid w:val="3FD032C7"/>
    <w:rsid w:val="3FDB1D7E"/>
    <w:rsid w:val="405F4E39"/>
    <w:rsid w:val="406D3E71"/>
    <w:rsid w:val="40767C0D"/>
    <w:rsid w:val="40E45FD9"/>
    <w:rsid w:val="410061AC"/>
    <w:rsid w:val="41122999"/>
    <w:rsid w:val="413E22CD"/>
    <w:rsid w:val="41571D6E"/>
    <w:rsid w:val="41B06223"/>
    <w:rsid w:val="41B829D4"/>
    <w:rsid w:val="41E77728"/>
    <w:rsid w:val="41F8244F"/>
    <w:rsid w:val="421F601D"/>
    <w:rsid w:val="42482AD4"/>
    <w:rsid w:val="424A2571"/>
    <w:rsid w:val="42896114"/>
    <w:rsid w:val="42BE5CDC"/>
    <w:rsid w:val="430C0C47"/>
    <w:rsid w:val="432B6014"/>
    <w:rsid w:val="43A73423"/>
    <w:rsid w:val="43E62EC8"/>
    <w:rsid w:val="4496320C"/>
    <w:rsid w:val="44AC22B9"/>
    <w:rsid w:val="451275EF"/>
    <w:rsid w:val="459C606B"/>
    <w:rsid w:val="46944DFD"/>
    <w:rsid w:val="46C076E7"/>
    <w:rsid w:val="46CC258D"/>
    <w:rsid w:val="46E42C4A"/>
    <w:rsid w:val="472C7633"/>
    <w:rsid w:val="47385FC3"/>
    <w:rsid w:val="474256D1"/>
    <w:rsid w:val="475D2AB1"/>
    <w:rsid w:val="47AF1C8D"/>
    <w:rsid w:val="47D965EA"/>
    <w:rsid w:val="48C3442B"/>
    <w:rsid w:val="48D43EA7"/>
    <w:rsid w:val="48DF22FA"/>
    <w:rsid w:val="48EA0098"/>
    <w:rsid w:val="48ED46B3"/>
    <w:rsid w:val="490E7AB4"/>
    <w:rsid w:val="4939352B"/>
    <w:rsid w:val="49451217"/>
    <w:rsid w:val="496D4057"/>
    <w:rsid w:val="49807693"/>
    <w:rsid w:val="49BF2665"/>
    <w:rsid w:val="49C56BCC"/>
    <w:rsid w:val="49D82CEC"/>
    <w:rsid w:val="49E44F5F"/>
    <w:rsid w:val="4A9D11EE"/>
    <w:rsid w:val="4AD36F68"/>
    <w:rsid w:val="4ADA6DED"/>
    <w:rsid w:val="4BAF1F2E"/>
    <w:rsid w:val="4BC16430"/>
    <w:rsid w:val="4BE72D78"/>
    <w:rsid w:val="4BFD54DB"/>
    <w:rsid w:val="4C164FBE"/>
    <w:rsid w:val="4C271A49"/>
    <w:rsid w:val="4C325CE4"/>
    <w:rsid w:val="4C623D84"/>
    <w:rsid w:val="4CE935CD"/>
    <w:rsid w:val="4CF1433C"/>
    <w:rsid w:val="4D292E6F"/>
    <w:rsid w:val="4D7671A1"/>
    <w:rsid w:val="4DAE7818"/>
    <w:rsid w:val="4DC55A54"/>
    <w:rsid w:val="4DD637A3"/>
    <w:rsid w:val="4DEA0C18"/>
    <w:rsid w:val="4DF60365"/>
    <w:rsid w:val="4E0D2787"/>
    <w:rsid w:val="4E0D453F"/>
    <w:rsid w:val="4E537D88"/>
    <w:rsid w:val="4E5E2A3C"/>
    <w:rsid w:val="4E7B22CD"/>
    <w:rsid w:val="4ECD27ED"/>
    <w:rsid w:val="4F227A3B"/>
    <w:rsid w:val="4F2B0C9E"/>
    <w:rsid w:val="4FCD0FCF"/>
    <w:rsid w:val="4FD86E3E"/>
    <w:rsid w:val="4FDB49B8"/>
    <w:rsid w:val="4FEC07C0"/>
    <w:rsid w:val="4FF35972"/>
    <w:rsid w:val="4FF813ED"/>
    <w:rsid w:val="50043987"/>
    <w:rsid w:val="502F5B05"/>
    <w:rsid w:val="505144B9"/>
    <w:rsid w:val="509960DB"/>
    <w:rsid w:val="50F67A62"/>
    <w:rsid w:val="510E78E7"/>
    <w:rsid w:val="51574F3C"/>
    <w:rsid w:val="51D73B45"/>
    <w:rsid w:val="51F21254"/>
    <w:rsid w:val="523258FE"/>
    <w:rsid w:val="52DF6974"/>
    <w:rsid w:val="53292792"/>
    <w:rsid w:val="53B57275"/>
    <w:rsid w:val="53BF5E61"/>
    <w:rsid w:val="540A2A63"/>
    <w:rsid w:val="54523D1F"/>
    <w:rsid w:val="54A27FE5"/>
    <w:rsid w:val="54BC18DB"/>
    <w:rsid w:val="54E126EC"/>
    <w:rsid w:val="551A77A3"/>
    <w:rsid w:val="552B71DA"/>
    <w:rsid w:val="554D04C2"/>
    <w:rsid w:val="55C80ACA"/>
    <w:rsid w:val="55CE488F"/>
    <w:rsid w:val="55F9355F"/>
    <w:rsid w:val="5606548A"/>
    <w:rsid w:val="564E7DEA"/>
    <w:rsid w:val="56562CF2"/>
    <w:rsid w:val="56896E44"/>
    <w:rsid w:val="56927A26"/>
    <w:rsid w:val="572A016E"/>
    <w:rsid w:val="572C1E22"/>
    <w:rsid w:val="5730509E"/>
    <w:rsid w:val="573D71DF"/>
    <w:rsid w:val="577D0663"/>
    <w:rsid w:val="57AE734F"/>
    <w:rsid w:val="58236A15"/>
    <w:rsid w:val="58321EC6"/>
    <w:rsid w:val="58501D07"/>
    <w:rsid w:val="585A3C87"/>
    <w:rsid w:val="58620FD6"/>
    <w:rsid w:val="586757C9"/>
    <w:rsid w:val="58807305"/>
    <w:rsid w:val="58A446B9"/>
    <w:rsid w:val="58DF11CE"/>
    <w:rsid w:val="597C3E85"/>
    <w:rsid w:val="59B30690"/>
    <w:rsid w:val="59E940B2"/>
    <w:rsid w:val="5A0C7DA1"/>
    <w:rsid w:val="5A2F24DA"/>
    <w:rsid w:val="5AA2024C"/>
    <w:rsid w:val="5ABF28B9"/>
    <w:rsid w:val="5AC22B45"/>
    <w:rsid w:val="5ADD3C34"/>
    <w:rsid w:val="5B24477E"/>
    <w:rsid w:val="5B743E4F"/>
    <w:rsid w:val="5BC6178E"/>
    <w:rsid w:val="5BCA3A6F"/>
    <w:rsid w:val="5C615F1C"/>
    <w:rsid w:val="5D12364D"/>
    <w:rsid w:val="5D5F6EC4"/>
    <w:rsid w:val="5D652999"/>
    <w:rsid w:val="5D6730F6"/>
    <w:rsid w:val="5D8D7C8E"/>
    <w:rsid w:val="5DC61182"/>
    <w:rsid w:val="5DDB3655"/>
    <w:rsid w:val="5E123C25"/>
    <w:rsid w:val="5E2935C7"/>
    <w:rsid w:val="5E515E45"/>
    <w:rsid w:val="5E643D94"/>
    <w:rsid w:val="5E6E14AE"/>
    <w:rsid w:val="5E706E4B"/>
    <w:rsid w:val="5E8748C3"/>
    <w:rsid w:val="5E8819C0"/>
    <w:rsid w:val="5EB43E99"/>
    <w:rsid w:val="5EB54CAB"/>
    <w:rsid w:val="5EC74A26"/>
    <w:rsid w:val="5EDA4E15"/>
    <w:rsid w:val="5EEA182F"/>
    <w:rsid w:val="5EEC4F2C"/>
    <w:rsid w:val="5F137888"/>
    <w:rsid w:val="5F3118C0"/>
    <w:rsid w:val="5F362174"/>
    <w:rsid w:val="5F382F4C"/>
    <w:rsid w:val="5F5652B7"/>
    <w:rsid w:val="5F6C0876"/>
    <w:rsid w:val="5F93061C"/>
    <w:rsid w:val="5FAD15EE"/>
    <w:rsid w:val="5FBD7E58"/>
    <w:rsid w:val="60103A97"/>
    <w:rsid w:val="602B7106"/>
    <w:rsid w:val="60C1328E"/>
    <w:rsid w:val="610C012A"/>
    <w:rsid w:val="61237EB8"/>
    <w:rsid w:val="61622839"/>
    <w:rsid w:val="61FC3A17"/>
    <w:rsid w:val="623A3232"/>
    <w:rsid w:val="624C3ACF"/>
    <w:rsid w:val="626A1B08"/>
    <w:rsid w:val="629666C7"/>
    <w:rsid w:val="62D81168"/>
    <w:rsid w:val="633C34A4"/>
    <w:rsid w:val="63723E5E"/>
    <w:rsid w:val="63BA64B1"/>
    <w:rsid w:val="63F2576A"/>
    <w:rsid w:val="63FA13F4"/>
    <w:rsid w:val="64232B20"/>
    <w:rsid w:val="64365814"/>
    <w:rsid w:val="64CB312C"/>
    <w:rsid w:val="64DB3FFC"/>
    <w:rsid w:val="64E32783"/>
    <w:rsid w:val="65007F4E"/>
    <w:rsid w:val="65633210"/>
    <w:rsid w:val="6585379C"/>
    <w:rsid w:val="658A3520"/>
    <w:rsid w:val="66072141"/>
    <w:rsid w:val="662D4763"/>
    <w:rsid w:val="664513D6"/>
    <w:rsid w:val="664B644A"/>
    <w:rsid w:val="66504CE3"/>
    <w:rsid w:val="666B09B5"/>
    <w:rsid w:val="66885224"/>
    <w:rsid w:val="66BA43AC"/>
    <w:rsid w:val="67000CC4"/>
    <w:rsid w:val="67236729"/>
    <w:rsid w:val="677360E3"/>
    <w:rsid w:val="67F65590"/>
    <w:rsid w:val="68D357B0"/>
    <w:rsid w:val="68D7294D"/>
    <w:rsid w:val="68E21A43"/>
    <w:rsid w:val="68F669DD"/>
    <w:rsid w:val="6939210C"/>
    <w:rsid w:val="69556448"/>
    <w:rsid w:val="69962BD5"/>
    <w:rsid w:val="69AB74A8"/>
    <w:rsid w:val="69CB7493"/>
    <w:rsid w:val="69D4537F"/>
    <w:rsid w:val="6A19792E"/>
    <w:rsid w:val="6A365264"/>
    <w:rsid w:val="6AB30BF4"/>
    <w:rsid w:val="6AD0599B"/>
    <w:rsid w:val="6B981DF8"/>
    <w:rsid w:val="6B9D025C"/>
    <w:rsid w:val="6BA75FB6"/>
    <w:rsid w:val="6BCA0C7C"/>
    <w:rsid w:val="6BF71D90"/>
    <w:rsid w:val="6BFE0F28"/>
    <w:rsid w:val="6BFF52D4"/>
    <w:rsid w:val="6C59487A"/>
    <w:rsid w:val="6CDA2501"/>
    <w:rsid w:val="6D342340"/>
    <w:rsid w:val="6D9B19E5"/>
    <w:rsid w:val="6E842EF8"/>
    <w:rsid w:val="6E984CF8"/>
    <w:rsid w:val="6F5E0FC0"/>
    <w:rsid w:val="6F6F4E5B"/>
    <w:rsid w:val="6FCD69D4"/>
    <w:rsid w:val="70A80E7F"/>
    <w:rsid w:val="70E241C6"/>
    <w:rsid w:val="71034F30"/>
    <w:rsid w:val="71603DA0"/>
    <w:rsid w:val="7215385D"/>
    <w:rsid w:val="722E2B52"/>
    <w:rsid w:val="725E52DF"/>
    <w:rsid w:val="728B1D53"/>
    <w:rsid w:val="72991E28"/>
    <w:rsid w:val="72D26514"/>
    <w:rsid w:val="7310706F"/>
    <w:rsid w:val="74564E86"/>
    <w:rsid w:val="74710315"/>
    <w:rsid w:val="74C434B7"/>
    <w:rsid w:val="753D3F57"/>
    <w:rsid w:val="756D573F"/>
    <w:rsid w:val="75BA3232"/>
    <w:rsid w:val="76A16BB3"/>
    <w:rsid w:val="76D10E3F"/>
    <w:rsid w:val="76E35326"/>
    <w:rsid w:val="76EB17F6"/>
    <w:rsid w:val="77747E1D"/>
    <w:rsid w:val="778411AD"/>
    <w:rsid w:val="77901832"/>
    <w:rsid w:val="77AC6648"/>
    <w:rsid w:val="77B9304C"/>
    <w:rsid w:val="78440AD8"/>
    <w:rsid w:val="785D6683"/>
    <w:rsid w:val="786B73C0"/>
    <w:rsid w:val="78857573"/>
    <w:rsid w:val="789442E7"/>
    <w:rsid w:val="78E74F63"/>
    <w:rsid w:val="79652BD2"/>
    <w:rsid w:val="79DD6591"/>
    <w:rsid w:val="79F41288"/>
    <w:rsid w:val="7A634C39"/>
    <w:rsid w:val="7A6B1587"/>
    <w:rsid w:val="7B1E65F5"/>
    <w:rsid w:val="7B9F5272"/>
    <w:rsid w:val="7BBB7C03"/>
    <w:rsid w:val="7C0741E9"/>
    <w:rsid w:val="7C230F73"/>
    <w:rsid w:val="7CA91DF9"/>
    <w:rsid w:val="7D1B52B4"/>
    <w:rsid w:val="7D277330"/>
    <w:rsid w:val="7D3744CD"/>
    <w:rsid w:val="7D4437CE"/>
    <w:rsid w:val="7D7173A1"/>
    <w:rsid w:val="7DB23C95"/>
    <w:rsid w:val="7E433576"/>
    <w:rsid w:val="7EAF5740"/>
    <w:rsid w:val="7EED3340"/>
    <w:rsid w:val="7F1A7C8D"/>
    <w:rsid w:val="7F727327"/>
    <w:rsid w:val="7FA923D4"/>
    <w:rsid w:val="7FCB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6"/>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81"/>
    <w:qFormat/>
    <w:uiPriority w:val="0"/>
    <w:pPr>
      <w:adjustRightInd w:val="0"/>
      <w:jc w:val="center"/>
      <w:textAlignment w:val="baseline"/>
      <w:outlineLvl w:val="1"/>
    </w:pPr>
    <w:rPr>
      <w:kern w:val="0"/>
      <w:sz w:val="24"/>
      <w:szCs w:val="20"/>
    </w:rPr>
  </w:style>
  <w:style w:type="paragraph" w:styleId="5">
    <w:name w:val="heading 3"/>
    <w:basedOn w:val="6"/>
    <w:next w:val="1"/>
    <w:link w:val="65"/>
    <w:qFormat/>
    <w:uiPriority w:val="9"/>
    <w:pPr>
      <w:spacing w:before="260" w:after="260" w:line="240" w:lineRule="auto"/>
      <w:outlineLvl w:val="2"/>
    </w:pPr>
    <w:rPr>
      <w:rFonts w:ascii="宋体" w:hAnsi="宋体" w:eastAsia="宋体"/>
      <w:szCs w:val="32"/>
    </w:rPr>
  </w:style>
  <w:style w:type="paragraph" w:styleId="6">
    <w:name w:val="heading 4"/>
    <w:basedOn w:val="1"/>
    <w:next w:val="1"/>
    <w:link w:val="63"/>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90"/>
    <w:qFormat/>
    <w:uiPriority w:val="0"/>
    <w:pPr>
      <w:keepNext/>
      <w:keepLines/>
      <w:spacing w:before="280" w:after="290" w:line="376" w:lineRule="auto"/>
      <w:outlineLvl w:val="4"/>
    </w:pPr>
    <w:rPr>
      <w:b/>
      <w:sz w:val="28"/>
      <w:szCs w:val="20"/>
    </w:rPr>
  </w:style>
  <w:style w:type="paragraph" w:styleId="10">
    <w:name w:val="heading 6"/>
    <w:basedOn w:val="1"/>
    <w:next w:val="9"/>
    <w:link w:val="93"/>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94"/>
    <w:qFormat/>
    <w:uiPriority w:val="0"/>
    <w:pPr>
      <w:keepNext/>
      <w:keepLines/>
      <w:spacing w:before="240" w:after="64" w:line="320" w:lineRule="auto"/>
      <w:outlineLvl w:val="6"/>
    </w:pPr>
    <w:rPr>
      <w:b/>
      <w:sz w:val="24"/>
      <w:szCs w:val="20"/>
    </w:rPr>
  </w:style>
  <w:style w:type="paragraph" w:styleId="12">
    <w:name w:val="heading 8"/>
    <w:basedOn w:val="1"/>
    <w:next w:val="9"/>
    <w:link w:val="95"/>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96"/>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02"/>
    <w:qFormat/>
    <w:uiPriority w:val="0"/>
    <w:pPr>
      <w:spacing w:line="360" w:lineRule="auto"/>
    </w:pPr>
    <w:rPr>
      <w:b/>
      <w:bCs/>
      <w:sz w:val="24"/>
    </w:rPr>
  </w:style>
  <w:style w:type="paragraph" w:styleId="3">
    <w:name w:val="Quote"/>
    <w:basedOn w:val="1"/>
    <w:next w:val="1"/>
    <w:link w:val="448"/>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9">
    <w:name w:val="Normal Indent"/>
    <w:basedOn w:val="1"/>
    <w:next w:val="2"/>
    <w:link w:val="67"/>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94"/>
    <w:semiHidden/>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08"/>
    <w:qFormat/>
    <w:uiPriority w:val="0"/>
    <w:pPr>
      <w:spacing w:after="120"/>
    </w:pPr>
    <w:rPr>
      <w:sz w:val="16"/>
      <w:szCs w:val="16"/>
    </w:rPr>
  </w:style>
  <w:style w:type="paragraph" w:styleId="20">
    <w:name w:val="Body Text Indent"/>
    <w:basedOn w:val="1"/>
    <w:link w:val="89"/>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100"/>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8"/>
    <w:qFormat/>
    <w:uiPriority w:val="0"/>
    <w:rPr>
      <w:rFonts w:ascii="宋体" w:hAnsi="Courier New"/>
      <w:sz w:val="32"/>
      <w:szCs w:val="20"/>
    </w:rPr>
  </w:style>
  <w:style w:type="paragraph" w:styleId="26">
    <w:name w:val="Body Text Indent 2"/>
    <w:basedOn w:val="1"/>
    <w:link w:val="103"/>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9"/>
    <w:semiHidden/>
    <w:qFormat/>
    <w:uiPriority w:val="99"/>
    <w:rPr>
      <w:sz w:val="18"/>
      <w:szCs w:val="18"/>
    </w:rPr>
  </w:style>
  <w:style w:type="paragraph" w:styleId="28">
    <w:name w:val="footer"/>
    <w:basedOn w:val="1"/>
    <w:link w:val="107"/>
    <w:qFormat/>
    <w:uiPriority w:val="0"/>
    <w:pPr>
      <w:tabs>
        <w:tab w:val="center" w:pos="4153"/>
        <w:tab w:val="right" w:pos="8306"/>
      </w:tabs>
      <w:snapToGrid w:val="0"/>
      <w:jc w:val="left"/>
    </w:pPr>
    <w:rPr>
      <w:sz w:val="18"/>
      <w:szCs w:val="18"/>
    </w:rPr>
  </w:style>
  <w:style w:type="paragraph" w:styleId="29">
    <w:name w:val="header"/>
    <w:basedOn w:val="1"/>
    <w:link w:val="104"/>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Subtitle"/>
    <w:next w:val="1"/>
    <w:link w:val="319"/>
    <w:qFormat/>
    <w:uiPriority w:val="0"/>
    <w:pPr>
      <w:wordWrap w:val="0"/>
      <w:spacing w:after="60"/>
      <w:jc w:val="center"/>
    </w:pPr>
    <w:rPr>
      <w:rFonts w:ascii="Calibri" w:hAnsi="Calibri" w:eastAsia="宋体" w:cs="Times New Roman"/>
      <w:sz w:val="24"/>
      <w:lang w:val="en-US" w:eastAsia="zh-CN" w:bidi="ar-SA"/>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105"/>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Body Text 2"/>
    <w:basedOn w:val="1"/>
    <w:link w:val="106"/>
    <w:qFormat/>
    <w:uiPriority w:val="0"/>
    <w:pPr>
      <w:spacing w:line="360" w:lineRule="auto"/>
    </w:pPr>
    <w:rPr>
      <w:sz w:val="24"/>
    </w:rPr>
  </w:style>
  <w:style w:type="paragraph" w:styleId="38">
    <w:name w:val="HTML Preformatted"/>
    <w:basedOn w:val="1"/>
    <w:link w:val="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qFormat/>
    <w:uiPriority w:val="99"/>
    <w:pPr>
      <w:spacing w:beforeAutospacing="1" w:afterAutospacing="1"/>
      <w:jc w:val="left"/>
    </w:pPr>
    <w:rPr>
      <w:kern w:val="0"/>
      <w:sz w:val="24"/>
    </w:rPr>
  </w:style>
  <w:style w:type="paragraph" w:styleId="40">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Title"/>
    <w:basedOn w:val="1"/>
    <w:next w:val="1"/>
    <w:link w:val="97"/>
    <w:qFormat/>
    <w:uiPriority w:val="0"/>
    <w:pPr>
      <w:spacing w:before="240" w:after="60"/>
      <w:jc w:val="center"/>
      <w:outlineLvl w:val="0"/>
    </w:pPr>
    <w:rPr>
      <w:rFonts w:ascii="Arial" w:hAnsi="Arial" w:eastAsia="隶书" w:cs="Arial"/>
      <w:b/>
      <w:bCs/>
      <w:sz w:val="32"/>
      <w:szCs w:val="32"/>
    </w:rPr>
  </w:style>
  <w:style w:type="paragraph" w:styleId="42">
    <w:name w:val="annotation subject"/>
    <w:basedOn w:val="18"/>
    <w:next w:val="18"/>
    <w:link w:val="195"/>
    <w:qFormat/>
    <w:uiPriority w:val="99"/>
    <w:pPr>
      <w:autoSpaceDE/>
      <w:autoSpaceDN/>
      <w:adjustRightInd/>
      <w:textAlignment w:val="auto"/>
    </w:pPr>
    <w:rPr>
      <w:rFonts w:ascii="Times New Roman"/>
      <w:b/>
      <w:bCs/>
      <w:kern w:val="2"/>
      <w:sz w:val="21"/>
      <w:szCs w:val="24"/>
    </w:rPr>
  </w:style>
  <w:style w:type="paragraph" w:styleId="43">
    <w:name w:val="Body Text First Indent"/>
    <w:basedOn w:val="2"/>
    <w:link w:val="140"/>
    <w:qFormat/>
    <w:uiPriority w:val="0"/>
    <w:pPr>
      <w:spacing w:after="120" w:line="240" w:lineRule="auto"/>
      <w:ind w:firstLine="420" w:firstLineChars="100"/>
    </w:pPr>
    <w:rPr>
      <w:sz w:val="21"/>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Elegant"/>
    <w:basedOn w:val="44"/>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basedOn w:val="47"/>
    <w:qFormat/>
    <w:uiPriority w:val="0"/>
    <w:rPr>
      <w:b/>
      <w:bCs/>
      <w:sz w:val="20"/>
    </w:rPr>
  </w:style>
  <w:style w:type="character" w:styleId="52">
    <w:name w:val="HTML Definition"/>
    <w:basedOn w:val="47"/>
    <w:semiHidden/>
    <w:unhideWhenUsed/>
    <w:qFormat/>
    <w:uiPriority w:val="0"/>
  </w:style>
  <w:style w:type="character" w:styleId="53">
    <w:name w:val="HTML Typewriter"/>
    <w:basedOn w:val="47"/>
    <w:semiHidden/>
    <w:unhideWhenUsed/>
    <w:qFormat/>
    <w:uiPriority w:val="0"/>
    <w:rPr>
      <w:rFonts w:hint="default" w:ascii="monospace" w:hAnsi="monospace" w:eastAsia="monospace" w:cs="monospace"/>
      <w:sz w:val="20"/>
    </w:rPr>
  </w:style>
  <w:style w:type="character" w:styleId="54">
    <w:name w:val="HTML Acronym"/>
    <w:basedOn w:val="47"/>
    <w:semiHidden/>
    <w:unhideWhenUsed/>
    <w:qFormat/>
    <w:uiPriority w:val="0"/>
    <w:rPr>
      <w:color w:val="D6D6D6"/>
    </w:rPr>
  </w:style>
  <w:style w:type="character" w:styleId="55">
    <w:name w:val="HTML Variable"/>
    <w:basedOn w:val="47"/>
    <w:semiHidden/>
    <w:unhideWhenUsed/>
    <w:qFormat/>
    <w:uiPriority w:val="0"/>
  </w:style>
  <w:style w:type="character" w:styleId="56">
    <w:name w:val="Hyperlink"/>
    <w:qFormat/>
    <w:uiPriority w:val="0"/>
    <w:rPr>
      <w:color w:val="0000FF"/>
      <w:u w:val="single"/>
    </w:rPr>
  </w:style>
  <w:style w:type="character" w:styleId="57">
    <w:name w:val="HTML Code"/>
    <w:basedOn w:val="47"/>
    <w:semiHidden/>
    <w:unhideWhenUsed/>
    <w:qFormat/>
    <w:uiPriority w:val="0"/>
    <w:rPr>
      <w:rFonts w:ascii="monospace" w:hAnsi="monospace" w:eastAsia="monospace" w:cs="monospace"/>
      <w:sz w:val="20"/>
    </w:rPr>
  </w:style>
  <w:style w:type="character" w:styleId="58">
    <w:name w:val="annotation reference"/>
    <w:basedOn w:val="47"/>
    <w:qFormat/>
    <w:uiPriority w:val="99"/>
    <w:rPr>
      <w:sz w:val="21"/>
      <w:szCs w:val="21"/>
    </w:rPr>
  </w:style>
  <w:style w:type="character" w:styleId="59">
    <w:name w:val="HTML Cite"/>
    <w:basedOn w:val="47"/>
    <w:semiHidden/>
    <w:unhideWhenUsed/>
    <w:qFormat/>
    <w:uiPriority w:val="0"/>
  </w:style>
  <w:style w:type="character" w:styleId="60">
    <w:name w:val="HTML Keyboard"/>
    <w:basedOn w:val="47"/>
    <w:semiHidden/>
    <w:unhideWhenUsed/>
    <w:qFormat/>
    <w:uiPriority w:val="0"/>
    <w:rPr>
      <w:rFonts w:hint="default" w:ascii="monospace" w:hAnsi="monospace" w:eastAsia="monospace" w:cs="monospace"/>
      <w:sz w:val="20"/>
    </w:rPr>
  </w:style>
  <w:style w:type="character" w:styleId="61">
    <w:name w:val="HTML Sample"/>
    <w:basedOn w:val="47"/>
    <w:semiHidden/>
    <w:unhideWhenUsed/>
    <w:qFormat/>
    <w:uiPriority w:val="0"/>
    <w:rPr>
      <w:rFonts w:hint="default" w:ascii="monospace" w:hAnsi="monospace" w:eastAsia="monospace" w:cs="monospace"/>
    </w:rPr>
  </w:style>
  <w:style w:type="paragraph" w:styleId="6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63">
    <w:name w:val="标题 4 Char"/>
    <w:link w:val="6"/>
    <w:qFormat/>
    <w:uiPriority w:val="9"/>
    <w:rPr>
      <w:rFonts w:ascii="Arial" w:hAnsi="Arial" w:eastAsia="黑体"/>
      <w:b/>
      <w:bCs/>
      <w:kern w:val="2"/>
      <w:sz w:val="28"/>
      <w:szCs w:val="28"/>
      <w:lang w:val="en-US" w:eastAsia="zh-CN" w:bidi="ar-SA"/>
    </w:rPr>
  </w:style>
  <w:style w:type="paragraph" w:customStyle="1" w:styleId="64">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5">
    <w:name w:val="标题 3 Char1"/>
    <w:link w:val="5"/>
    <w:qFormat/>
    <w:uiPriority w:val="9"/>
    <w:rPr>
      <w:rFonts w:ascii="宋体" w:hAnsi="宋体" w:eastAsia="宋体"/>
      <w:b/>
      <w:bCs/>
      <w:kern w:val="2"/>
      <w:sz w:val="28"/>
      <w:szCs w:val="32"/>
      <w:lang w:val="en-US" w:eastAsia="zh-CN" w:bidi="ar-SA"/>
    </w:rPr>
  </w:style>
  <w:style w:type="character" w:customStyle="1" w:styleId="66">
    <w:name w:val="标题 1 Char"/>
    <w:link w:val="4"/>
    <w:qFormat/>
    <w:uiPriority w:val="0"/>
    <w:rPr>
      <w:rFonts w:ascii="宋体" w:hAnsi="宋体" w:eastAsia="黑体"/>
      <w:b/>
      <w:bCs/>
      <w:kern w:val="44"/>
      <w:sz w:val="28"/>
      <w:szCs w:val="44"/>
      <w:lang w:val="en-US" w:eastAsia="zh-CN" w:bidi="ar-SA"/>
    </w:rPr>
  </w:style>
  <w:style w:type="character" w:customStyle="1" w:styleId="67">
    <w:name w:val="正文缩进 Char"/>
    <w:link w:val="9"/>
    <w:qFormat/>
    <w:uiPriority w:val="0"/>
    <w:rPr>
      <w:rFonts w:eastAsia="宋体"/>
      <w:kern w:val="2"/>
      <w:sz w:val="21"/>
      <w:lang w:val="en-US" w:eastAsia="zh-CN" w:bidi="ar-SA"/>
    </w:rPr>
  </w:style>
  <w:style w:type="character" w:customStyle="1" w:styleId="68">
    <w:name w:val="标题 3 Char"/>
    <w:qFormat/>
    <w:uiPriority w:val="0"/>
    <w:rPr>
      <w:rFonts w:ascii="黑体" w:eastAsia="黑体"/>
      <w:bCs/>
      <w:sz w:val="30"/>
    </w:rPr>
  </w:style>
  <w:style w:type="paragraph" w:customStyle="1" w:styleId="69">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7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71">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7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6">
    <w:name w:val="自定义正文"/>
    <w:basedOn w:val="1"/>
    <w:qFormat/>
    <w:uiPriority w:val="0"/>
    <w:pPr>
      <w:spacing w:afterLines="50"/>
      <w:ind w:left="600" w:leftChars="600"/>
    </w:pPr>
  </w:style>
  <w:style w:type="paragraph" w:customStyle="1" w:styleId="77">
    <w:name w:val="Char Char Char Char Char"/>
    <w:basedOn w:val="1"/>
    <w:qFormat/>
    <w:uiPriority w:val="0"/>
    <w:rPr>
      <w:rFonts w:ascii="Tahoma" w:hAnsi="Tahoma"/>
      <w:sz w:val="24"/>
      <w:szCs w:val="20"/>
    </w:rPr>
  </w:style>
  <w:style w:type="paragraph" w:customStyle="1" w:styleId="7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9">
    <w:name w:val="Char Char"/>
    <w:basedOn w:val="1"/>
    <w:qFormat/>
    <w:uiPriority w:val="0"/>
    <w:rPr>
      <w:rFonts w:ascii="Tahoma" w:hAnsi="Tahoma"/>
      <w:sz w:val="24"/>
      <w:szCs w:val="20"/>
    </w:rPr>
  </w:style>
  <w:style w:type="paragraph" w:customStyle="1" w:styleId="80">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81">
    <w:name w:val="标题 2 Char"/>
    <w:link w:val="7"/>
    <w:qFormat/>
    <w:uiPriority w:val="0"/>
    <w:rPr>
      <w:rFonts w:ascii="宋体" w:hAnsi="宋体" w:eastAsia="宋体"/>
      <w:b/>
      <w:bCs/>
      <w:sz w:val="24"/>
      <w:lang w:val="en-US" w:eastAsia="zh-CN" w:bidi="ar-SA"/>
    </w:rPr>
  </w:style>
  <w:style w:type="paragraph" w:customStyle="1" w:styleId="8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83">
    <w:name w:val="List Paragraph"/>
    <w:basedOn w:val="1"/>
    <w:qFormat/>
    <w:uiPriority w:val="0"/>
    <w:pPr>
      <w:ind w:firstLine="420" w:firstLineChars="200"/>
    </w:pPr>
    <w:rPr>
      <w:rFonts w:ascii="Calibri" w:hAnsi="Calibri"/>
      <w:szCs w:val="22"/>
    </w:rPr>
  </w:style>
  <w:style w:type="paragraph" w:customStyle="1" w:styleId="84">
    <w:name w:val="USE 1"/>
    <w:basedOn w:val="1"/>
    <w:qFormat/>
    <w:uiPriority w:val="0"/>
    <w:pPr>
      <w:spacing w:line="200" w:lineRule="atLeast"/>
      <w:jc w:val="left"/>
    </w:pPr>
    <w:rPr>
      <w:rFonts w:ascii="宋体" w:hAnsi="宋体"/>
      <w:b/>
      <w:sz w:val="24"/>
      <w:szCs w:val="28"/>
    </w:rPr>
  </w:style>
  <w:style w:type="paragraph" w:customStyle="1" w:styleId="85">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6">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7">
    <w:name w:val="样式 标题 2 + 段前: 13 磅 段后: 13 磅 行距: 单倍行距"/>
    <w:basedOn w:val="7"/>
    <w:qFormat/>
    <w:uiPriority w:val="0"/>
    <w:pPr>
      <w:adjustRightInd/>
      <w:spacing w:before="0" w:after="0"/>
      <w:jc w:val="both"/>
      <w:textAlignment w:val="auto"/>
    </w:pPr>
    <w:rPr>
      <w:rFonts w:ascii="Cambria" w:hAnsi="Cambria" w:cs="宋体"/>
      <w:kern w:val="2"/>
      <w:sz w:val="32"/>
    </w:rPr>
  </w:style>
  <w:style w:type="character" w:customStyle="1" w:styleId="88">
    <w:name w:val="H4 Char2"/>
    <w:qFormat/>
    <w:uiPriority w:val="0"/>
    <w:rPr>
      <w:rFonts w:ascii="Arial" w:hAnsi="Arial" w:eastAsia="黑体"/>
      <w:b/>
      <w:bCs/>
      <w:kern w:val="2"/>
      <w:sz w:val="28"/>
      <w:szCs w:val="28"/>
      <w:lang w:val="en-US" w:eastAsia="zh-CN" w:bidi="ar-SA"/>
    </w:rPr>
  </w:style>
  <w:style w:type="character" w:customStyle="1" w:styleId="89">
    <w:name w:val="正文文本缩进 Char"/>
    <w:link w:val="20"/>
    <w:qFormat/>
    <w:uiPriority w:val="0"/>
    <w:rPr>
      <w:rFonts w:eastAsia="宋体"/>
      <w:kern w:val="2"/>
      <w:sz w:val="21"/>
      <w:szCs w:val="24"/>
      <w:lang w:val="en-US" w:eastAsia="zh-CN" w:bidi="ar-SA"/>
    </w:rPr>
  </w:style>
  <w:style w:type="character" w:customStyle="1" w:styleId="90">
    <w:name w:val="标题 5 Char"/>
    <w:link w:val="8"/>
    <w:qFormat/>
    <w:uiPriority w:val="0"/>
    <w:rPr>
      <w:rFonts w:eastAsia="宋体"/>
      <w:b/>
      <w:kern w:val="2"/>
      <w:sz w:val="28"/>
      <w:lang w:val="en-US" w:eastAsia="zh-CN" w:bidi="ar-SA"/>
    </w:rPr>
  </w:style>
  <w:style w:type="character" w:customStyle="1" w:styleId="91">
    <w:name w:val="第*章 Char"/>
    <w:qFormat/>
    <w:uiPriority w:val="0"/>
    <w:rPr>
      <w:rFonts w:ascii="Arial" w:hAnsi="Arial" w:eastAsia="黑体"/>
      <w:b/>
      <w:bCs/>
      <w:kern w:val="2"/>
      <w:sz w:val="32"/>
      <w:szCs w:val="32"/>
    </w:rPr>
  </w:style>
  <w:style w:type="character" w:customStyle="1" w:styleId="92">
    <w:name w:val="章标题1 Char"/>
    <w:qFormat/>
    <w:uiPriority w:val="0"/>
    <w:rPr>
      <w:rFonts w:eastAsia="宋体"/>
      <w:b/>
      <w:bCs/>
      <w:kern w:val="2"/>
      <w:sz w:val="32"/>
      <w:szCs w:val="32"/>
      <w:lang w:val="en-US" w:eastAsia="zh-CN" w:bidi="ar-SA"/>
    </w:rPr>
  </w:style>
  <w:style w:type="character" w:customStyle="1" w:styleId="93">
    <w:name w:val="标题 6 Char"/>
    <w:link w:val="10"/>
    <w:qFormat/>
    <w:uiPriority w:val="0"/>
    <w:rPr>
      <w:rFonts w:ascii="Arial" w:hAnsi="Arial" w:eastAsia="黑体"/>
      <w:b/>
      <w:kern w:val="2"/>
      <w:sz w:val="24"/>
      <w:lang w:val="en-US" w:eastAsia="zh-CN" w:bidi="ar-SA"/>
    </w:rPr>
  </w:style>
  <w:style w:type="character" w:customStyle="1" w:styleId="94">
    <w:name w:val="标题 7 Char"/>
    <w:link w:val="11"/>
    <w:qFormat/>
    <w:uiPriority w:val="0"/>
    <w:rPr>
      <w:rFonts w:eastAsia="宋体"/>
      <w:b/>
      <w:kern w:val="2"/>
      <w:sz w:val="24"/>
      <w:lang w:val="en-US" w:eastAsia="zh-CN" w:bidi="ar-SA"/>
    </w:rPr>
  </w:style>
  <w:style w:type="character" w:customStyle="1" w:styleId="95">
    <w:name w:val="标题 8 Char"/>
    <w:link w:val="12"/>
    <w:qFormat/>
    <w:uiPriority w:val="0"/>
    <w:rPr>
      <w:rFonts w:ascii="Arial" w:hAnsi="Arial" w:eastAsia="黑体"/>
      <w:kern w:val="2"/>
      <w:sz w:val="24"/>
      <w:lang w:val="en-US" w:eastAsia="zh-CN" w:bidi="ar-SA"/>
    </w:rPr>
  </w:style>
  <w:style w:type="character" w:customStyle="1" w:styleId="96">
    <w:name w:val="标题 9 Char"/>
    <w:link w:val="13"/>
    <w:qFormat/>
    <w:uiPriority w:val="0"/>
    <w:rPr>
      <w:rFonts w:ascii="Arial" w:hAnsi="Arial" w:eastAsia="黑体"/>
      <w:kern w:val="2"/>
      <w:sz w:val="21"/>
      <w:lang w:val="en-US" w:eastAsia="zh-CN" w:bidi="ar-SA"/>
    </w:rPr>
  </w:style>
  <w:style w:type="character" w:customStyle="1" w:styleId="97">
    <w:name w:val="标题 Char"/>
    <w:link w:val="41"/>
    <w:qFormat/>
    <w:uiPriority w:val="0"/>
    <w:rPr>
      <w:rFonts w:ascii="Arial" w:hAnsi="Arial" w:eastAsia="隶书" w:cs="Arial"/>
      <w:b/>
      <w:bCs/>
      <w:kern w:val="2"/>
      <w:sz w:val="32"/>
      <w:szCs w:val="32"/>
      <w:lang w:val="en-US" w:eastAsia="zh-CN" w:bidi="ar-SA"/>
    </w:rPr>
  </w:style>
  <w:style w:type="character" w:customStyle="1" w:styleId="98">
    <w:name w:val="日期 Char"/>
    <w:link w:val="25"/>
    <w:qFormat/>
    <w:uiPriority w:val="0"/>
    <w:rPr>
      <w:rFonts w:ascii="宋体" w:hAnsi="Courier New" w:eastAsia="宋体"/>
      <w:kern w:val="2"/>
      <w:sz w:val="32"/>
      <w:lang w:val="en-US" w:eastAsia="zh-CN" w:bidi="ar-SA"/>
    </w:rPr>
  </w:style>
  <w:style w:type="character" w:customStyle="1" w:styleId="99">
    <w:name w:val="HTML 预设格式 Char"/>
    <w:link w:val="38"/>
    <w:qFormat/>
    <w:uiPriority w:val="0"/>
    <w:rPr>
      <w:rFonts w:ascii="Arial Unicode MS" w:hAnsi="Arial Unicode MS" w:eastAsia="Arial Unicode MS"/>
      <w:color w:val="000000"/>
      <w:lang w:val="en-US" w:eastAsia="zh-CN" w:bidi="ar-SA"/>
    </w:rPr>
  </w:style>
  <w:style w:type="character" w:customStyle="1" w:styleId="100">
    <w:name w:val="纯文本 Char"/>
    <w:link w:val="23"/>
    <w:qFormat/>
    <w:uiPriority w:val="0"/>
    <w:rPr>
      <w:rFonts w:ascii="宋体" w:hAnsi="Courier New" w:eastAsia="宋体"/>
      <w:kern w:val="2"/>
      <w:sz w:val="21"/>
      <w:lang w:val="en-US" w:eastAsia="zh-CN" w:bidi="ar-SA"/>
    </w:rPr>
  </w:style>
  <w:style w:type="character" w:customStyle="1" w:styleId="101">
    <w:name w:val="正文文字首行缩进 Char"/>
    <w:qFormat/>
    <w:uiPriority w:val="0"/>
    <w:rPr>
      <w:kern w:val="2"/>
      <w:sz w:val="21"/>
      <w:szCs w:val="24"/>
    </w:rPr>
  </w:style>
  <w:style w:type="character" w:customStyle="1" w:styleId="102">
    <w:name w:val="正文文本 Char"/>
    <w:link w:val="2"/>
    <w:qFormat/>
    <w:uiPriority w:val="0"/>
    <w:rPr>
      <w:rFonts w:eastAsia="宋体"/>
      <w:b/>
      <w:bCs/>
      <w:kern w:val="2"/>
      <w:sz w:val="24"/>
      <w:szCs w:val="24"/>
      <w:lang w:val="en-US" w:eastAsia="zh-CN" w:bidi="ar-SA"/>
    </w:rPr>
  </w:style>
  <w:style w:type="character" w:customStyle="1" w:styleId="103">
    <w:name w:val="正文文本缩进 2 Char"/>
    <w:link w:val="26"/>
    <w:qFormat/>
    <w:uiPriority w:val="0"/>
    <w:rPr>
      <w:rFonts w:ascii="宋体" w:hAnsi="宋体" w:eastAsia="宋体"/>
      <w:kern w:val="2"/>
      <w:sz w:val="21"/>
      <w:szCs w:val="24"/>
      <w:lang w:val="en-US" w:eastAsia="zh-CN" w:bidi="ar-SA"/>
    </w:rPr>
  </w:style>
  <w:style w:type="character" w:customStyle="1" w:styleId="104">
    <w:name w:val="页眉 Char"/>
    <w:link w:val="29"/>
    <w:qFormat/>
    <w:uiPriority w:val="99"/>
    <w:rPr>
      <w:rFonts w:eastAsia="宋体"/>
      <w:kern w:val="2"/>
      <w:sz w:val="18"/>
      <w:szCs w:val="18"/>
      <w:lang w:val="en-US" w:eastAsia="zh-CN" w:bidi="ar-SA"/>
    </w:rPr>
  </w:style>
  <w:style w:type="character" w:customStyle="1" w:styleId="105">
    <w:name w:val="正文文本缩进 3 Char"/>
    <w:link w:val="34"/>
    <w:qFormat/>
    <w:uiPriority w:val="0"/>
    <w:rPr>
      <w:rFonts w:ascii="宋体" w:eastAsia="宋体"/>
      <w:b/>
      <w:bCs/>
      <w:kern w:val="2"/>
      <w:sz w:val="24"/>
      <w:szCs w:val="24"/>
      <w:lang w:val="en-US" w:eastAsia="zh-CN" w:bidi="ar-SA"/>
    </w:rPr>
  </w:style>
  <w:style w:type="character" w:customStyle="1" w:styleId="106">
    <w:name w:val="正文文本 2 Char"/>
    <w:link w:val="37"/>
    <w:qFormat/>
    <w:uiPriority w:val="0"/>
    <w:rPr>
      <w:rFonts w:eastAsia="宋体"/>
      <w:kern w:val="2"/>
      <w:sz w:val="24"/>
      <w:szCs w:val="24"/>
      <w:lang w:val="en-US" w:eastAsia="zh-CN" w:bidi="ar-SA"/>
    </w:rPr>
  </w:style>
  <w:style w:type="character" w:customStyle="1" w:styleId="107">
    <w:name w:val="页脚 Char"/>
    <w:link w:val="28"/>
    <w:qFormat/>
    <w:uiPriority w:val="0"/>
    <w:rPr>
      <w:rFonts w:eastAsia="宋体"/>
      <w:kern w:val="2"/>
      <w:sz w:val="18"/>
      <w:szCs w:val="18"/>
      <w:lang w:val="en-US" w:eastAsia="zh-CN" w:bidi="ar-SA"/>
    </w:rPr>
  </w:style>
  <w:style w:type="character" w:customStyle="1" w:styleId="108">
    <w:name w:val="正文文本 3 Char"/>
    <w:link w:val="19"/>
    <w:qFormat/>
    <w:uiPriority w:val="0"/>
    <w:rPr>
      <w:rFonts w:eastAsia="宋体"/>
      <w:kern w:val="2"/>
      <w:sz w:val="16"/>
      <w:szCs w:val="16"/>
      <w:lang w:val="en-US" w:eastAsia="zh-CN" w:bidi="ar-SA"/>
    </w:rPr>
  </w:style>
  <w:style w:type="character" w:customStyle="1" w:styleId="109">
    <w:name w:val="批注框文本 Char"/>
    <w:link w:val="27"/>
    <w:semiHidden/>
    <w:qFormat/>
    <w:uiPriority w:val="99"/>
    <w:rPr>
      <w:rFonts w:eastAsia="宋体"/>
      <w:kern w:val="2"/>
      <w:sz w:val="18"/>
      <w:szCs w:val="18"/>
      <w:lang w:val="en-US" w:eastAsia="zh-CN" w:bidi="ar-SA"/>
    </w:rPr>
  </w:style>
  <w:style w:type="paragraph" w:customStyle="1" w:styleId="110">
    <w:name w:val="样式1"/>
    <w:basedOn w:val="41"/>
    <w:qFormat/>
    <w:uiPriority w:val="0"/>
    <w:pPr>
      <w:spacing w:before="120" w:after="120"/>
    </w:pPr>
    <w:rPr>
      <w:rFonts w:eastAsia="黑体"/>
      <w:b w:val="0"/>
      <w:sz w:val="30"/>
      <w:szCs w:val="21"/>
    </w:rPr>
  </w:style>
  <w:style w:type="paragraph" w:customStyle="1" w:styleId="111">
    <w:name w:val="样式2"/>
    <w:basedOn w:val="41"/>
    <w:next w:val="110"/>
    <w:qFormat/>
    <w:uiPriority w:val="0"/>
    <w:pPr>
      <w:spacing w:before="120" w:after="120"/>
    </w:pPr>
    <w:rPr>
      <w:rFonts w:eastAsia="黑体"/>
      <w:b w:val="0"/>
      <w:sz w:val="30"/>
      <w:szCs w:val="30"/>
    </w:rPr>
  </w:style>
  <w:style w:type="character" w:customStyle="1" w:styleId="112">
    <w:name w:val="标题 3 Char Char"/>
    <w:qFormat/>
    <w:uiPriority w:val="0"/>
    <w:rPr>
      <w:rFonts w:eastAsia="宋体"/>
      <w:b/>
      <w:bCs/>
      <w:kern w:val="2"/>
      <w:sz w:val="32"/>
      <w:szCs w:val="32"/>
      <w:lang w:val="en-US" w:eastAsia="zh-CN" w:bidi="ar-SA"/>
    </w:rPr>
  </w:style>
  <w:style w:type="paragraph" w:customStyle="1" w:styleId="113">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4">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5">
    <w:name w:val="--规划正文"/>
    <w:basedOn w:val="1"/>
    <w:qFormat/>
    <w:uiPriority w:val="0"/>
    <w:pPr>
      <w:spacing w:line="360" w:lineRule="auto"/>
      <w:ind w:firstLine="200" w:firstLineChars="200"/>
    </w:pPr>
    <w:rPr>
      <w:szCs w:val="20"/>
    </w:rPr>
  </w:style>
  <w:style w:type="paragraph" w:customStyle="1" w:styleId="116">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7">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8">
    <w:name w:val="样式4"/>
    <w:basedOn w:val="1"/>
    <w:qFormat/>
    <w:uiPriority w:val="0"/>
    <w:pPr>
      <w:tabs>
        <w:tab w:val="left" w:pos="842"/>
      </w:tabs>
      <w:spacing w:line="360" w:lineRule="auto"/>
      <w:ind w:left="842" w:hanging="420"/>
    </w:pPr>
    <w:rPr>
      <w:sz w:val="24"/>
    </w:rPr>
  </w:style>
  <w:style w:type="paragraph" w:customStyle="1" w:styleId="119">
    <w:name w:val="文字"/>
    <w:basedOn w:val="1"/>
    <w:qFormat/>
    <w:uiPriority w:val="0"/>
    <w:pPr>
      <w:tabs>
        <w:tab w:val="left" w:pos="8520"/>
      </w:tabs>
      <w:spacing w:line="312" w:lineRule="auto"/>
      <w:ind w:right="-210" w:firstLine="556"/>
    </w:pPr>
    <w:rPr>
      <w:rFonts w:ascii="宋体"/>
      <w:sz w:val="28"/>
      <w:szCs w:val="20"/>
    </w:rPr>
  </w:style>
  <w:style w:type="paragraph" w:customStyle="1" w:styleId="120">
    <w:name w:val="--规划-表格-居左"/>
    <w:basedOn w:val="115"/>
    <w:qFormat/>
    <w:uiPriority w:val="0"/>
    <w:pPr>
      <w:spacing w:line="240" w:lineRule="auto"/>
      <w:ind w:firstLine="0" w:firstLineChars="0"/>
    </w:pPr>
    <w:rPr>
      <w:sz w:val="20"/>
    </w:rPr>
  </w:style>
  <w:style w:type="paragraph" w:customStyle="1" w:styleId="121">
    <w:name w:val="--规划-表格-居中"/>
    <w:basedOn w:val="115"/>
    <w:qFormat/>
    <w:uiPriority w:val="0"/>
    <w:pPr>
      <w:spacing w:line="240" w:lineRule="auto"/>
      <w:ind w:firstLine="0" w:firstLineChars="0"/>
      <w:jc w:val="center"/>
    </w:pPr>
    <w:rPr>
      <w:sz w:val="20"/>
    </w:rPr>
  </w:style>
  <w:style w:type="paragraph" w:customStyle="1" w:styleId="122">
    <w:name w:val="--编号内缩进"/>
    <w:basedOn w:val="1"/>
    <w:qFormat/>
    <w:uiPriority w:val="0"/>
    <w:pPr>
      <w:spacing w:line="360" w:lineRule="auto"/>
      <w:ind w:left="420" w:firstLine="200" w:firstLineChars="200"/>
    </w:pPr>
    <w:rPr>
      <w:szCs w:val="21"/>
    </w:rPr>
  </w:style>
  <w:style w:type="paragraph" w:customStyle="1" w:styleId="123">
    <w:name w:val="--规划-题注"/>
    <w:basedOn w:val="1"/>
    <w:next w:val="115"/>
    <w:qFormat/>
    <w:uiPriority w:val="0"/>
    <w:pPr>
      <w:spacing w:line="360" w:lineRule="auto"/>
      <w:jc w:val="center"/>
    </w:pPr>
    <w:rPr>
      <w:rFonts w:eastAsia="黑体"/>
    </w:rPr>
  </w:style>
  <w:style w:type="paragraph" w:customStyle="1" w:styleId="124">
    <w:name w:val="--规划-图和表"/>
    <w:next w:val="115"/>
    <w:qFormat/>
    <w:uiPriority w:val="0"/>
    <w:pPr>
      <w:jc w:val="center"/>
    </w:pPr>
    <w:rPr>
      <w:rFonts w:ascii="Times New Roman" w:hAnsi="Times New Roman" w:eastAsia="宋体" w:cs="Times New Roman"/>
      <w:kern w:val="2"/>
      <w:sz w:val="21"/>
      <w:lang w:val="en-US" w:eastAsia="zh-CN" w:bidi="ar-SA"/>
    </w:rPr>
  </w:style>
  <w:style w:type="paragraph" w:customStyle="1" w:styleId="125">
    <w:name w:val="--规划-小标题"/>
    <w:basedOn w:val="1"/>
    <w:next w:val="115"/>
    <w:qFormat/>
    <w:uiPriority w:val="0"/>
    <w:pPr>
      <w:keepNext/>
      <w:keepLines/>
      <w:spacing w:line="360" w:lineRule="auto"/>
      <w:outlineLvl w:val="4"/>
    </w:pPr>
    <w:rPr>
      <w:rFonts w:eastAsia="黑体"/>
    </w:rPr>
  </w:style>
  <w:style w:type="paragraph" w:customStyle="1" w:styleId="126">
    <w:name w:val="--规划正文 Char"/>
    <w:basedOn w:val="1"/>
    <w:qFormat/>
    <w:uiPriority w:val="0"/>
    <w:pPr>
      <w:spacing w:line="360" w:lineRule="auto"/>
      <w:ind w:firstLine="200" w:firstLineChars="200"/>
    </w:pPr>
    <w:rPr>
      <w:sz w:val="24"/>
    </w:rPr>
  </w:style>
  <w:style w:type="paragraph" w:customStyle="1" w:styleId="127">
    <w:name w:val="缺省文本"/>
    <w:basedOn w:val="1"/>
    <w:qFormat/>
    <w:uiPriority w:val="0"/>
    <w:pPr>
      <w:autoSpaceDE w:val="0"/>
      <w:autoSpaceDN w:val="0"/>
      <w:adjustRightInd w:val="0"/>
      <w:jc w:val="left"/>
    </w:pPr>
    <w:rPr>
      <w:kern w:val="0"/>
    </w:rPr>
  </w:style>
  <w:style w:type="paragraph" w:customStyle="1" w:styleId="128">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9">
    <w:name w:val="--规划正文 Char Char"/>
    <w:qFormat/>
    <w:uiPriority w:val="0"/>
    <w:rPr>
      <w:rFonts w:eastAsia="宋体"/>
      <w:kern w:val="2"/>
      <w:sz w:val="24"/>
      <w:szCs w:val="24"/>
      <w:lang w:val="en-US" w:eastAsia="zh-CN" w:bidi="ar-SA"/>
    </w:rPr>
  </w:style>
  <w:style w:type="paragraph" w:customStyle="1" w:styleId="130">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31">
    <w:name w:val="--规划正文 Char1"/>
    <w:qFormat/>
    <w:uiPriority w:val="0"/>
    <w:rPr>
      <w:rFonts w:eastAsia="宋体"/>
      <w:kern w:val="2"/>
      <w:sz w:val="21"/>
      <w:lang w:val="en-US" w:eastAsia="zh-CN" w:bidi="ar-SA"/>
    </w:rPr>
  </w:style>
  <w:style w:type="paragraph" w:customStyle="1" w:styleId="132">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3">
    <w:name w:val="列表项目"/>
    <w:basedOn w:val="1"/>
    <w:qFormat/>
    <w:uiPriority w:val="0"/>
    <w:pPr>
      <w:tabs>
        <w:tab w:val="left" w:pos="420"/>
        <w:tab w:val="left" w:pos="1080"/>
      </w:tabs>
      <w:spacing w:line="288" w:lineRule="auto"/>
      <w:ind w:left="1080" w:hanging="360"/>
    </w:pPr>
    <w:rPr>
      <w:sz w:val="24"/>
      <w:szCs w:val="20"/>
    </w:rPr>
  </w:style>
  <w:style w:type="character" w:customStyle="1" w:styleId="134">
    <w:name w:val="content1"/>
    <w:qFormat/>
    <w:uiPriority w:val="0"/>
    <w:rPr>
      <w:rFonts w:hint="default" w:ascii="??" w:hAnsi="??"/>
      <w:sz w:val="16"/>
      <w:szCs w:val="16"/>
      <w:u w:val="none"/>
    </w:rPr>
  </w:style>
  <w:style w:type="character" w:customStyle="1" w:styleId="135">
    <w:name w:val="unnamed4"/>
    <w:basedOn w:val="47"/>
    <w:qFormat/>
    <w:uiPriority w:val="0"/>
  </w:style>
  <w:style w:type="character" w:customStyle="1" w:styleId="136">
    <w:name w:val="font2"/>
    <w:basedOn w:val="47"/>
    <w:qFormat/>
    <w:uiPriority w:val="0"/>
  </w:style>
  <w:style w:type="character" w:customStyle="1" w:styleId="137">
    <w:name w:val="font41"/>
    <w:qFormat/>
    <w:uiPriority w:val="0"/>
    <w:rPr>
      <w:color w:val="000000"/>
      <w:spacing w:val="260"/>
      <w:sz w:val="18"/>
      <w:szCs w:val="18"/>
      <w:u w:val="none"/>
    </w:rPr>
  </w:style>
  <w:style w:type="paragraph" w:customStyle="1" w:styleId="138">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9">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40">
    <w:name w:val="正文首行缩进 Char"/>
    <w:link w:val="43"/>
    <w:qFormat/>
    <w:uiPriority w:val="0"/>
    <w:rPr>
      <w:rFonts w:eastAsia="宋体"/>
      <w:b/>
      <w:bCs/>
      <w:kern w:val="2"/>
      <w:sz w:val="21"/>
      <w:szCs w:val="24"/>
      <w:lang w:val="en-US" w:eastAsia="zh-CN" w:bidi="ar-SA"/>
    </w:rPr>
  </w:style>
  <w:style w:type="paragraph" w:customStyle="1" w:styleId="141">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42">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43">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4">
    <w:name w:val="mode"/>
    <w:basedOn w:val="47"/>
    <w:qFormat/>
    <w:uiPriority w:val="0"/>
  </w:style>
  <w:style w:type="paragraph" w:customStyle="1" w:styleId="145">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6">
    <w:name w:val="unnamed3"/>
    <w:basedOn w:val="47"/>
    <w:qFormat/>
    <w:uiPriority w:val="0"/>
  </w:style>
  <w:style w:type="paragraph" w:customStyle="1" w:styleId="147">
    <w:name w:val="8"/>
    <w:basedOn w:val="1"/>
    <w:next w:val="20"/>
    <w:qFormat/>
    <w:uiPriority w:val="0"/>
    <w:pPr>
      <w:spacing w:after="120"/>
      <w:ind w:left="420" w:leftChars="200"/>
    </w:pPr>
  </w:style>
  <w:style w:type="paragraph" w:customStyle="1" w:styleId="148">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9">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50">
    <w:name w:val="5"/>
    <w:basedOn w:val="1"/>
    <w:qFormat/>
    <w:uiPriority w:val="0"/>
    <w:pPr>
      <w:autoSpaceDE w:val="0"/>
      <w:autoSpaceDN w:val="0"/>
      <w:adjustRightInd w:val="0"/>
      <w:jc w:val="left"/>
    </w:pPr>
    <w:rPr>
      <w:rFonts w:ascii="宋体"/>
      <w:b/>
      <w:bCs/>
      <w:kern w:val="0"/>
      <w:sz w:val="18"/>
      <w:szCs w:val="18"/>
    </w:rPr>
  </w:style>
  <w:style w:type="paragraph" w:customStyle="1" w:styleId="151">
    <w:name w:val="6"/>
    <w:basedOn w:val="150"/>
    <w:qFormat/>
    <w:uiPriority w:val="0"/>
    <w:pPr>
      <w:spacing w:line="270" w:lineRule="atLeast"/>
      <w:jc w:val="both"/>
    </w:pPr>
    <w:rPr>
      <w:b w:val="0"/>
      <w:bCs w:val="0"/>
    </w:rPr>
  </w:style>
  <w:style w:type="paragraph" w:customStyle="1" w:styleId="152">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53">
    <w:name w:val="姜文清定义的正文"/>
    <w:basedOn w:val="1"/>
    <w:qFormat/>
    <w:uiPriority w:val="0"/>
    <w:pPr>
      <w:spacing w:line="240" w:lineRule="atLeast"/>
      <w:ind w:firstLine="567"/>
    </w:pPr>
    <w:rPr>
      <w:szCs w:val="20"/>
    </w:rPr>
  </w:style>
  <w:style w:type="paragraph" w:customStyle="1" w:styleId="15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5">
    <w:name w:val="CM2"/>
    <w:basedOn w:val="154"/>
    <w:next w:val="154"/>
    <w:qFormat/>
    <w:uiPriority w:val="0"/>
    <w:pPr>
      <w:spacing w:line="200" w:lineRule="atLeast"/>
    </w:pPr>
    <w:rPr>
      <w:rFonts w:ascii="Arial" w:hAnsi="Arial" w:eastAsia="宋体" w:cs="Times New Roman"/>
      <w:color w:val="auto"/>
    </w:rPr>
  </w:style>
  <w:style w:type="paragraph" w:customStyle="1" w:styleId="156">
    <w:name w:val="Normal Paragraph"/>
    <w:basedOn w:val="1"/>
    <w:qFormat/>
    <w:uiPriority w:val="0"/>
    <w:pPr>
      <w:widowControl/>
      <w:spacing w:before="120" w:line="360" w:lineRule="auto"/>
      <w:ind w:firstLine="425"/>
    </w:pPr>
    <w:rPr>
      <w:kern w:val="0"/>
      <w:sz w:val="24"/>
    </w:rPr>
  </w:style>
  <w:style w:type="character" w:customStyle="1" w:styleId="157">
    <w:name w:val="blue"/>
    <w:basedOn w:val="47"/>
    <w:qFormat/>
    <w:uiPriority w:val="0"/>
  </w:style>
  <w:style w:type="paragraph" w:customStyle="1" w:styleId="158">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9">
    <w:name w:val="font"/>
    <w:basedOn w:val="47"/>
    <w:qFormat/>
    <w:uiPriority w:val="0"/>
  </w:style>
  <w:style w:type="character" w:customStyle="1" w:styleId="160">
    <w:name w:val="font11"/>
    <w:qFormat/>
    <w:uiPriority w:val="0"/>
    <w:rPr>
      <w:rFonts w:hint="default" w:ascii="ˎ̥" w:hAnsi="ˎ̥"/>
    </w:rPr>
  </w:style>
  <w:style w:type="paragraph" w:customStyle="1" w:styleId="161">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62">
    <w:name w:val="proddescription"/>
    <w:basedOn w:val="47"/>
    <w:qFormat/>
    <w:uiPriority w:val="0"/>
  </w:style>
  <w:style w:type="character" w:customStyle="1" w:styleId="163">
    <w:name w:val="prodheadlines"/>
    <w:basedOn w:val="47"/>
    <w:qFormat/>
    <w:uiPriority w:val="0"/>
  </w:style>
  <w:style w:type="character" w:customStyle="1" w:styleId="164">
    <w:name w:val="text"/>
    <w:basedOn w:val="47"/>
    <w:qFormat/>
    <w:uiPriority w:val="0"/>
  </w:style>
  <w:style w:type="paragraph" w:customStyle="1" w:styleId="165">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6">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7">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8">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9">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70">
    <w:name w:val="段落正文"/>
    <w:basedOn w:val="23"/>
    <w:qFormat/>
    <w:uiPriority w:val="0"/>
    <w:pPr>
      <w:ind w:firstLine="560" w:firstLineChars="200"/>
    </w:pPr>
    <w:rPr>
      <w:sz w:val="28"/>
    </w:rPr>
  </w:style>
  <w:style w:type="character" w:customStyle="1" w:styleId="171">
    <w:name w:val="gray6"/>
    <w:basedOn w:val="47"/>
    <w:qFormat/>
    <w:uiPriority w:val="0"/>
  </w:style>
  <w:style w:type="character" w:customStyle="1" w:styleId="172">
    <w:name w:val="style9"/>
    <w:basedOn w:val="47"/>
    <w:qFormat/>
    <w:uiPriority w:val="0"/>
  </w:style>
  <w:style w:type="paragraph" w:customStyle="1" w:styleId="173">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4">
    <w:name w:val="grame"/>
    <w:basedOn w:val="47"/>
    <w:qFormat/>
    <w:uiPriority w:val="0"/>
  </w:style>
  <w:style w:type="paragraph" w:customStyle="1" w:styleId="175">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Char1"/>
    <w:basedOn w:val="1"/>
    <w:qFormat/>
    <w:uiPriority w:val="0"/>
    <w:pPr>
      <w:jc w:val="left"/>
    </w:pPr>
    <w:rPr>
      <w:rFonts w:ascii="Tahoma" w:hAnsi="Tahoma"/>
      <w:sz w:val="24"/>
      <w:szCs w:val="20"/>
    </w:rPr>
  </w:style>
  <w:style w:type="paragraph" w:customStyle="1" w:styleId="177">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8">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9">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8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81">
    <w:name w:val="font6"/>
    <w:basedOn w:val="1"/>
    <w:qFormat/>
    <w:uiPriority w:val="0"/>
    <w:pPr>
      <w:widowControl/>
      <w:spacing w:before="100" w:beforeAutospacing="1" w:after="100" w:afterAutospacing="1"/>
      <w:jc w:val="left"/>
    </w:pPr>
    <w:rPr>
      <w:kern w:val="0"/>
      <w:sz w:val="24"/>
    </w:rPr>
  </w:style>
  <w:style w:type="paragraph" w:customStyle="1" w:styleId="18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4">
    <w:name w:val="表格字"/>
    <w:basedOn w:val="1"/>
    <w:qFormat/>
    <w:uiPriority w:val="0"/>
    <w:pPr>
      <w:adjustRightInd w:val="0"/>
      <w:jc w:val="center"/>
    </w:pPr>
    <w:rPr>
      <w:rFonts w:ascii="宋体"/>
      <w:sz w:val="24"/>
      <w:szCs w:val="20"/>
    </w:rPr>
  </w:style>
  <w:style w:type="character" w:customStyle="1" w:styleId="185">
    <w:name w:val="样式 小三 加粗"/>
    <w:qFormat/>
    <w:uiPriority w:val="0"/>
    <w:rPr>
      <w:rFonts w:eastAsia="宋体"/>
      <w:b/>
      <w:bCs/>
      <w:sz w:val="32"/>
    </w:rPr>
  </w:style>
  <w:style w:type="paragraph" w:customStyle="1" w:styleId="18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8">
    <w:name w:val="Char Char Char"/>
    <w:basedOn w:val="1"/>
    <w:qFormat/>
    <w:uiPriority w:val="0"/>
    <w:rPr>
      <w:rFonts w:ascii="Tahoma" w:hAnsi="Tahoma"/>
      <w:sz w:val="24"/>
      <w:szCs w:val="20"/>
    </w:rPr>
  </w:style>
  <w:style w:type="paragraph" w:customStyle="1" w:styleId="189">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90">
    <w:name w:val="info4"/>
    <w:basedOn w:val="47"/>
    <w:qFormat/>
    <w:uiPriority w:val="0"/>
  </w:style>
  <w:style w:type="paragraph" w:customStyle="1" w:styleId="191">
    <w:name w:val="缩进正文"/>
    <w:basedOn w:val="1"/>
    <w:link w:val="192"/>
    <w:qFormat/>
    <w:uiPriority w:val="0"/>
    <w:pPr>
      <w:ind w:firstLine="560" w:firstLineChars="200"/>
    </w:pPr>
    <w:rPr>
      <w:rFonts w:eastAsia="仿宋_GB2312" w:cs="宋体"/>
      <w:sz w:val="28"/>
      <w:szCs w:val="20"/>
    </w:rPr>
  </w:style>
  <w:style w:type="character" w:customStyle="1" w:styleId="192">
    <w:name w:val="缩进正文 Char"/>
    <w:link w:val="191"/>
    <w:qFormat/>
    <w:uiPriority w:val="0"/>
    <w:rPr>
      <w:rFonts w:eastAsia="仿宋_GB2312" w:cs="宋体"/>
      <w:kern w:val="2"/>
      <w:sz w:val="28"/>
      <w:lang w:val="en-US" w:eastAsia="zh-CN" w:bidi="ar-SA"/>
    </w:rPr>
  </w:style>
  <w:style w:type="paragraph" w:customStyle="1" w:styleId="193">
    <w:name w:val="列出段落1"/>
    <w:basedOn w:val="1"/>
    <w:qFormat/>
    <w:uiPriority w:val="0"/>
    <w:pPr>
      <w:ind w:firstLine="420" w:firstLineChars="200"/>
    </w:pPr>
    <w:rPr>
      <w:rFonts w:ascii="Calibri" w:hAnsi="Calibri" w:cs="Calibri"/>
      <w:szCs w:val="21"/>
    </w:rPr>
  </w:style>
  <w:style w:type="character" w:customStyle="1" w:styleId="194">
    <w:name w:val="批注文字 Char"/>
    <w:basedOn w:val="47"/>
    <w:link w:val="18"/>
    <w:semiHidden/>
    <w:qFormat/>
    <w:uiPriority w:val="99"/>
    <w:rPr>
      <w:rFonts w:ascii="宋体"/>
      <w:sz w:val="34"/>
    </w:rPr>
  </w:style>
  <w:style w:type="character" w:customStyle="1" w:styleId="195">
    <w:name w:val="批注主题 Char"/>
    <w:basedOn w:val="194"/>
    <w:link w:val="42"/>
    <w:qFormat/>
    <w:uiPriority w:val="99"/>
    <w:rPr>
      <w:rFonts w:ascii="宋体"/>
      <w:sz w:val="34"/>
    </w:rPr>
  </w:style>
  <w:style w:type="paragraph" w:customStyle="1" w:styleId="196">
    <w:name w:val="评价"/>
    <w:basedOn w:val="1"/>
    <w:qFormat/>
    <w:uiPriority w:val="0"/>
    <w:pPr>
      <w:spacing w:afterLines="20"/>
      <w:ind w:firstLine="1446" w:firstLineChars="200"/>
    </w:pPr>
    <w:rPr>
      <w:rFonts w:ascii="Calibri" w:hAnsi="Calibri"/>
      <w:sz w:val="24"/>
    </w:rPr>
  </w:style>
  <w:style w:type="paragraph" w:customStyle="1" w:styleId="19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8">
    <w:name w:val="alt-edited1"/>
    <w:qFormat/>
    <w:uiPriority w:val="0"/>
    <w:rPr>
      <w:color w:val="4D90F0"/>
    </w:rPr>
  </w:style>
  <w:style w:type="paragraph" w:customStyle="1" w:styleId="199">
    <w:name w:val="toc 14"/>
    <w:next w:val="1"/>
    <w:qFormat/>
    <w:uiPriority w:val="0"/>
    <w:pPr>
      <w:wordWrap w:val="0"/>
      <w:jc w:val="both"/>
    </w:pPr>
    <w:rPr>
      <w:rFonts w:ascii="Calibri" w:hAnsi="Calibri" w:eastAsia="宋体" w:cs="Times New Roman"/>
      <w:sz w:val="21"/>
      <w:lang w:val="en-US" w:eastAsia="zh-CN" w:bidi="ar-SA"/>
    </w:rPr>
  </w:style>
  <w:style w:type="character" w:customStyle="1" w:styleId="200">
    <w:name w:val="文档结构图 Char1"/>
    <w:semiHidden/>
    <w:qFormat/>
    <w:uiPriority w:val="0"/>
    <w:rPr>
      <w:sz w:val="20"/>
    </w:rPr>
  </w:style>
  <w:style w:type="character" w:customStyle="1" w:styleId="201">
    <w:name w:val="文档结构图 Char"/>
    <w:semiHidden/>
    <w:qFormat/>
    <w:uiPriority w:val="0"/>
    <w:rPr>
      <w:sz w:val="20"/>
    </w:rPr>
  </w:style>
  <w:style w:type="character" w:customStyle="1" w:styleId="202">
    <w:name w:val="short_text"/>
    <w:basedOn w:val="47"/>
    <w:qFormat/>
    <w:uiPriority w:val="0"/>
    <w:rPr>
      <w:sz w:val="20"/>
    </w:rPr>
  </w:style>
  <w:style w:type="character" w:customStyle="1" w:styleId="203">
    <w:name w:val="标题 Char1"/>
    <w:qFormat/>
    <w:uiPriority w:val="0"/>
    <w:rPr>
      <w:b/>
      <w:sz w:val="20"/>
    </w:rPr>
  </w:style>
  <w:style w:type="character" w:customStyle="1" w:styleId="204">
    <w:name w:val="正文文本缩进 3 Char1"/>
    <w:semiHidden/>
    <w:qFormat/>
    <w:uiPriority w:val="0"/>
    <w:rPr>
      <w:sz w:val="20"/>
    </w:rPr>
  </w:style>
  <w:style w:type="character" w:customStyle="1" w:styleId="205">
    <w:name w:val="font21"/>
    <w:qFormat/>
    <w:uiPriority w:val="0"/>
    <w:rPr>
      <w:color w:val="FF0000"/>
      <w:sz w:val="20"/>
      <w:u w:val="none"/>
    </w:rPr>
  </w:style>
  <w:style w:type="character" w:customStyle="1" w:styleId="206">
    <w:name w:val="不明显强调1"/>
    <w:qFormat/>
    <w:uiPriority w:val="0"/>
    <w:rPr>
      <w:i/>
      <w:sz w:val="20"/>
    </w:rPr>
  </w:style>
  <w:style w:type="character" w:customStyle="1" w:styleId="207">
    <w:name w:val="font71"/>
    <w:qFormat/>
    <w:uiPriority w:val="0"/>
    <w:rPr>
      <w:sz w:val="20"/>
      <w:u w:val="none"/>
    </w:rPr>
  </w:style>
  <w:style w:type="character" w:customStyle="1" w:styleId="208">
    <w:name w:val="页眉 Char1"/>
    <w:semiHidden/>
    <w:qFormat/>
    <w:uiPriority w:val="0"/>
    <w:rPr>
      <w:sz w:val="20"/>
    </w:rPr>
  </w:style>
  <w:style w:type="character" w:customStyle="1" w:styleId="209">
    <w:name w:val="正文文本缩进 2 Char1"/>
    <w:semiHidden/>
    <w:qFormat/>
    <w:uiPriority w:val="0"/>
    <w:rPr>
      <w:sz w:val="20"/>
    </w:rPr>
  </w:style>
  <w:style w:type="character" w:customStyle="1" w:styleId="210">
    <w:name w:val="font61"/>
    <w:qFormat/>
    <w:uiPriority w:val="0"/>
    <w:rPr>
      <w:sz w:val="20"/>
      <w:u w:val="none"/>
    </w:rPr>
  </w:style>
  <w:style w:type="character" w:customStyle="1" w:styleId="211">
    <w:name w:val="纯文本 Char1"/>
    <w:semiHidden/>
    <w:qFormat/>
    <w:uiPriority w:val="0"/>
    <w:rPr>
      <w:sz w:val="20"/>
    </w:rPr>
  </w:style>
  <w:style w:type="character" w:customStyle="1" w:styleId="212">
    <w:name w:val="正文文本 3 Char1"/>
    <w:semiHidden/>
    <w:qFormat/>
    <w:uiPriority w:val="0"/>
    <w:rPr>
      <w:sz w:val="20"/>
    </w:rPr>
  </w:style>
  <w:style w:type="character" w:customStyle="1" w:styleId="213">
    <w:name w:val="正文文本缩进 Char1"/>
    <w:semiHidden/>
    <w:qFormat/>
    <w:uiPriority w:val="0"/>
    <w:rPr>
      <w:sz w:val="20"/>
    </w:rPr>
  </w:style>
  <w:style w:type="character" w:customStyle="1" w:styleId="214">
    <w:name w:val="明显参考1"/>
    <w:qFormat/>
    <w:uiPriority w:val="0"/>
    <w:rPr>
      <w:b/>
      <w:sz w:val="20"/>
    </w:rPr>
  </w:style>
  <w:style w:type="character" w:customStyle="1" w:styleId="215">
    <w:name w:val="apple-converted-space"/>
    <w:qFormat/>
    <w:uiPriority w:val="0"/>
    <w:rPr>
      <w:sz w:val="20"/>
    </w:rPr>
  </w:style>
  <w:style w:type="character" w:customStyle="1" w:styleId="216">
    <w:name w:val="书籍标题1"/>
    <w:qFormat/>
    <w:uiPriority w:val="0"/>
    <w:rPr>
      <w:b/>
      <w:i/>
      <w:sz w:val="20"/>
    </w:rPr>
  </w:style>
  <w:style w:type="character" w:customStyle="1" w:styleId="217">
    <w:name w:val="long_text"/>
    <w:qFormat/>
    <w:uiPriority w:val="0"/>
    <w:rPr>
      <w:sz w:val="20"/>
    </w:rPr>
  </w:style>
  <w:style w:type="character" w:customStyle="1" w:styleId="218">
    <w:name w:val="日期 Char1"/>
    <w:semiHidden/>
    <w:qFormat/>
    <w:uiPriority w:val="0"/>
    <w:rPr>
      <w:sz w:val="20"/>
    </w:rPr>
  </w:style>
  <w:style w:type="character" w:customStyle="1" w:styleId="219">
    <w:name w:val="批注文字 Char1"/>
    <w:semiHidden/>
    <w:qFormat/>
    <w:uiPriority w:val="0"/>
    <w:rPr>
      <w:sz w:val="20"/>
    </w:rPr>
  </w:style>
  <w:style w:type="character" w:customStyle="1" w:styleId="220">
    <w:name w:val="明显强调1"/>
    <w:qFormat/>
    <w:uiPriority w:val="0"/>
    <w:rPr>
      <w:i/>
      <w:sz w:val="20"/>
    </w:rPr>
  </w:style>
  <w:style w:type="character" w:customStyle="1" w:styleId="221">
    <w:name w:val="16"/>
    <w:qFormat/>
    <w:uiPriority w:val="0"/>
    <w:rPr>
      <w:b/>
      <w:color w:val="FF0356"/>
      <w:sz w:val="20"/>
    </w:rPr>
  </w:style>
  <w:style w:type="character" w:customStyle="1" w:styleId="222">
    <w:name w:val="批注主题 Char1"/>
    <w:semiHidden/>
    <w:qFormat/>
    <w:uiPriority w:val="0"/>
    <w:rPr>
      <w:b/>
      <w:sz w:val="20"/>
    </w:rPr>
  </w:style>
  <w:style w:type="character" w:customStyle="1" w:styleId="223">
    <w:name w:val="正文文本 2 Char1"/>
    <w:semiHidden/>
    <w:qFormat/>
    <w:uiPriority w:val="0"/>
    <w:rPr>
      <w:sz w:val="20"/>
    </w:rPr>
  </w:style>
  <w:style w:type="character" w:customStyle="1" w:styleId="224">
    <w:name w:val="font31"/>
    <w:qFormat/>
    <w:uiPriority w:val="0"/>
    <w:rPr>
      <w:color w:val="FF0000"/>
      <w:sz w:val="20"/>
      <w:u w:val="none"/>
      <w:vertAlign w:val="superscript"/>
    </w:rPr>
  </w:style>
  <w:style w:type="character" w:customStyle="1" w:styleId="225">
    <w:name w:val="不明显参考1"/>
    <w:qFormat/>
    <w:uiPriority w:val="0"/>
    <w:rPr>
      <w:sz w:val="20"/>
    </w:rPr>
  </w:style>
  <w:style w:type="character" w:customStyle="1" w:styleId="226">
    <w:name w:val="HTML 预设格式 Char1"/>
    <w:semiHidden/>
    <w:qFormat/>
    <w:uiPriority w:val="0"/>
    <w:rPr>
      <w:sz w:val="20"/>
    </w:rPr>
  </w:style>
  <w:style w:type="character" w:customStyle="1" w:styleId="227">
    <w:name w:val="font01"/>
    <w:basedOn w:val="47"/>
    <w:qFormat/>
    <w:uiPriority w:val="0"/>
    <w:rPr>
      <w:color w:val="FF0000"/>
      <w:sz w:val="20"/>
      <w:u w:val="none"/>
      <w:vertAlign w:val="superscript"/>
    </w:rPr>
  </w:style>
  <w:style w:type="character" w:customStyle="1" w:styleId="228">
    <w:name w:val="页脚 Char1"/>
    <w:semiHidden/>
    <w:qFormat/>
    <w:uiPriority w:val="0"/>
    <w:rPr>
      <w:sz w:val="20"/>
    </w:rPr>
  </w:style>
  <w:style w:type="character" w:customStyle="1" w:styleId="229">
    <w:name w:val="批注框文本 Char1"/>
    <w:semiHidden/>
    <w:qFormat/>
    <w:uiPriority w:val="0"/>
    <w:rPr>
      <w:sz w:val="20"/>
    </w:rPr>
  </w:style>
  <w:style w:type="paragraph" w:customStyle="1" w:styleId="230">
    <w:name w:val="列出段落2"/>
    <w:basedOn w:val="1"/>
    <w:next w:val="231"/>
    <w:qFormat/>
    <w:uiPriority w:val="0"/>
    <w:pPr>
      <w:ind w:firstLine="420"/>
    </w:pPr>
    <w:rPr>
      <w:rFonts w:hAnsi="Calibri"/>
      <w:kern w:val="0"/>
      <w:szCs w:val="20"/>
    </w:rPr>
  </w:style>
  <w:style w:type="paragraph" w:customStyle="1" w:styleId="231">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32">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33">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34">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35">
    <w:name w:val="xl86"/>
    <w:basedOn w:val="1"/>
    <w:next w:val="236"/>
    <w:qFormat/>
    <w:uiPriority w:val="0"/>
    <w:pPr>
      <w:widowControl/>
      <w:shd w:val="clear" w:color="000000" w:fill="FFFFFF"/>
      <w:spacing w:before="280" w:after="280"/>
      <w:jc w:val="center"/>
    </w:pPr>
    <w:rPr>
      <w:rFonts w:ascii="宋体" w:hAnsi="Calibri"/>
      <w:kern w:val="0"/>
      <w:sz w:val="20"/>
      <w:szCs w:val="20"/>
    </w:rPr>
  </w:style>
  <w:style w:type="paragraph" w:customStyle="1" w:styleId="236">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37">
    <w:name w:val="TOC Heading4"/>
    <w:next w:val="1"/>
    <w:qFormat/>
    <w:uiPriority w:val="0"/>
    <w:pPr>
      <w:wordWrap w:val="0"/>
    </w:pPr>
    <w:rPr>
      <w:rFonts w:ascii="Calibri" w:hAnsi="Calibri" w:eastAsia="宋体" w:cs="Times New Roman"/>
      <w:sz w:val="32"/>
      <w:lang w:val="en-US" w:eastAsia="zh-CN" w:bidi="ar-SA"/>
    </w:rPr>
  </w:style>
  <w:style w:type="paragraph" w:customStyle="1" w:styleId="238">
    <w:name w:val="toc 15"/>
    <w:next w:val="1"/>
    <w:qFormat/>
    <w:uiPriority w:val="0"/>
    <w:pPr>
      <w:wordWrap w:val="0"/>
      <w:jc w:val="both"/>
    </w:pPr>
    <w:rPr>
      <w:rFonts w:ascii="Calibri" w:hAnsi="Calibri" w:eastAsia="宋体" w:cs="Times New Roman"/>
      <w:sz w:val="21"/>
      <w:lang w:val="en-US" w:eastAsia="zh-CN" w:bidi="ar-SA"/>
    </w:rPr>
  </w:style>
  <w:style w:type="paragraph" w:customStyle="1" w:styleId="239">
    <w:name w:val="TOC Heading2"/>
    <w:next w:val="1"/>
    <w:qFormat/>
    <w:uiPriority w:val="0"/>
    <w:pPr>
      <w:wordWrap w:val="0"/>
    </w:pPr>
    <w:rPr>
      <w:rFonts w:ascii="Calibri" w:hAnsi="Calibri" w:eastAsia="宋体" w:cs="Times New Roman"/>
      <w:sz w:val="32"/>
      <w:lang w:val="en-US" w:eastAsia="zh-CN" w:bidi="ar-SA"/>
    </w:rPr>
  </w:style>
  <w:style w:type="paragraph" w:customStyle="1" w:styleId="240">
    <w:name w:val="TOC Heading1"/>
    <w:next w:val="1"/>
    <w:qFormat/>
    <w:uiPriority w:val="0"/>
    <w:pPr>
      <w:wordWrap w:val="0"/>
    </w:pPr>
    <w:rPr>
      <w:rFonts w:ascii="Calibri" w:hAnsi="Calibri" w:eastAsia="宋体" w:cs="Times New Roman"/>
      <w:sz w:val="32"/>
      <w:lang w:val="en-US" w:eastAsia="zh-CN" w:bidi="ar-SA"/>
    </w:rPr>
  </w:style>
  <w:style w:type="paragraph" w:customStyle="1" w:styleId="241">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42">
    <w:name w:val="font7"/>
    <w:basedOn w:val="1"/>
    <w:next w:val="243"/>
    <w:qFormat/>
    <w:uiPriority w:val="0"/>
    <w:pPr>
      <w:widowControl/>
      <w:spacing w:before="280" w:after="280"/>
    </w:pPr>
    <w:rPr>
      <w:rFonts w:ascii="Arial" w:hAnsi="Calibri"/>
      <w:kern w:val="0"/>
      <w:sz w:val="18"/>
      <w:szCs w:val="20"/>
    </w:rPr>
  </w:style>
  <w:style w:type="paragraph" w:customStyle="1" w:styleId="243">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44">
    <w:name w:val="xl113"/>
    <w:basedOn w:val="1"/>
    <w:next w:val="245"/>
    <w:qFormat/>
    <w:uiPriority w:val="0"/>
    <w:pPr>
      <w:widowControl/>
      <w:shd w:val="clear" w:color="000000" w:fill="FFFFFF"/>
      <w:spacing w:before="280" w:after="280"/>
      <w:jc w:val="center"/>
    </w:pPr>
    <w:rPr>
      <w:rFonts w:ascii="宋体" w:hAnsi="Calibri"/>
      <w:b/>
      <w:kern w:val="0"/>
      <w:sz w:val="20"/>
      <w:szCs w:val="20"/>
    </w:rPr>
  </w:style>
  <w:style w:type="paragraph" w:customStyle="1" w:styleId="245">
    <w:name w:val="TOC Heading10"/>
    <w:next w:val="1"/>
    <w:qFormat/>
    <w:uiPriority w:val="0"/>
    <w:pPr>
      <w:wordWrap w:val="0"/>
    </w:pPr>
    <w:rPr>
      <w:rFonts w:ascii="Calibri" w:hAnsi="Calibri" w:eastAsia="宋体" w:cs="Times New Roman"/>
      <w:sz w:val="32"/>
      <w:lang w:val="en-US" w:eastAsia="zh-CN" w:bidi="ar-SA"/>
    </w:rPr>
  </w:style>
  <w:style w:type="paragraph" w:customStyle="1" w:styleId="246">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47">
    <w:name w:val="xl73"/>
    <w:basedOn w:val="1"/>
    <w:next w:val="248"/>
    <w:qFormat/>
    <w:uiPriority w:val="0"/>
    <w:pPr>
      <w:widowControl/>
      <w:shd w:val="clear" w:color="000000" w:fill="FFFFFF"/>
      <w:spacing w:before="280" w:after="280"/>
      <w:jc w:val="center"/>
    </w:pPr>
    <w:rPr>
      <w:rFonts w:ascii="宋体" w:hAnsi="Calibri"/>
      <w:kern w:val="0"/>
      <w:sz w:val="20"/>
      <w:szCs w:val="20"/>
    </w:rPr>
  </w:style>
  <w:style w:type="paragraph" w:customStyle="1" w:styleId="248">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49">
    <w:name w:val="xl79"/>
    <w:basedOn w:val="1"/>
    <w:next w:val="250"/>
    <w:qFormat/>
    <w:uiPriority w:val="0"/>
    <w:pPr>
      <w:widowControl/>
      <w:shd w:val="clear" w:color="000000" w:fill="FFFFFF"/>
      <w:spacing w:before="280" w:after="280"/>
    </w:pPr>
    <w:rPr>
      <w:rFonts w:ascii="宋体" w:hAnsi="Calibri"/>
      <w:b/>
      <w:kern w:val="0"/>
      <w:sz w:val="20"/>
      <w:szCs w:val="20"/>
    </w:rPr>
  </w:style>
  <w:style w:type="paragraph" w:customStyle="1" w:styleId="250">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51">
    <w:name w:val="toc 11"/>
    <w:next w:val="1"/>
    <w:qFormat/>
    <w:uiPriority w:val="0"/>
    <w:pPr>
      <w:wordWrap w:val="0"/>
      <w:jc w:val="both"/>
    </w:pPr>
    <w:rPr>
      <w:rFonts w:ascii="Calibri" w:hAnsi="Calibri" w:eastAsia="宋体" w:cs="Times New Roman"/>
      <w:sz w:val="21"/>
      <w:lang w:val="en-US" w:eastAsia="zh-CN" w:bidi="ar-SA"/>
    </w:rPr>
  </w:style>
  <w:style w:type="paragraph" w:customStyle="1" w:styleId="252">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53">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54">
    <w:name w:val="xl112"/>
    <w:basedOn w:val="1"/>
    <w:next w:val="253"/>
    <w:qFormat/>
    <w:uiPriority w:val="0"/>
    <w:pPr>
      <w:widowControl/>
      <w:shd w:val="clear" w:color="000000" w:fill="FFFFFF"/>
      <w:spacing w:before="280" w:after="280"/>
      <w:jc w:val="center"/>
    </w:pPr>
    <w:rPr>
      <w:rFonts w:ascii="宋体" w:hAnsi="Calibri"/>
      <w:b/>
      <w:kern w:val="0"/>
      <w:sz w:val="20"/>
      <w:szCs w:val="20"/>
    </w:rPr>
  </w:style>
  <w:style w:type="paragraph" w:customStyle="1" w:styleId="255">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56">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57">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58">
    <w:name w:val="xl74"/>
    <w:basedOn w:val="1"/>
    <w:next w:val="259"/>
    <w:qFormat/>
    <w:uiPriority w:val="0"/>
    <w:pPr>
      <w:widowControl/>
      <w:shd w:val="clear" w:color="000000" w:fill="FFFFFF"/>
      <w:spacing w:before="280" w:after="280"/>
    </w:pPr>
    <w:rPr>
      <w:rFonts w:ascii="宋体" w:hAnsi="Calibri"/>
      <w:kern w:val="0"/>
      <w:sz w:val="20"/>
      <w:szCs w:val="20"/>
    </w:rPr>
  </w:style>
  <w:style w:type="paragraph" w:customStyle="1" w:styleId="259">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60">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61">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62">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63">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64">
    <w:name w:val="列出段落5"/>
    <w:basedOn w:val="1"/>
    <w:next w:val="265"/>
    <w:qFormat/>
    <w:uiPriority w:val="0"/>
    <w:pPr>
      <w:ind w:firstLine="420"/>
    </w:pPr>
    <w:rPr>
      <w:rFonts w:hAnsi="Calibri"/>
      <w:kern w:val="0"/>
      <w:szCs w:val="20"/>
    </w:rPr>
  </w:style>
  <w:style w:type="paragraph" w:customStyle="1" w:styleId="265">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66">
    <w:name w:val="xl66"/>
    <w:basedOn w:val="1"/>
    <w:next w:val="267"/>
    <w:qFormat/>
    <w:uiPriority w:val="0"/>
    <w:pPr>
      <w:widowControl/>
      <w:shd w:val="clear" w:color="000000" w:fill="FFFFFF"/>
      <w:spacing w:before="280" w:after="280"/>
    </w:pPr>
    <w:rPr>
      <w:rFonts w:ascii="宋体" w:hAnsi="Calibri"/>
      <w:kern w:val="0"/>
      <w:sz w:val="20"/>
      <w:szCs w:val="20"/>
    </w:rPr>
  </w:style>
  <w:style w:type="paragraph" w:customStyle="1" w:styleId="267">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68">
    <w:name w:val="TOC Heading3"/>
    <w:next w:val="1"/>
    <w:qFormat/>
    <w:uiPriority w:val="0"/>
    <w:pPr>
      <w:wordWrap w:val="0"/>
    </w:pPr>
    <w:rPr>
      <w:rFonts w:ascii="Calibri" w:hAnsi="Calibri" w:eastAsia="宋体" w:cs="Times New Roman"/>
      <w:sz w:val="32"/>
      <w:lang w:val="en-US" w:eastAsia="zh-CN" w:bidi="ar-SA"/>
    </w:rPr>
  </w:style>
  <w:style w:type="paragraph" w:customStyle="1" w:styleId="269">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70">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71">
    <w:name w:val="xl84"/>
    <w:basedOn w:val="1"/>
    <w:next w:val="272"/>
    <w:qFormat/>
    <w:uiPriority w:val="0"/>
    <w:pPr>
      <w:widowControl/>
      <w:shd w:val="clear" w:color="000000" w:fill="FFFFFF"/>
      <w:spacing w:before="280" w:after="280"/>
      <w:jc w:val="center"/>
    </w:pPr>
    <w:rPr>
      <w:rFonts w:ascii="宋体" w:hAnsi="Calibri"/>
      <w:kern w:val="0"/>
      <w:sz w:val="20"/>
      <w:szCs w:val="20"/>
    </w:rPr>
  </w:style>
  <w:style w:type="paragraph" w:customStyle="1" w:styleId="272">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73">
    <w:name w:val="xl81"/>
    <w:basedOn w:val="1"/>
    <w:next w:val="274"/>
    <w:qFormat/>
    <w:uiPriority w:val="0"/>
    <w:pPr>
      <w:widowControl/>
      <w:shd w:val="clear" w:color="000000" w:fill="FFFFFF"/>
      <w:spacing w:before="280" w:after="280"/>
    </w:pPr>
    <w:rPr>
      <w:rFonts w:ascii="宋体" w:hAnsi="Calibri"/>
      <w:kern w:val="0"/>
      <w:sz w:val="20"/>
      <w:szCs w:val="20"/>
    </w:rPr>
  </w:style>
  <w:style w:type="paragraph" w:customStyle="1" w:styleId="274">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75">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76">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77">
    <w:name w:val="TOC Heading12"/>
    <w:next w:val="1"/>
    <w:qFormat/>
    <w:uiPriority w:val="0"/>
    <w:pPr>
      <w:wordWrap w:val="0"/>
    </w:pPr>
    <w:rPr>
      <w:rFonts w:ascii="Calibri" w:hAnsi="Calibri" w:eastAsia="宋体" w:cs="Times New Roman"/>
      <w:sz w:val="32"/>
      <w:lang w:val="en-US" w:eastAsia="zh-CN" w:bidi="ar-SA"/>
    </w:rPr>
  </w:style>
  <w:style w:type="paragraph" w:customStyle="1" w:styleId="278">
    <w:name w:val="TOC Heading8"/>
    <w:next w:val="1"/>
    <w:qFormat/>
    <w:uiPriority w:val="0"/>
    <w:pPr>
      <w:wordWrap w:val="0"/>
    </w:pPr>
    <w:rPr>
      <w:rFonts w:ascii="Calibri" w:hAnsi="Calibri" w:eastAsia="宋体" w:cs="Times New Roman"/>
      <w:sz w:val="32"/>
      <w:lang w:val="en-US" w:eastAsia="zh-CN" w:bidi="ar-SA"/>
    </w:rPr>
  </w:style>
  <w:style w:type="paragraph" w:customStyle="1" w:styleId="279">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80">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81">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82">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83">
    <w:name w:val="xl116"/>
    <w:basedOn w:val="1"/>
    <w:next w:val="284"/>
    <w:qFormat/>
    <w:uiPriority w:val="0"/>
    <w:pPr>
      <w:widowControl/>
      <w:shd w:val="clear" w:color="000000" w:fill="FFFFFF"/>
      <w:spacing w:before="280" w:after="280"/>
      <w:jc w:val="center"/>
    </w:pPr>
    <w:rPr>
      <w:rFonts w:ascii="Arial Narrow" w:hAnsi="Calibri"/>
      <w:kern w:val="0"/>
      <w:sz w:val="20"/>
      <w:szCs w:val="20"/>
    </w:rPr>
  </w:style>
  <w:style w:type="paragraph" w:customStyle="1" w:styleId="284">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85">
    <w:name w:val="font8"/>
    <w:basedOn w:val="1"/>
    <w:next w:val="286"/>
    <w:qFormat/>
    <w:uiPriority w:val="0"/>
    <w:pPr>
      <w:widowControl/>
      <w:spacing w:before="280" w:after="280"/>
    </w:pPr>
    <w:rPr>
      <w:rFonts w:ascii="Arial" w:hAnsi="Calibri"/>
      <w:kern w:val="0"/>
      <w:sz w:val="20"/>
      <w:szCs w:val="20"/>
    </w:rPr>
  </w:style>
  <w:style w:type="paragraph" w:customStyle="1" w:styleId="286">
    <w:name w:val="TOC Heading11"/>
    <w:next w:val="1"/>
    <w:qFormat/>
    <w:uiPriority w:val="0"/>
    <w:pPr>
      <w:wordWrap w:val="0"/>
    </w:pPr>
    <w:rPr>
      <w:rFonts w:ascii="Calibri" w:hAnsi="Calibri" w:eastAsia="宋体" w:cs="Times New Roman"/>
      <w:sz w:val="32"/>
      <w:lang w:val="en-US" w:eastAsia="zh-CN" w:bidi="ar-SA"/>
    </w:rPr>
  </w:style>
  <w:style w:type="paragraph" w:customStyle="1" w:styleId="287">
    <w:name w:val="xl69"/>
    <w:basedOn w:val="1"/>
    <w:next w:val="288"/>
    <w:qFormat/>
    <w:uiPriority w:val="0"/>
    <w:pPr>
      <w:widowControl/>
      <w:shd w:val="clear" w:color="000000" w:fill="FFFFFF"/>
      <w:spacing w:before="280" w:after="280"/>
    </w:pPr>
    <w:rPr>
      <w:rFonts w:ascii="宋体" w:hAnsi="Calibri"/>
      <w:b/>
      <w:kern w:val="0"/>
      <w:sz w:val="20"/>
      <w:szCs w:val="20"/>
    </w:rPr>
  </w:style>
  <w:style w:type="paragraph" w:customStyle="1" w:styleId="288">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89">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90">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91">
    <w:name w:val="列出段落3"/>
    <w:basedOn w:val="1"/>
    <w:next w:val="292"/>
    <w:qFormat/>
    <w:uiPriority w:val="0"/>
    <w:pPr>
      <w:ind w:firstLine="420"/>
    </w:pPr>
    <w:rPr>
      <w:rFonts w:hAnsi="Calibri"/>
      <w:kern w:val="0"/>
      <w:szCs w:val="20"/>
    </w:rPr>
  </w:style>
  <w:style w:type="paragraph" w:customStyle="1" w:styleId="292">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93">
    <w:name w:val="TOC 标题1"/>
    <w:next w:val="1"/>
    <w:qFormat/>
    <w:uiPriority w:val="0"/>
    <w:pPr>
      <w:wordWrap w:val="0"/>
    </w:pPr>
    <w:rPr>
      <w:rFonts w:ascii="Calibri" w:hAnsi="Calibri" w:eastAsia="宋体" w:cs="Times New Roman"/>
      <w:sz w:val="32"/>
      <w:lang w:val="en-US" w:eastAsia="zh-CN" w:bidi="ar-SA"/>
    </w:rPr>
  </w:style>
  <w:style w:type="paragraph" w:customStyle="1" w:styleId="294">
    <w:name w:val="TOC Heading5"/>
    <w:next w:val="1"/>
    <w:qFormat/>
    <w:uiPriority w:val="0"/>
    <w:pPr>
      <w:wordWrap w:val="0"/>
    </w:pPr>
    <w:rPr>
      <w:rFonts w:ascii="Calibri" w:hAnsi="Calibri" w:eastAsia="宋体" w:cs="Times New Roman"/>
      <w:sz w:val="32"/>
      <w:lang w:val="en-US" w:eastAsia="zh-CN" w:bidi="ar-SA"/>
    </w:rPr>
  </w:style>
  <w:style w:type="paragraph" w:customStyle="1" w:styleId="295">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96">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97">
    <w:name w:val="xl115"/>
    <w:basedOn w:val="1"/>
    <w:next w:val="298"/>
    <w:qFormat/>
    <w:uiPriority w:val="0"/>
    <w:pPr>
      <w:widowControl/>
      <w:shd w:val="clear" w:color="000000" w:fill="FFFFFF"/>
      <w:spacing w:before="280" w:after="280"/>
      <w:jc w:val="center"/>
    </w:pPr>
    <w:rPr>
      <w:rFonts w:ascii="宋体" w:hAnsi="Calibri"/>
      <w:b/>
      <w:kern w:val="0"/>
      <w:sz w:val="20"/>
      <w:szCs w:val="20"/>
    </w:rPr>
  </w:style>
  <w:style w:type="paragraph" w:customStyle="1" w:styleId="298">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99">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300">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301">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302">
    <w:name w:val="xl93"/>
    <w:basedOn w:val="1"/>
    <w:next w:val="303"/>
    <w:qFormat/>
    <w:uiPriority w:val="0"/>
    <w:pPr>
      <w:widowControl/>
      <w:shd w:val="clear" w:color="000000" w:fill="FFFFFF"/>
      <w:spacing w:before="280" w:after="280"/>
      <w:jc w:val="center"/>
    </w:pPr>
    <w:rPr>
      <w:rFonts w:ascii="宋体" w:hAnsi="Calibri"/>
      <w:kern w:val="0"/>
      <w:sz w:val="20"/>
      <w:szCs w:val="20"/>
    </w:rPr>
  </w:style>
  <w:style w:type="paragraph" w:customStyle="1" w:styleId="303">
    <w:name w:val="toc 112"/>
    <w:next w:val="1"/>
    <w:qFormat/>
    <w:uiPriority w:val="0"/>
    <w:pPr>
      <w:wordWrap w:val="0"/>
      <w:jc w:val="both"/>
    </w:pPr>
    <w:rPr>
      <w:rFonts w:ascii="Calibri" w:hAnsi="Calibri" w:eastAsia="宋体" w:cs="Times New Roman"/>
      <w:sz w:val="21"/>
      <w:lang w:val="en-US" w:eastAsia="zh-CN" w:bidi="ar-SA"/>
    </w:rPr>
  </w:style>
  <w:style w:type="paragraph" w:customStyle="1" w:styleId="304">
    <w:name w:val="xl96"/>
    <w:basedOn w:val="1"/>
    <w:next w:val="255"/>
    <w:qFormat/>
    <w:uiPriority w:val="0"/>
    <w:pPr>
      <w:widowControl/>
      <w:shd w:val="clear" w:color="000000" w:fill="FFFFFF"/>
      <w:spacing w:before="280" w:after="280"/>
      <w:jc w:val="center"/>
    </w:pPr>
    <w:rPr>
      <w:rFonts w:ascii="宋体" w:hAnsi="Calibri"/>
      <w:kern w:val="0"/>
      <w:sz w:val="20"/>
      <w:szCs w:val="20"/>
    </w:rPr>
  </w:style>
  <w:style w:type="paragraph" w:customStyle="1" w:styleId="305">
    <w:name w:val="xl106"/>
    <w:basedOn w:val="1"/>
    <w:next w:val="289"/>
    <w:qFormat/>
    <w:uiPriority w:val="0"/>
    <w:pPr>
      <w:widowControl/>
      <w:shd w:val="clear" w:color="000000" w:fill="FFFFFF"/>
      <w:spacing w:before="280" w:after="280"/>
    </w:pPr>
    <w:rPr>
      <w:rFonts w:ascii="宋体" w:hAnsi="Calibri"/>
      <w:kern w:val="0"/>
      <w:sz w:val="20"/>
      <w:szCs w:val="20"/>
    </w:rPr>
  </w:style>
  <w:style w:type="paragraph" w:customStyle="1" w:styleId="306">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307">
    <w:name w:val="TOC Heading14"/>
    <w:next w:val="1"/>
    <w:qFormat/>
    <w:uiPriority w:val="0"/>
    <w:pPr>
      <w:wordWrap w:val="0"/>
    </w:pPr>
    <w:rPr>
      <w:rFonts w:ascii="Calibri" w:hAnsi="Calibri" w:eastAsia="宋体" w:cs="Times New Roman"/>
      <w:sz w:val="32"/>
      <w:lang w:val="en-US" w:eastAsia="zh-CN" w:bidi="ar-SA"/>
    </w:rPr>
  </w:style>
  <w:style w:type="paragraph" w:customStyle="1" w:styleId="308">
    <w:name w:val="Char Char Char Char Char Char Char1"/>
    <w:basedOn w:val="1"/>
    <w:next w:val="309"/>
    <w:qFormat/>
    <w:uiPriority w:val="0"/>
    <w:pPr>
      <w:widowControl/>
      <w:spacing w:after="160" w:line="240" w:lineRule="exact"/>
    </w:pPr>
    <w:rPr>
      <w:rFonts w:hAnsi="Calibri"/>
      <w:kern w:val="0"/>
      <w:szCs w:val="20"/>
    </w:rPr>
  </w:style>
  <w:style w:type="paragraph" w:customStyle="1" w:styleId="309">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10">
    <w:name w:val="列出段落4"/>
    <w:basedOn w:val="1"/>
    <w:next w:val="311"/>
    <w:qFormat/>
    <w:uiPriority w:val="0"/>
    <w:pPr>
      <w:ind w:firstLine="420"/>
    </w:pPr>
    <w:rPr>
      <w:rFonts w:hAnsi="Calibri"/>
      <w:kern w:val="0"/>
      <w:szCs w:val="20"/>
    </w:rPr>
  </w:style>
  <w:style w:type="paragraph" w:customStyle="1" w:styleId="311">
    <w:name w:val="TOC Heading9"/>
    <w:next w:val="1"/>
    <w:qFormat/>
    <w:uiPriority w:val="0"/>
    <w:pPr>
      <w:wordWrap w:val="0"/>
    </w:pPr>
    <w:rPr>
      <w:rFonts w:ascii="Calibri" w:hAnsi="Calibri" w:eastAsia="宋体" w:cs="Times New Roman"/>
      <w:sz w:val="32"/>
      <w:lang w:val="en-US" w:eastAsia="zh-CN" w:bidi="ar-SA"/>
    </w:rPr>
  </w:style>
  <w:style w:type="paragraph" w:customStyle="1" w:styleId="312">
    <w:name w:val="xl71"/>
    <w:basedOn w:val="1"/>
    <w:next w:val="313"/>
    <w:qFormat/>
    <w:uiPriority w:val="0"/>
    <w:pPr>
      <w:widowControl/>
      <w:shd w:val="clear" w:color="000000" w:fill="FFFFFF"/>
      <w:spacing w:before="280" w:after="280"/>
    </w:pPr>
    <w:rPr>
      <w:rFonts w:ascii="宋体" w:hAnsi="Calibri"/>
      <w:kern w:val="0"/>
      <w:sz w:val="24"/>
      <w:szCs w:val="20"/>
    </w:rPr>
  </w:style>
  <w:style w:type="paragraph" w:customStyle="1" w:styleId="313">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14">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15">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16">
    <w:name w:val="xl108"/>
    <w:basedOn w:val="1"/>
    <w:next w:val="317"/>
    <w:qFormat/>
    <w:uiPriority w:val="0"/>
    <w:pPr>
      <w:widowControl/>
      <w:shd w:val="clear" w:color="000000" w:fill="FFFFFF"/>
      <w:spacing w:before="280" w:after="280"/>
    </w:pPr>
    <w:rPr>
      <w:rFonts w:ascii="宋体" w:hAnsi="Calibri"/>
      <w:kern w:val="0"/>
      <w:sz w:val="18"/>
      <w:szCs w:val="20"/>
    </w:rPr>
  </w:style>
  <w:style w:type="paragraph" w:customStyle="1" w:styleId="317">
    <w:name w:val="toc 18"/>
    <w:next w:val="1"/>
    <w:qFormat/>
    <w:uiPriority w:val="0"/>
    <w:pPr>
      <w:wordWrap w:val="0"/>
      <w:jc w:val="both"/>
    </w:pPr>
    <w:rPr>
      <w:rFonts w:ascii="Calibri" w:hAnsi="Calibri" w:eastAsia="宋体" w:cs="Times New Roman"/>
      <w:sz w:val="21"/>
      <w:lang w:val="en-US" w:eastAsia="zh-CN" w:bidi="ar-SA"/>
    </w:rPr>
  </w:style>
  <w:style w:type="paragraph" w:customStyle="1" w:styleId="318">
    <w:name w:val="TOC Heading7"/>
    <w:next w:val="1"/>
    <w:qFormat/>
    <w:uiPriority w:val="0"/>
    <w:pPr>
      <w:wordWrap w:val="0"/>
    </w:pPr>
    <w:rPr>
      <w:rFonts w:ascii="Calibri" w:hAnsi="Calibri" w:eastAsia="宋体" w:cs="Times New Roman"/>
      <w:sz w:val="32"/>
      <w:lang w:val="en-US" w:eastAsia="zh-CN" w:bidi="ar-SA"/>
    </w:rPr>
  </w:style>
  <w:style w:type="character" w:customStyle="1" w:styleId="319">
    <w:name w:val="副标题 Char"/>
    <w:basedOn w:val="47"/>
    <w:link w:val="32"/>
    <w:qFormat/>
    <w:uiPriority w:val="0"/>
    <w:rPr>
      <w:rFonts w:ascii="Calibri" w:hAnsi="Calibri"/>
      <w:sz w:val="24"/>
    </w:rPr>
  </w:style>
  <w:style w:type="paragraph" w:customStyle="1" w:styleId="320">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21">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22">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23">
    <w:name w:val="列出段落6"/>
    <w:basedOn w:val="1"/>
    <w:next w:val="324"/>
    <w:qFormat/>
    <w:uiPriority w:val="0"/>
    <w:pPr>
      <w:ind w:firstLine="420"/>
    </w:pPr>
    <w:rPr>
      <w:rFonts w:hAnsi="Calibri"/>
      <w:kern w:val="0"/>
      <w:szCs w:val="20"/>
    </w:rPr>
  </w:style>
  <w:style w:type="paragraph" w:customStyle="1" w:styleId="324">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25">
    <w:name w:val="xl80"/>
    <w:basedOn w:val="1"/>
    <w:next w:val="326"/>
    <w:qFormat/>
    <w:uiPriority w:val="0"/>
    <w:pPr>
      <w:widowControl/>
      <w:shd w:val="clear" w:color="000000" w:fill="FFFFFF"/>
      <w:spacing w:before="280" w:after="280"/>
      <w:jc w:val="center"/>
    </w:pPr>
    <w:rPr>
      <w:rFonts w:ascii="宋体" w:hAnsi="Calibri"/>
      <w:b/>
      <w:kern w:val="0"/>
      <w:sz w:val="20"/>
      <w:szCs w:val="20"/>
    </w:rPr>
  </w:style>
  <w:style w:type="paragraph" w:customStyle="1" w:styleId="326">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27">
    <w:name w:val="Char Char Char Char1"/>
    <w:basedOn w:val="1"/>
    <w:next w:val="328"/>
    <w:qFormat/>
    <w:uiPriority w:val="0"/>
    <w:pPr>
      <w:widowControl/>
      <w:spacing w:after="160" w:line="240" w:lineRule="exact"/>
    </w:pPr>
    <w:rPr>
      <w:rFonts w:ascii="Verdana" w:hAnsi="Calibri" w:eastAsia="仿宋_GB2312"/>
      <w:kern w:val="0"/>
      <w:sz w:val="24"/>
      <w:szCs w:val="20"/>
    </w:rPr>
  </w:style>
  <w:style w:type="paragraph" w:customStyle="1" w:styleId="328">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9">
    <w:name w:val="xl102"/>
    <w:basedOn w:val="1"/>
    <w:next w:val="330"/>
    <w:qFormat/>
    <w:uiPriority w:val="0"/>
    <w:pPr>
      <w:widowControl/>
      <w:shd w:val="clear" w:color="000000" w:fill="FFFFFF"/>
      <w:spacing w:before="280" w:after="280"/>
      <w:jc w:val="right"/>
    </w:pPr>
    <w:rPr>
      <w:rFonts w:ascii="宋体" w:hAnsi="Calibri"/>
      <w:kern w:val="0"/>
      <w:sz w:val="20"/>
      <w:szCs w:val="20"/>
    </w:rPr>
  </w:style>
  <w:style w:type="paragraph" w:customStyle="1" w:styleId="330">
    <w:name w:val="toc 17"/>
    <w:next w:val="1"/>
    <w:qFormat/>
    <w:uiPriority w:val="0"/>
    <w:pPr>
      <w:wordWrap w:val="0"/>
      <w:jc w:val="both"/>
    </w:pPr>
    <w:rPr>
      <w:rFonts w:ascii="Calibri" w:hAnsi="Calibri" w:eastAsia="宋体" w:cs="Times New Roman"/>
      <w:sz w:val="21"/>
      <w:lang w:val="en-US" w:eastAsia="zh-CN" w:bidi="ar-SA"/>
    </w:rPr>
  </w:style>
  <w:style w:type="paragraph" w:customStyle="1" w:styleId="331">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32">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33">
    <w:name w:val="xl65"/>
    <w:basedOn w:val="1"/>
    <w:next w:val="234"/>
    <w:qFormat/>
    <w:uiPriority w:val="0"/>
    <w:pPr>
      <w:widowControl/>
      <w:shd w:val="clear" w:color="000000" w:fill="FFFFFF"/>
      <w:spacing w:before="280" w:after="280"/>
      <w:jc w:val="center"/>
    </w:pPr>
    <w:rPr>
      <w:rFonts w:ascii="宋体" w:hAnsi="Calibri"/>
      <w:kern w:val="0"/>
      <w:sz w:val="20"/>
      <w:szCs w:val="20"/>
    </w:rPr>
  </w:style>
  <w:style w:type="paragraph" w:customStyle="1" w:styleId="334">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35">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36">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37">
    <w:name w:val="xl75"/>
    <w:basedOn w:val="1"/>
    <w:next w:val="338"/>
    <w:qFormat/>
    <w:uiPriority w:val="0"/>
    <w:pPr>
      <w:widowControl/>
      <w:shd w:val="clear" w:color="000000" w:fill="FFFFFF"/>
      <w:spacing w:before="280" w:after="280"/>
    </w:pPr>
    <w:rPr>
      <w:rFonts w:ascii="宋体" w:hAnsi="Calibri"/>
      <w:kern w:val="0"/>
      <w:sz w:val="20"/>
      <w:szCs w:val="20"/>
    </w:rPr>
  </w:style>
  <w:style w:type="paragraph" w:customStyle="1" w:styleId="338">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39">
    <w:name w:val="toc 19"/>
    <w:next w:val="1"/>
    <w:qFormat/>
    <w:uiPriority w:val="0"/>
    <w:pPr>
      <w:wordWrap w:val="0"/>
      <w:jc w:val="both"/>
    </w:pPr>
    <w:rPr>
      <w:rFonts w:ascii="Calibri" w:hAnsi="Calibri" w:eastAsia="宋体" w:cs="Times New Roman"/>
      <w:sz w:val="21"/>
      <w:lang w:val="en-US" w:eastAsia="zh-CN" w:bidi="ar-SA"/>
    </w:rPr>
  </w:style>
  <w:style w:type="paragraph" w:customStyle="1" w:styleId="340">
    <w:name w:val="TOC Heading6"/>
    <w:next w:val="1"/>
    <w:qFormat/>
    <w:uiPriority w:val="0"/>
    <w:pPr>
      <w:wordWrap w:val="0"/>
    </w:pPr>
    <w:rPr>
      <w:rFonts w:ascii="Calibri" w:hAnsi="Calibri" w:eastAsia="宋体" w:cs="Times New Roman"/>
      <w:sz w:val="32"/>
      <w:lang w:val="en-US" w:eastAsia="zh-CN" w:bidi="ar-SA"/>
    </w:rPr>
  </w:style>
  <w:style w:type="paragraph" w:customStyle="1" w:styleId="341">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42">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43">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44">
    <w:name w:val="xl104"/>
    <w:basedOn w:val="1"/>
    <w:next w:val="345"/>
    <w:qFormat/>
    <w:uiPriority w:val="0"/>
    <w:pPr>
      <w:widowControl/>
      <w:shd w:val="clear" w:color="000000" w:fill="FFFFFF"/>
      <w:spacing w:before="280" w:after="280"/>
      <w:jc w:val="center"/>
    </w:pPr>
    <w:rPr>
      <w:rFonts w:ascii="宋体" w:hAnsi="Calibri"/>
      <w:kern w:val="0"/>
      <w:sz w:val="20"/>
      <w:szCs w:val="20"/>
    </w:rPr>
  </w:style>
  <w:style w:type="paragraph" w:customStyle="1" w:styleId="345">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46">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47">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48">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49">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50">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51">
    <w:name w:val="无间隔1"/>
    <w:next w:val="346"/>
    <w:qFormat/>
    <w:uiPriority w:val="0"/>
    <w:pPr>
      <w:widowControl w:val="0"/>
      <w:jc w:val="both"/>
    </w:pPr>
    <w:rPr>
      <w:rFonts w:ascii="Calibri" w:hAnsi="Calibri" w:eastAsia="宋体" w:cs="Times New Roman"/>
      <w:sz w:val="22"/>
      <w:lang w:val="en-US" w:eastAsia="zh-CN" w:bidi="ar-SA"/>
    </w:rPr>
  </w:style>
  <w:style w:type="paragraph" w:customStyle="1" w:styleId="352">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53">
    <w:name w:val="xl105"/>
    <w:basedOn w:val="1"/>
    <w:next w:val="354"/>
    <w:qFormat/>
    <w:uiPriority w:val="0"/>
    <w:pPr>
      <w:widowControl/>
      <w:shd w:val="clear" w:color="000000" w:fill="FFFFFF"/>
      <w:spacing w:before="280" w:after="280"/>
    </w:pPr>
    <w:rPr>
      <w:rFonts w:ascii="宋体" w:hAnsi="Calibri"/>
      <w:kern w:val="0"/>
      <w:sz w:val="18"/>
      <w:szCs w:val="20"/>
    </w:rPr>
  </w:style>
  <w:style w:type="paragraph" w:customStyle="1" w:styleId="354">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55">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56">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57">
    <w:name w:val="xl111"/>
    <w:basedOn w:val="1"/>
    <w:next w:val="358"/>
    <w:qFormat/>
    <w:uiPriority w:val="0"/>
    <w:pPr>
      <w:widowControl/>
      <w:shd w:val="clear" w:color="000000" w:fill="FFFFFF"/>
      <w:spacing w:before="280" w:after="280"/>
      <w:jc w:val="center"/>
    </w:pPr>
    <w:rPr>
      <w:rFonts w:ascii="宋体" w:hAnsi="Calibri"/>
      <w:b/>
      <w:kern w:val="0"/>
      <w:sz w:val="20"/>
      <w:szCs w:val="20"/>
    </w:rPr>
  </w:style>
  <w:style w:type="paragraph" w:customStyle="1" w:styleId="358">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9">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60">
    <w:name w:val="p0"/>
    <w:basedOn w:val="1"/>
    <w:next w:val="361"/>
    <w:qFormat/>
    <w:uiPriority w:val="0"/>
    <w:pPr>
      <w:widowControl/>
      <w:spacing w:before="280" w:after="280"/>
    </w:pPr>
    <w:rPr>
      <w:rFonts w:ascii="宋体" w:hAnsi="Calibri"/>
      <w:kern w:val="0"/>
      <w:sz w:val="24"/>
      <w:szCs w:val="20"/>
    </w:rPr>
  </w:style>
  <w:style w:type="paragraph" w:customStyle="1" w:styleId="361">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62">
    <w:name w:val="列出段落11"/>
    <w:basedOn w:val="1"/>
    <w:next w:val="363"/>
    <w:qFormat/>
    <w:uiPriority w:val="0"/>
    <w:pPr>
      <w:widowControl/>
      <w:spacing w:line="360" w:lineRule="auto"/>
      <w:ind w:firstLine="420"/>
    </w:pPr>
    <w:rPr>
      <w:rFonts w:hAnsi="Calibri" w:eastAsia="微软雅黑"/>
      <w:kern w:val="0"/>
      <w:sz w:val="24"/>
      <w:szCs w:val="20"/>
    </w:rPr>
  </w:style>
  <w:style w:type="paragraph" w:customStyle="1" w:styleId="363">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64">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65">
    <w:name w:val="xl91"/>
    <w:basedOn w:val="1"/>
    <w:next w:val="262"/>
    <w:qFormat/>
    <w:uiPriority w:val="0"/>
    <w:pPr>
      <w:widowControl/>
      <w:shd w:val="clear" w:color="000000" w:fill="FFFFFF"/>
      <w:spacing w:before="280" w:after="280"/>
    </w:pPr>
    <w:rPr>
      <w:rFonts w:ascii="宋体" w:hAnsi="Calibri"/>
      <w:kern w:val="0"/>
      <w:sz w:val="20"/>
      <w:szCs w:val="20"/>
    </w:rPr>
  </w:style>
  <w:style w:type="paragraph" w:customStyle="1" w:styleId="366">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67">
    <w:name w:val="_Style 1"/>
    <w:basedOn w:val="1"/>
    <w:next w:val="368"/>
    <w:qFormat/>
    <w:uiPriority w:val="0"/>
    <w:pPr>
      <w:ind w:firstLine="420"/>
    </w:pPr>
    <w:rPr>
      <w:rFonts w:hAnsi="Calibri"/>
      <w:kern w:val="0"/>
      <w:szCs w:val="20"/>
    </w:rPr>
  </w:style>
  <w:style w:type="paragraph" w:customStyle="1" w:styleId="368">
    <w:name w:val="TOC Heading13"/>
    <w:next w:val="1"/>
    <w:qFormat/>
    <w:uiPriority w:val="0"/>
    <w:pPr>
      <w:wordWrap w:val="0"/>
    </w:pPr>
    <w:rPr>
      <w:rFonts w:ascii="Calibri" w:hAnsi="Calibri" w:eastAsia="宋体" w:cs="Times New Roman"/>
      <w:sz w:val="32"/>
      <w:lang w:val="en-US" w:eastAsia="zh-CN" w:bidi="ar-SA"/>
    </w:rPr>
  </w:style>
  <w:style w:type="paragraph" w:customStyle="1" w:styleId="369">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70">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71">
    <w:name w:val="x_msonormal"/>
    <w:basedOn w:val="1"/>
    <w:next w:val="321"/>
    <w:qFormat/>
    <w:uiPriority w:val="0"/>
    <w:pPr>
      <w:widowControl/>
      <w:spacing w:before="280" w:after="280"/>
    </w:pPr>
    <w:rPr>
      <w:rFonts w:ascii="PMingLiU" w:hAnsi="Calibri" w:eastAsia="PMingLiU"/>
      <w:kern w:val="0"/>
      <w:sz w:val="24"/>
      <w:szCs w:val="20"/>
    </w:rPr>
  </w:style>
  <w:style w:type="paragraph" w:customStyle="1" w:styleId="372">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73">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74">
    <w:name w:val="TOC Heading17"/>
    <w:next w:val="1"/>
    <w:qFormat/>
    <w:uiPriority w:val="0"/>
    <w:pPr>
      <w:wordWrap w:val="0"/>
    </w:pPr>
    <w:rPr>
      <w:rFonts w:ascii="Calibri" w:hAnsi="Calibri" w:eastAsia="宋体" w:cs="Times New Roman"/>
      <w:sz w:val="32"/>
      <w:lang w:val="en-US" w:eastAsia="zh-CN" w:bidi="ar-SA"/>
    </w:rPr>
  </w:style>
  <w:style w:type="paragraph" w:customStyle="1" w:styleId="375">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76">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77">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78">
    <w:name w:val="xl118"/>
    <w:basedOn w:val="1"/>
    <w:next w:val="252"/>
    <w:qFormat/>
    <w:uiPriority w:val="0"/>
    <w:pPr>
      <w:widowControl/>
      <w:shd w:val="clear" w:color="000000" w:fill="FFFFFF"/>
      <w:spacing w:before="280" w:after="280"/>
      <w:jc w:val="center"/>
    </w:pPr>
    <w:rPr>
      <w:rFonts w:ascii="宋体" w:hAnsi="Calibri"/>
      <w:b/>
      <w:kern w:val="0"/>
      <w:sz w:val="20"/>
      <w:szCs w:val="20"/>
    </w:rPr>
  </w:style>
  <w:style w:type="paragraph" w:customStyle="1" w:styleId="379">
    <w:name w:val="xl83"/>
    <w:basedOn w:val="1"/>
    <w:next w:val="307"/>
    <w:qFormat/>
    <w:uiPriority w:val="0"/>
    <w:pPr>
      <w:widowControl/>
      <w:shd w:val="clear" w:color="000000" w:fill="FFFFFF"/>
      <w:spacing w:before="280" w:after="280"/>
    </w:pPr>
    <w:rPr>
      <w:rFonts w:ascii="宋体" w:hAnsi="Calibri"/>
      <w:kern w:val="0"/>
      <w:sz w:val="20"/>
      <w:szCs w:val="20"/>
    </w:rPr>
  </w:style>
  <w:style w:type="paragraph" w:customStyle="1" w:styleId="380">
    <w:name w:val="xl103"/>
    <w:basedOn w:val="1"/>
    <w:next w:val="381"/>
    <w:qFormat/>
    <w:uiPriority w:val="0"/>
    <w:pPr>
      <w:widowControl/>
      <w:shd w:val="clear" w:color="000000" w:fill="FFFFFF"/>
      <w:spacing w:before="280" w:after="280"/>
    </w:pPr>
    <w:rPr>
      <w:rFonts w:ascii="宋体" w:hAnsi="Calibri"/>
      <w:kern w:val="0"/>
      <w:sz w:val="20"/>
      <w:szCs w:val="20"/>
    </w:rPr>
  </w:style>
  <w:style w:type="paragraph" w:customStyle="1" w:styleId="381">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82">
    <w:name w:val="xl68"/>
    <w:basedOn w:val="1"/>
    <w:next w:val="383"/>
    <w:qFormat/>
    <w:uiPriority w:val="0"/>
    <w:pPr>
      <w:widowControl/>
      <w:shd w:val="clear" w:color="000000" w:fill="FFFFFF"/>
      <w:spacing w:before="280" w:after="280"/>
    </w:pPr>
    <w:rPr>
      <w:rFonts w:ascii="宋体" w:hAnsi="Calibri"/>
      <w:b/>
      <w:kern w:val="0"/>
      <w:sz w:val="20"/>
      <w:szCs w:val="20"/>
    </w:rPr>
  </w:style>
  <w:style w:type="paragraph" w:customStyle="1" w:styleId="383">
    <w:name w:val="TOC Heading16"/>
    <w:next w:val="1"/>
    <w:qFormat/>
    <w:uiPriority w:val="0"/>
    <w:pPr>
      <w:wordWrap w:val="0"/>
    </w:pPr>
    <w:rPr>
      <w:rFonts w:ascii="Calibri" w:hAnsi="Calibri" w:eastAsia="宋体" w:cs="Times New Roman"/>
      <w:sz w:val="32"/>
      <w:lang w:val="en-US" w:eastAsia="zh-CN" w:bidi="ar-SA"/>
    </w:rPr>
  </w:style>
  <w:style w:type="paragraph" w:customStyle="1" w:styleId="384">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85">
    <w:name w:val="xl94"/>
    <w:basedOn w:val="1"/>
    <w:next w:val="276"/>
    <w:qFormat/>
    <w:uiPriority w:val="0"/>
    <w:pPr>
      <w:widowControl/>
      <w:shd w:val="clear" w:color="000000" w:fill="FFFFFF"/>
      <w:spacing w:before="280" w:after="280"/>
      <w:jc w:val="center"/>
    </w:pPr>
    <w:rPr>
      <w:rFonts w:ascii="宋体" w:hAnsi="Calibri"/>
      <w:kern w:val="0"/>
      <w:sz w:val="20"/>
      <w:szCs w:val="20"/>
    </w:rPr>
  </w:style>
  <w:style w:type="paragraph" w:customStyle="1" w:styleId="386">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87">
    <w:name w:val="xl92"/>
    <w:basedOn w:val="1"/>
    <w:next w:val="388"/>
    <w:qFormat/>
    <w:uiPriority w:val="0"/>
    <w:pPr>
      <w:widowControl/>
      <w:shd w:val="clear" w:color="000000" w:fill="FFFFFF"/>
      <w:spacing w:before="280" w:after="280"/>
    </w:pPr>
    <w:rPr>
      <w:rFonts w:ascii="宋体" w:hAnsi="Calibri"/>
      <w:kern w:val="0"/>
      <w:sz w:val="20"/>
      <w:szCs w:val="20"/>
    </w:rPr>
  </w:style>
  <w:style w:type="paragraph" w:customStyle="1" w:styleId="388">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89">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90">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91">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92">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93">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94">
    <w:name w:val="xl110"/>
    <w:basedOn w:val="1"/>
    <w:next w:val="350"/>
    <w:qFormat/>
    <w:uiPriority w:val="0"/>
    <w:pPr>
      <w:widowControl/>
      <w:shd w:val="clear" w:color="000000" w:fill="FFFFFF"/>
      <w:spacing w:before="280" w:after="280"/>
      <w:jc w:val="center"/>
    </w:pPr>
    <w:rPr>
      <w:rFonts w:ascii="宋体" w:hAnsi="Calibri"/>
      <w:kern w:val="0"/>
      <w:sz w:val="20"/>
      <w:szCs w:val="20"/>
    </w:rPr>
  </w:style>
  <w:style w:type="paragraph" w:customStyle="1" w:styleId="395">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96">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97">
    <w:name w:val="xl85"/>
    <w:basedOn w:val="1"/>
    <w:next w:val="398"/>
    <w:qFormat/>
    <w:uiPriority w:val="0"/>
    <w:pPr>
      <w:widowControl/>
      <w:shd w:val="clear" w:color="000000" w:fill="FFFFFF"/>
      <w:spacing w:before="280" w:after="280"/>
      <w:jc w:val="center"/>
    </w:pPr>
    <w:rPr>
      <w:rFonts w:ascii="宋体" w:hAnsi="Calibri"/>
      <w:kern w:val="0"/>
      <w:sz w:val="20"/>
      <w:szCs w:val="20"/>
    </w:rPr>
  </w:style>
  <w:style w:type="paragraph" w:customStyle="1" w:styleId="398">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99">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400">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401">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402">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403">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404">
    <w:name w:val="xl99"/>
    <w:basedOn w:val="1"/>
    <w:next w:val="389"/>
    <w:qFormat/>
    <w:uiPriority w:val="0"/>
    <w:pPr>
      <w:widowControl/>
      <w:shd w:val="clear" w:color="000000" w:fill="FFFFFF"/>
      <w:spacing w:before="280" w:after="280"/>
    </w:pPr>
    <w:rPr>
      <w:rFonts w:ascii="宋体" w:hAnsi="Calibri"/>
      <w:kern w:val="0"/>
      <w:sz w:val="18"/>
      <w:szCs w:val="20"/>
    </w:rPr>
  </w:style>
  <w:style w:type="paragraph" w:customStyle="1" w:styleId="405">
    <w:name w:val="xl97"/>
    <w:basedOn w:val="1"/>
    <w:next w:val="277"/>
    <w:qFormat/>
    <w:uiPriority w:val="0"/>
    <w:pPr>
      <w:widowControl/>
      <w:shd w:val="clear" w:color="000000" w:fill="FFFFFF"/>
      <w:spacing w:before="280" w:after="280"/>
      <w:jc w:val="center"/>
    </w:pPr>
    <w:rPr>
      <w:rFonts w:ascii="宋体" w:hAnsi="Calibri"/>
      <w:kern w:val="0"/>
      <w:sz w:val="20"/>
      <w:szCs w:val="20"/>
    </w:rPr>
  </w:style>
  <w:style w:type="paragraph" w:customStyle="1" w:styleId="406">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407">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408">
    <w:name w:val="TOC Heading15"/>
    <w:next w:val="1"/>
    <w:qFormat/>
    <w:uiPriority w:val="0"/>
    <w:pPr>
      <w:wordWrap w:val="0"/>
    </w:pPr>
    <w:rPr>
      <w:rFonts w:ascii="Calibri" w:hAnsi="Calibri" w:eastAsia="宋体" w:cs="Times New Roman"/>
      <w:sz w:val="32"/>
      <w:lang w:val="en-US" w:eastAsia="zh-CN" w:bidi="ar-SA"/>
    </w:rPr>
  </w:style>
  <w:style w:type="paragraph" w:customStyle="1" w:styleId="409">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10">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11">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12">
    <w:name w:val="toc 12"/>
    <w:next w:val="1"/>
    <w:qFormat/>
    <w:uiPriority w:val="0"/>
    <w:pPr>
      <w:wordWrap w:val="0"/>
      <w:jc w:val="both"/>
    </w:pPr>
    <w:rPr>
      <w:rFonts w:ascii="Calibri" w:hAnsi="Calibri" w:eastAsia="宋体" w:cs="Times New Roman"/>
      <w:sz w:val="21"/>
      <w:lang w:val="en-US" w:eastAsia="zh-CN" w:bidi="ar-SA"/>
    </w:rPr>
  </w:style>
  <w:style w:type="paragraph" w:customStyle="1" w:styleId="413">
    <w:name w:val="xl95"/>
    <w:basedOn w:val="1"/>
    <w:next w:val="414"/>
    <w:qFormat/>
    <w:uiPriority w:val="0"/>
    <w:pPr>
      <w:widowControl/>
      <w:shd w:val="clear" w:color="000000" w:fill="FFFFFF"/>
      <w:spacing w:before="280" w:after="280"/>
    </w:pPr>
    <w:rPr>
      <w:rFonts w:ascii="宋体" w:hAnsi="Calibri"/>
      <w:kern w:val="0"/>
      <w:sz w:val="20"/>
      <w:szCs w:val="20"/>
    </w:rPr>
  </w:style>
  <w:style w:type="paragraph" w:customStyle="1" w:styleId="414">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15">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16">
    <w:name w:val="xl67"/>
    <w:basedOn w:val="1"/>
    <w:next w:val="417"/>
    <w:qFormat/>
    <w:uiPriority w:val="0"/>
    <w:pPr>
      <w:widowControl/>
      <w:shd w:val="clear" w:color="000000" w:fill="FFFFFF"/>
      <w:spacing w:before="280" w:after="280"/>
      <w:jc w:val="center"/>
    </w:pPr>
    <w:rPr>
      <w:rFonts w:ascii="宋体" w:hAnsi="Calibri"/>
      <w:b/>
      <w:kern w:val="0"/>
      <w:sz w:val="20"/>
      <w:szCs w:val="20"/>
    </w:rPr>
  </w:style>
  <w:style w:type="paragraph" w:customStyle="1" w:styleId="417">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18">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19">
    <w:name w:val="正文 A"/>
    <w:next w:val="336"/>
    <w:qFormat/>
    <w:uiPriority w:val="0"/>
    <w:rPr>
      <w:rFonts w:ascii="Arial" w:hAnsi="Calibri" w:eastAsia="Arial Unicode MS" w:cs="Times New Roman"/>
      <w:color w:val="000000"/>
      <w:sz w:val="21"/>
      <w:lang w:val="en-US" w:eastAsia="zh-CN" w:bidi="ar-SA"/>
    </w:rPr>
  </w:style>
  <w:style w:type="paragraph" w:customStyle="1" w:styleId="420">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21">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22">
    <w:name w:val="xl88"/>
    <w:basedOn w:val="1"/>
    <w:next w:val="408"/>
    <w:qFormat/>
    <w:uiPriority w:val="0"/>
    <w:pPr>
      <w:widowControl/>
      <w:shd w:val="clear" w:color="000000" w:fill="FFFFFF"/>
      <w:spacing w:before="280" w:after="280"/>
      <w:jc w:val="center"/>
    </w:pPr>
    <w:rPr>
      <w:rFonts w:ascii="宋体" w:hAnsi="Calibri"/>
      <w:kern w:val="0"/>
      <w:sz w:val="20"/>
      <w:szCs w:val="20"/>
    </w:rPr>
  </w:style>
  <w:style w:type="paragraph" w:customStyle="1" w:styleId="423">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24">
    <w:name w:val="xl100"/>
    <w:basedOn w:val="1"/>
    <w:next w:val="425"/>
    <w:qFormat/>
    <w:uiPriority w:val="0"/>
    <w:pPr>
      <w:widowControl/>
      <w:shd w:val="clear" w:color="000000" w:fill="FFFFFF"/>
      <w:spacing w:before="280" w:after="280"/>
    </w:pPr>
    <w:rPr>
      <w:rFonts w:ascii="宋体" w:hAnsi="Calibri"/>
      <w:kern w:val="0"/>
      <w:sz w:val="20"/>
      <w:szCs w:val="20"/>
    </w:rPr>
  </w:style>
  <w:style w:type="paragraph" w:customStyle="1" w:styleId="425">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26">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27">
    <w:name w:val="xl114"/>
    <w:basedOn w:val="1"/>
    <w:next w:val="279"/>
    <w:qFormat/>
    <w:uiPriority w:val="0"/>
    <w:pPr>
      <w:widowControl/>
      <w:shd w:val="clear" w:color="000000" w:fill="FFFFFF"/>
      <w:spacing w:before="280" w:after="280"/>
      <w:jc w:val="center"/>
    </w:pPr>
    <w:rPr>
      <w:rFonts w:ascii="宋体" w:hAnsi="Calibri"/>
      <w:b/>
      <w:kern w:val="0"/>
      <w:sz w:val="20"/>
      <w:szCs w:val="20"/>
    </w:rPr>
  </w:style>
  <w:style w:type="paragraph" w:customStyle="1" w:styleId="428">
    <w:name w:val="xl107"/>
    <w:basedOn w:val="1"/>
    <w:next w:val="429"/>
    <w:qFormat/>
    <w:uiPriority w:val="0"/>
    <w:pPr>
      <w:widowControl/>
      <w:shd w:val="clear" w:color="000000" w:fill="FFFFFF"/>
      <w:spacing w:before="280" w:after="280"/>
    </w:pPr>
    <w:rPr>
      <w:rFonts w:ascii="宋体" w:hAnsi="Calibri"/>
      <w:kern w:val="0"/>
      <w:sz w:val="20"/>
      <w:szCs w:val="20"/>
    </w:rPr>
  </w:style>
  <w:style w:type="paragraph" w:customStyle="1" w:styleId="429">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30">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31">
    <w:name w:val="xl90"/>
    <w:basedOn w:val="1"/>
    <w:next w:val="233"/>
    <w:qFormat/>
    <w:uiPriority w:val="0"/>
    <w:pPr>
      <w:widowControl/>
      <w:shd w:val="clear" w:color="000000" w:fill="FFFFFF"/>
      <w:spacing w:before="280" w:after="280"/>
    </w:pPr>
    <w:rPr>
      <w:rFonts w:ascii="宋体" w:hAnsi="Calibri"/>
      <w:kern w:val="0"/>
      <w:sz w:val="18"/>
      <w:szCs w:val="20"/>
    </w:rPr>
  </w:style>
  <w:style w:type="paragraph" w:customStyle="1" w:styleId="432">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33">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34">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35">
    <w:name w:val="xl117"/>
    <w:basedOn w:val="1"/>
    <w:next w:val="332"/>
    <w:qFormat/>
    <w:uiPriority w:val="0"/>
    <w:pPr>
      <w:widowControl/>
      <w:shd w:val="clear" w:color="000000" w:fill="FFFFFF"/>
      <w:spacing w:before="280" w:after="280"/>
      <w:jc w:val="center"/>
    </w:pPr>
    <w:rPr>
      <w:rFonts w:ascii="Arial Narrow" w:hAnsi="Calibri"/>
      <w:kern w:val="0"/>
      <w:sz w:val="24"/>
      <w:szCs w:val="20"/>
    </w:rPr>
  </w:style>
  <w:style w:type="paragraph" w:customStyle="1" w:styleId="436">
    <w:name w:val="p15"/>
    <w:basedOn w:val="1"/>
    <w:next w:val="257"/>
    <w:qFormat/>
    <w:uiPriority w:val="0"/>
    <w:pPr>
      <w:widowControl/>
      <w:ind w:firstLine="420"/>
    </w:pPr>
    <w:rPr>
      <w:rFonts w:hAnsi="Calibri"/>
      <w:kern w:val="0"/>
      <w:szCs w:val="20"/>
    </w:rPr>
  </w:style>
  <w:style w:type="paragraph" w:customStyle="1" w:styleId="437">
    <w:name w:val="xl87"/>
    <w:basedOn w:val="1"/>
    <w:next w:val="438"/>
    <w:qFormat/>
    <w:uiPriority w:val="0"/>
    <w:pPr>
      <w:widowControl/>
      <w:shd w:val="clear" w:color="000000" w:fill="FFFFFF"/>
      <w:spacing w:before="280" w:after="280"/>
    </w:pPr>
    <w:rPr>
      <w:rFonts w:ascii="Arial" w:hAnsi="Calibri"/>
      <w:kern w:val="0"/>
      <w:sz w:val="18"/>
      <w:szCs w:val="20"/>
    </w:rPr>
  </w:style>
  <w:style w:type="paragraph" w:customStyle="1" w:styleId="438">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39">
    <w:name w:val="列出段落7"/>
    <w:basedOn w:val="1"/>
    <w:next w:val="421"/>
    <w:qFormat/>
    <w:uiPriority w:val="0"/>
    <w:pPr>
      <w:ind w:firstLine="420"/>
    </w:pPr>
    <w:rPr>
      <w:rFonts w:hAnsi="Calibri"/>
      <w:kern w:val="0"/>
      <w:szCs w:val="20"/>
    </w:rPr>
  </w:style>
  <w:style w:type="paragraph" w:customStyle="1" w:styleId="440">
    <w:name w:val="xl78"/>
    <w:basedOn w:val="1"/>
    <w:next w:val="411"/>
    <w:qFormat/>
    <w:uiPriority w:val="0"/>
    <w:pPr>
      <w:widowControl/>
      <w:shd w:val="clear" w:color="000000" w:fill="FFFFFF"/>
      <w:spacing w:before="280" w:after="280"/>
    </w:pPr>
    <w:rPr>
      <w:rFonts w:ascii="宋体" w:hAnsi="Calibri"/>
      <w:b/>
      <w:kern w:val="0"/>
      <w:sz w:val="20"/>
      <w:szCs w:val="20"/>
    </w:rPr>
  </w:style>
  <w:style w:type="paragraph" w:customStyle="1" w:styleId="441">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42">
    <w:name w:val="xl89"/>
    <w:basedOn w:val="1"/>
    <w:next w:val="376"/>
    <w:qFormat/>
    <w:uiPriority w:val="0"/>
    <w:pPr>
      <w:widowControl/>
      <w:shd w:val="clear" w:color="000000" w:fill="FFFFFF"/>
      <w:spacing w:before="280" w:after="280"/>
    </w:pPr>
    <w:rPr>
      <w:rFonts w:ascii="宋体" w:hAnsi="Calibri"/>
      <w:kern w:val="0"/>
      <w:sz w:val="20"/>
      <w:szCs w:val="20"/>
    </w:rPr>
  </w:style>
  <w:style w:type="paragraph" w:customStyle="1" w:styleId="443">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44">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45">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46">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47">
    <w:name w:val="toc 16"/>
    <w:next w:val="1"/>
    <w:qFormat/>
    <w:uiPriority w:val="0"/>
    <w:pPr>
      <w:wordWrap w:val="0"/>
      <w:jc w:val="both"/>
    </w:pPr>
    <w:rPr>
      <w:rFonts w:ascii="Calibri" w:hAnsi="Calibri" w:eastAsia="宋体" w:cs="Times New Roman"/>
      <w:sz w:val="21"/>
      <w:lang w:val="en-US" w:eastAsia="zh-CN" w:bidi="ar-SA"/>
    </w:rPr>
  </w:style>
  <w:style w:type="character" w:customStyle="1" w:styleId="448">
    <w:name w:val="引用 Char"/>
    <w:basedOn w:val="47"/>
    <w:link w:val="3"/>
    <w:qFormat/>
    <w:uiPriority w:val="0"/>
    <w:rPr>
      <w:rFonts w:ascii="Calibri" w:hAnsi="Calibri"/>
      <w:i/>
      <w:sz w:val="21"/>
    </w:rPr>
  </w:style>
  <w:style w:type="paragraph" w:customStyle="1" w:styleId="449">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50">
    <w:name w:val="xl119"/>
    <w:basedOn w:val="1"/>
    <w:next w:val="426"/>
    <w:qFormat/>
    <w:uiPriority w:val="0"/>
    <w:pPr>
      <w:widowControl/>
      <w:shd w:val="clear" w:color="000000" w:fill="FFFFFF"/>
      <w:spacing w:before="280" w:after="280"/>
      <w:jc w:val="center"/>
    </w:pPr>
    <w:rPr>
      <w:rFonts w:ascii="宋体" w:hAnsi="Calibri"/>
      <w:b/>
      <w:kern w:val="0"/>
      <w:sz w:val="20"/>
      <w:szCs w:val="20"/>
    </w:rPr>
  </w:style>
  <w:style w:type="paragraph" w:customStyle="1" w:styleId="451">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52">
    <w:name w:val="xl109"/>
    <w:basedOn w:val="1"/>
    <w:next w:val="399"/>
    <w:qFormat/>
    <w:uiPriority w:val="0"/>
    <w:pPr>
      <w:widowControl/>
      <w:shd w:val="clear" w:color="000000" w:fill="FFFFFF"/>
      <w:spacing w:before="280" w:after="280"/>
    </w:pPr>
    <w:rPr>
      <w:rFonts w:ascii="宋体" w:hAnsi="Calibri"/>
      <w:kern w:val="0"/>
      <w:sz w:val="20"/>
      <w:szCs w:val="20"/>
    </w:rPr>
  </w:style>
  <w:style w:type="paragraph" w:customStyle="1" w:styleId="453">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54">
    <w:name w:val="xl76"/>
    <w:basedOn w:val="1"/>
    <w:next w:val="407"/>
    <w:qFormat/>
    <w:uiPriority w:val="0"/>
    <w:pPr>
      <w:widowControl/>
      <w:shd w:val="clear" w:color="000000" w:fill="FFFFFF"/>
      <w:spacing w:before="280" w:after="280"/>
      <w:jc w:val="center"/>
    </w:pPr>
    <w:rPr>
      <w:rFonts w:ascii="宋体" w:hAnsi="Calibri"/>
      <w:b/>
      <w:kern w:val="0"/>
      <w:sz w:val="20"/>
      <w:szCs w:val="20"/>
    </w:rPr>
  </w:style>
  <w:style w:type="paragraph" w:customStyle="1" w:styleId="455">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56">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57">
    <w:name w:val="xl70"/>
    <w:basedOn w:val="1"/>
    <w:next w:val="384"/>
    <w:qFormat/>
    <w:uiPriority w:val="0"/>
    <w:pPr>
      <w:widowControl/>
      <w:shd w:val="clear" w:color="000000" w:fill="FFFFFF"/>
      <w:spacing w:before="280" w:after="280"/>
    </w:pPr>
    <w:rPr>
      <w:rFonts w:ascii="宋体" w:hAnsi="Calibri"/>
      <w:kern w:val="0"/>
      <w:sz w:val="20"/>
      <w:szCs w:val="20"/>
    </w:rPr>
  </w:style>
  <w:style w:type="paragraph" w:customStyle="1" w:styleId="458">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9">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0">
    <w:name w:val="xl98"/>
    <w:basedOn w:val="1"/>
    <w:next w:val="402"/>
    <w:qFormat/>
    <w:uiPriority w:val="0"/>
    <w:pPr>
      <w:widowControl/>
      <w:shd w:val="clear" w:color="000000" w:fill="FFFFFF"/>
      <w:spacing w:before="280" w:after="280"/>
      <w:jc w:val="center"/>
    </w:pPr>
    <w:rPr>
      <w:rFonts w:ascii="宋体" w:hAnsi="Calibri"/>
      <w:kern w:val="0"/>
      <w:sz w:val="20"/>
      <w:szCs w:val="20"/>
    </w:rPr>
  </w:style>
  <w:style w:type="paragraph" w:customStyle="1" w:styleId="461">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62">
    <w:name w:val="toc 13"/>
    <w:next w:val="1"/>
    <w:qFormat/>
    <w:uiPriority w:val="0"/>
    <w:pPr>
      <w:wordWrap w:val="0"/>
      <w:jc w:val="both"/>
    </w:pPr>
    <w:rPr>
      <w:rFonts w:ascii="Calibri" w:hAnsi="Calibri" w:eastAsia="宋体" w:cs="Times New Roman"/>
      <w:sz w:val="21"/>
      <w:lang w:val="en-US" w:eastAsia="zh-CN" w:bidi="ar-SA"/>
    </w:rPr>
  </w:style>
  <w:style w:type="paragraph" w:customStyle="1" w:styleId="463">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64">
    <w:name w:val="xl101"/>
    <w:basedOn w:val="1"/>
    <w:next w:val="433"/>
    <w:qFormat/>
    <w:uiPriority w:val="0"/>
    <w:pPr>
      <w:widowControl/>
      <w:spacing w:before="280" w:after="280"/>
    </w:pPr>
    <w:rPr>
      <w:rFonts w:ascii="宋体" w:hAnsi="Calibri"/>
      <w:kern w:val="0"/>
      <w:sz w:val="20"/>
      <w:szCs w:val="20"/>
    </w:rPr>
  </w:style>
  <w:style w:type="paragraph" w:customStyle="1" w:styleId="465">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66">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67">
    <w:name w:val="Intense Quote"/>
    <w:next w:val="1"/>
    <w:link w:val="468"/>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8">
    <w:name w:val="明显引用 Char"/>
    <w:basedOn w:val="47"/>
    <w:link w:val="467"/>
    <w:qFormat/>
    <w:uiPriority w:val="0"/>
    <w:rPr>
      <w:rFonts w:ascii="Calibri" w:hAnsi="Calibri"/>
      <w:i/>
      <w:sz w:val="21"/>
    </w:rPr>
  </w:style>
  <w:style w:type="paragraph" w:customStyle="1" w:styleId="469">
    <w:name w:val="Char Char Char Char Char Char Char"/>
    <w:basedOn w:val="1"/>
    <w:next w:val="453"/>
    <w:qFormat/>
    <w:uiPriority w:val="0"/>
    <w:pPr>
      <w:widowControl/>
      <w:spacing w:after="160" w:line="240" w:lineRule="exact"/>
    </w:pPr>
    <w:rPr>
      <w:rFonts w:hAnsi="Calibri"/>
      <w:kern w:val="0"/>
      <w:szCs w:val="20"/>
    </w:rPr>
  </w:style>
  <w:style w:type="paragraph" w:customStyle="1" w:styleId="470">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71">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72">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73">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74">
    <w:name w:val="xl64"/>
    <w:basedOn w:val="1"/>
    <w:next w:val="449"/>
    <w:qFormat/>
    <w:uiPriority w:val="0"/>
    <w:pPr>
      <w:widowControl/>
      <w:shd w:val="clear" w:color="000000" w:fill="FFFFFF"/>
      <w:spacing w:before="280" w:after="280"/>
    </w:pPr>
    <w:rPr>
      <w:rFonts w:ascii="宋体" w:hAnsi="Calibri"/>
      <w:kern w:val="0"/>
      <w:sz w:val="20"/>
      <w:szCs w:val="20"/>
    </w:rPr>
  </w:style>
  <w:style w:type="paragraph" w:customStyle="1" w:styleId="475">
    <w:name w:val="xl82"/>
    <w:basedOn w:val="1"/>
    <w:next w:val="295"/>
    <w:qFormat/>
    <w:uiPriority w:val="0"/>
    <w:pPr>
      <w:widowControl/>
      <w:shd w:val="clear" w:color="000000" w:fill="FFFFFF"/>
      <w:spacing w:before="280" w:after="280"/>
    </w:pPr>
    <w:rPr>
      <w:rFonts w:ascii="宋体" w:hAnsi="Calibri"/>
      <w:kern w:val="0"/>
      <w:sz w:val="20"/>
      <w:szCs w:val="20"/>
    </w:rPr>
  </w:style>
  <w:style w:type="paragraph" w:customStyle="1" w:styleId="476">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77">
    <w:name w:val="xl77"/>
    <w:basedOn w:val="1"/>
    <w:next w:val="443"/>
    <w:qFormat/>
    <w:uiPriority w:val="0"/>
    <w:pPr>
      <w:widowControl/>
      <w:shd w:val="clear" w:color="000000" w:fill="FFFFFF"/>
      <w:spacing w:before="280" w:after="280"/>
      <w:jc w:val="center"/>
    </w:pPr>
    <w:rPr>
      <w:rFonts w:ascii="宋体" w:hAnsi="Calibri"/>
      <w:kern w:val="0"/>
      <w:sz w:val="20"/>
      <w:szCs w:val="20"/>
    </w:rPr>
  </w:style>
  <w:style w:type="character" w:customStyle="1" w:styleId="478">
    <w:name w:val="正文缩进 Char1"/>
    <w:qFormat/>
    <w:uiPriority w:val="0"/>
    <w:rPr>
      <w:rFonts w:eastAsia="宋体"/>
      <w:kern w:val="2"/>
      <w:sz w:val="21"/>
      <w:lang w:val="en-US" w:eastAsia="zh-CN" w:bidi="ar-SA"/>
    </w:rPr>
  </w:style>
  <w:style w:type="character" w:customStyle="1" w:styleId="479">
    <w:name w:val="fielderror"/>
    <w:basedOn w:val="47"/>
    <w:qFormat/>
    <w:uiPriority w:val="0"/>
    <w:rPr>
      <w:color w:val="800000"/>
    </w:rPr>
  </w:style>
  <w:style w:type="character" w:customStyle="1" w:styleId="480">
    <w:name w:val="hilite6"/>
    <w:basedOn w:val="47"/>
    <w:qFormat/>
    <w:uiPriority w:val="0"/>
    <w:rPr>
      <w:color w:val="000000"/>
    </w:rPr>
  </w:style>
  <w:style w:type="character" w:customStyle="1" w:styleId="481">
    <w:name w:val="active6"/>
    <w:basedOn w:val="47"/>
    <w:qFormat/>
    <w:uiPriority w:val="0"/>
    <w:rPr>
      <w:color w:val="FFFFFF"/>
    </w:rPr>
  </w:style>
  <w:style w:type="character" w:customStyle="1" w:styleId="482">
    <w:name w:val="inline-help"/>
    <w:basedOn w:val="47"/>
    <w:qFormat/>
    <w:uiPriority w:val="0"/>
  </w:style>
  <w:style w:type="character" w:customStyle="1" w:styleId="483">
    <w:name w:val="active"/>
    <w:basedOn w:val="47"/>
    <w:qFormat/>
    <w:uiPriority w:val="0"/>
    <w:rPr>
      <w:color w:val="FFFFFF"/>
    </w:rPr>
  </w:style>
  <w:style w:type="table" w:customStyle="1" w:styleId="484">
    <w:name w:val="网格型1"/>
    <w:basedOn w:val="44"/>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85">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486">
    <w:name w:val="hover"/>
    <w:basedOn w:val="47"/>
    <w:qFormat/>
    <w:uiPriority w:val="0"/>
  </w:style>
  <w:style w:type="character" w:customStyle="1" w:styleId="487">
    <w:name w:val="hover1"/>
    <w:basedOn w:val="47"/>
    <w:qFormat/>
    <w:uiPriority w:val="0"/>
    <w:rPr>
      <w:color w:val="2590EB"/>
    </w:rPr>
  </w:style>
  <w:style w:type="character" w:customStyle="1" w:styleId="488">
    <w:name w:val="hover2"/>
    <w:basedOn w:val="47"/>
    <w:qFormat/>
    <w:uiPriority w:val="0"/>
    <w:rPr>
      <w:color w:val="2590EB"/>
    </w:rPr>
  </w:style>
  <w:style w:type="character" w:customStyle="1" w:styleId="489">
    <w:name w:val="hover3"/>
    <w:basedOn w:val="47"/>
    <w:qFormat/>
    <w:uiPriority w:val="0"/>
    <w:rPr>
      <w:color w:val="2590EB"/>
      <w:shd w:val="clear" w:fill="E9F4FD"/>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73</Pages>
  <Words>54760</Words>
  <Characters>57524</Characters>
  <Lines>368</Lines>
  <Paragraphs>103</Paragraphs>
  <TotalTime>9</TotalTime>
  <ScaleCrop>false</ScaleCrop>
  <LinksUpToDate>false</LinksUpToDate>
  <CharactersWithSpaces>61249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2021-05-07T05:47:00Z</dcterms:created>
  <dc:creator>thsware</dc:creator>
  <cp:lastModifiedBy>MusicTing</cp:lastModifiedBy>
  <cp:lastPrinted>2025-12-02T07:44:00Z</cp:lastPrinted>
  <dcterms:modified xsi:type="dcterms:W3CDTF">2025-12-02T15:50:16Z</dcterms:modified>
  <dc:title>招  标　文　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1E2805065327480FAD8ED8565A73C4C4_13</vt:lpwstr>
  </property>
  <property fmtid="{D5CDD505-2E9C-101B-9397-08002B2CF9AE}" pid="4" name="KSOTemplateDocerSaveRecord">
    <vt:lpwstr>eyJoZGlkIjoiOTJjYzhjYzE1ZjViMDY3ODFkYjE0MWI1ZTQ0OTExNjgiLCJ1c2VySWQiOiIxOTk4OTA3NTkifQ==</vt:lpwstr>
  </property>
</Properties>
</file>