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DPZXCG-2025-00032</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kern w:val="2"/>
                <w:sz w:val="30"/>
                <w:szCs w:val="30"/>
                <w:lang w:eastAsia="zh-CN"/>
              </w:rPr>
              <w:t>神经康复科设备</w:t>
            </w:r>
            <w:r>
              <w:rPr>
                <w:rFonts w:eastAsia="宋体" w:hint="eastAsia"/>
                <w:kern w:val="2"/>
                <w:sz w:val="30"/>
                <w:szCs w:val="30"/>
                <w:lang w:eastAsia="zh-CN"/>
              </w:rPr>
              <w:t>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2"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；⑤技术团队情况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sz w:val="21"/>
                <w:szCs w:val="21"/>
                <w:lang w:eastAsia="zh-CN"/>
              </w:rPr>
              <w:t>商务</w:t>
            </w:r>
            <w:r>
              <w:rPr>
                <w:rFonts w:ascii="宋体" w:eastAsia="宋体" w:hAnsi="宋体" w:cs="宋体" w:hint="eastAsia"/>
                <w:sz w:val="21"/>
                <w:szCs w:val="21"/>
                <w:lang w:eastAsia="zh-CN"/>
              </w:rPr>
              <w:t>要求偏离情况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非“</w:t>
            </w:r>
            <w:r>
              <w:rPr>
                <w:rFonts w:ascii="宋体" w:eastAsia="宋体" w:hAnsi="宋体" w:cs="宋体" w:hint="eastAsia"/>
                <w:sz w:val="21"/>
                <w:szCs w:val="21"/>
                <w:lang w:eastAsia="zh-CN"/>
              </w:rPr>
              <w:t>★</w:t>
            </w:r>
            <w:r>
              <w:rPr>
                <w:rFonts w:ascii="宋体" w:eastAsia="宋体" w:hAnsi="宋体" w:cs="宋体" w:hint="eastAsia"/>
                <w:sz w:val="21"/>
                <w:szCs w:val="21"/>
                <w:lang w:eastAsia="zh-CN"/>
              </w:rPr>
              <w:t>”部分</w:t>
            </w:r>
            <w:r>
              <w:rPr>
                <w:rFonts w:ascii="宋体" w:eastAsia="宋体" w:hAnsi="宋体" w:cs="宋体" w:hint="eastAsia"/>
                <w:sz w:val="21"/>
                <w:szCs w:val="21"/>
                <w:lang w:eastAsia="zh-CN"/>
              </w:rPr>
              <w:t>）</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0"/>
              </w:numPr>
              <w:autoSpaceDE w:val="0"/>
              <w:autoSpaceDN w:val="0"/>
              <w:adjustRightInd w:val="0"/>
              <w:spacing w:line="320" w:lineRule="exact"/>
              <w:ind w:left="0" w:firstLine="0"/>
              <w:jc w:val="left"/>
              <w:textAlignment w:val="baseline"/>
              <w:rPr>
                <w:rFonts w:ascii="宋体" w:eastAsia="宋体" w:hAnsi="宋体" w:cs="宋体" w:hint="eastAsia"/>
                <w:b/>
                <w:bCs/>
                <w:color w:val="000000"/>
                <w:sz w:val="21"/>
                <w:szCs w:val="21"/>
                <w:lang w:val="zh-CN" w:eastAsia="zh-CN"/>
              </w:rPr>
            </w:pPr>
            <w:r>
              <w:rPr>
                <w:rFonts w:ascii="宋体" w:eastAsia="宋体" w:hAnsi="宋体" w:cs="宋体" w:hint="eastAsia"/>
                <w:b/>
                <w:bCs/>
                <w:color w:val="000000"/>
                <w:sz w:val="21"/>
                <w:szCs w:val="21"/>
                <w:lang w:val="zh-CN" w:eastAsia="zh-CN"/>
              </w:rPr>
              <w:t>（</w:t>
            </w:r>
            <w:r>
              <w:rPr>
                <w:rFonts w:ascii="宋体" w:eastAsia="宋体" w:hAnsi="宋体" w:cs="宋体" w:hint="eastAsia"/>
                <w:b/>
                <w:bCs/>
                <w:color w:val="000000"/>
                <w:sz w:val="21"/>
                <w:szCs w:val="21"/>
                <w:lang w:eastAsia="zh-CN"/>
              </w:rPr>
              <w:t>一</w:t>
            </w:r>
            <w:r>
              <w:rPr>
                <w:rFonts w:ascii="宋体" w:eastAsia="宋体" w:hAnsi="宋体" w:cs="宋体" w:hint="eastAsia"/>
                <w:b/>
                <w:bCs/>
                <w:color w:val="000000"/>
                <w:sz w:val="21"/>
                <w:szCs w:val="21"/>
                <w:lang w:val="zh-CN" w:eastAsia="zh-CN"/>
              </w:rPr>
              <w:t>）评分内容：</w:t>
            </w:r>
          </w:p>
          <w:p>
            <w:pPr>
              <w:widowControl w:val="0"/>
              <w:autoSpaceDE w:val="0"/>
              <w:autoSpaceDN w:val="0"/>
              <w:adjustRightInd w:val="0"/>
              <w:spacing w:line="320" w:lineRule="exact"/>
              <w:jc w:val="left"/>
              <w:textAlignment w:val="baseline"/>
              <w:rPr>
                <w:rFonts w:ascii="宋体" w:eastAsia="宋体" w:hAnsi="宋体" w:cs="宋体" w:hint="eastAsia"/>
                <w:color w:val="000000"/>
                <w:sz w:val="21"/>
                <w:szCs w:val="21"/>
                <w:lang w:val="zh-CN" w:eastAsia="zh-CN"/>
              </w:rPr>
            </w:pPr>
            <w:r>
              <w:rPr>
                <w:rFonts w:ascii="宋体" w:eastAsia="宋体" w:hAnsi="宋体" w:cs="宋体" w:hint="eastAsia"/>
                <w:color w:val="000000"/>
                <w:sz w:val="21"/>
                <w:szCs w:val="21"/>
                <w:lang w:val="zh-CN" w:eastAsia="zh-CN"/>
              </w:rPr>
              <w:t>投标人应如实填写《商务</w:t>
            </w:r>
            <w:r>
              <w:rPr>
                <w:rFonts w:ascii="宋体" w:eastAsia="宋体" w:hAnsi="宋体" w:cs="宋体" w:hint="eastAsia"/>
                <w:color w:val="000000"/>
                <w:sz w:val="21"/>
                <w:szCs w:val="21"/>
                <w:lang w:eastAsia="zh-CN"/>
              </w:rPr>
              <w:t>要求</w:t>
            </w:r>
            <w:r>
              <w:rPr>
                <w:rFonts w:ascii="宋体" w:eastAsia="宋体" w:hAnsi="宋体" w:cs="宋体" w:hint="eastAsia"/>
                <w:color w:val="000000"/>
                <w:sz w:val="21"/>
                <w:szCs w:val="21"/>
                <w:lang w:val="zh-CN" w:eastAsia="zh-CN"/>
              </w:rPr>
              <w:t>偏离表》中</w:t>
            </w:r>
            <w:r>
              <w:rPr>
                <w:rFonts w:ascii="宋体" w:eastAsia="宋体" w:hAnsi="宋体" w:cs="宋体" w:hint="eastAsia"/>
                <w:sz w:val="21"/>
                <w:szCs w:val="21"/>
                <w:lang w:eastAsia="zh-CN"/>
              </w:rPr>
              <w:t>非“</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r>
              <w:rPr>
                <w:rFonts w:ascii="宋体" w:eastAsia="宋体" w:hAnsi="宋体" w:cs="宋体" w:hint="eastAsia"/>
                <w:sz w:val="21"/>
                <w:szCs w:val="21"/>
                <w:lang w:eastAsia="zh-CN"/>
              </w:rPr>
              <w:t>商务</w:t>
            </w:r>
            <w:r>
              <w:rPr>
                <w:rFonts w:ascii="宋体" w:eastAsia="宋体" w:hAnsi="宋体" w:cs="宋体" w:hint="eastAsia"/>
                <w:sz w:val="21"/>
                <w:szCs w:val="21"/>
                <w:lang w:eastAsia="zh-CN"/>
              </w:rPr>
              <w:t>部分要求</w:t>
            </w:r>
            <w:r>
              <w:rPr>
                <w:rFonts w:ascii="宋体" w:eastAsia="宋体" w:hAnsi="宋体" w:cs="宋体" w:hint="eastAsia"/>
                <w:color w:val="000000"/>
                <w:sz w:val="21"/>
                <w:szCs w:val="21"/>
                <w:lang w:val="zh-CN" w:eastAsia="zh-CN"/>
              </w:rPr>
              <w:t>，评审委员会根据响应情况进行打分。</w:t>
            </w:r>
          </w:p>
          <w:p>
            <w:pPr>
              <w:widowControl w:val="0"/>
              <w:numPr>
                <w:ilvl w:val="0"/>
                <w:numId w:val="0"/>
              </w:numPr>
              <w:autoSpaceDE w:val="0"/>
              <w:autoSpaceDN w:val="0"/>
              <w:adjustRightInd w:val="0"/>
              <w:spacing w:line="320" w:lineRule="exact"/>
              <w:ind w:left="0" w:firstLine="0"/>
              <w:jc w:val="left"/>
              <w:textAlignment w:val="baseline"/>
              <w:rPr>
                <w:rFonts w:ascii="宋体" w:eastAsia="宋体" w:hAnsi="宋体" w:cs="宋体" w:hint="eastAsia"/>
                <w:b/>
                <w:bCs/>
                <w:color w:val="000000"/>
                <w:sz w:val="21"/>
                <w:szCs w:val="21"/>
                <w:lang w:val="zh-CN" w:eastAsia="zh-CN"/>
              </w:rPr>
            </w:pPr>
            <w:r>
              <w:rPr>
                <w:rFonts w:ascii="宋体" w:eastAsia="宋体" w:hAnsi="宋体" w:cs="宋体" w:hint="eastAsia"/>
                <w:b/>
                <w:bCs/>
                <w:color w:val="000000"/>
                <w:sz w:val="21"/>
                <w:szCs w:val="21"/>
                <w:lang w:val="zh-CN" w:eastAsia="zh-CN"/>
              </w:rPr>
              <w:t>（</w:t>
            </w:r>
            <w:r>
              <w:rPr>
                <w:rFonts w:ascii="宋体" w:eastAsia="宋体" w:hAnsi="宋体" w:cs="宋体" w:hint="eastAsia"/>
                <w:b/>
                <w:bCs/>
                <w:color w:val="000000"/>
                <w:sz w:val="21"/>
                <w:szCs w:val="21"/>
                <w:lang w:eastAsia="zh-CN"/>
              </w:rPr>
              <w:t>二</w:t>
            </w:r>
            <w:r>
              <w:rPr>
                <w:rFonts w:ascii="宋体" w:eastAsia="宋体" w:hAnsi="宋体" w:cs="宋体" w:hint="eastAsia"/>
                <w:b/>
                <w:bCs/>
                <w:color w:val="000000"/>
                <w:sz w:val="21"/>
                <w:szCs w:val="21"/>
                <w:lang w:val="zh-CN" w:eastAsia="zh-CN"/>
              </w:rPr>
              <w:t>）评分依据：</w:t>
            </w:r>
          </w:p>
          <w:p>
            <w:pPr>
              <w:widowControl w:val="0"/>
              <w:wordWrap w:val="0"/>
              <w:jc w:val="both"/>
              <w:rPr>
                <w:rFonts w:eastAsia="宋体"/>
                <w:kern w:val="2"/>
                <w:sz w:val="21"/>
                <w:szCs w:val="21"/>
                <w:lang w:eastAsia="zh-CN"/>
              </w:rPr>
            </w:pPr>
            <w:r>
              <w:rPr>
                <w:rFonts w:ascii="宋体" w:eastAsia="宋体" w:hAnsi="宋体" w:cs="宋体" w:hint="eastAsia"/>
                <w:kern w:val="2"/>
                <w:sz w:val="21"/>
                <w:szCs w:val="21"/>
                <w:lang w:eastAsia="zh-CN"/>
              </w:rPr>
              <w:t>提供《技术要求偏离表》</w:t>
            </w: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全部满足要求的得100分，每负偏离一项扣</w:t>
            </w:r>
            <w:r>
              <w:rPr>
                <w:rFonts w:ascii="宋体" w:eastAsia="宋体" w:hAnsi="宋体" w:cs="宋体" w:hint="eastAsia"/>
                <w:bCs/>
                <w:color w:val="000000"/>
                <w:kern w:val="2"/>
                <w:sz w:val="21"/>
                <w:szCs w:val="21"/>
                <w:lang w:eastAsia="zh-CN"/>
              </w:rPr>
              <w:t>3.5</w:t>
            </w:r>
            <w:bookmarkStart w:id="3" w:name="_GoBack"/>
            <w:bookmarkEnd w:id="3"/>
            <w:r>
              <w:rPr>
                <w:rFonts w:ascii="宋体" w:eastAsia="宋体" w:hAnsi="宋体" w:cs="宋体" w:hint="eastAsia"/>
                <w:bCs/>
                <w:color w:val="000000"/>
                <w:kern w:val="2"/>
                <w:sz w:val="21"/>
                <w:szCs w:val="21"/>
                <w:lang w:eastAsia="zh-CN"/>
              </w:rPr>
              <w:t>分，扣完为止</w:t>
            </w:r>
            <w:r>
              <w:rPr>
                <w:rFonts w:ascii="宋体" w:eastAsia="宋体" w:hAnsi="宋体" w:cs="宋体" w:hint="eastAsia"/>
                <w:color w:val="000000"/>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2"/>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4"/>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5"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5"/>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7" w:name="bt合同条款及格式"/>
      <w:bookmarkEnd w:id="7"/>
      <w:bookmarkStart w:id="8" w:name="bt合同条款"/>
      <w:bookmarkEnd w:id="8"/>
      <w:bookmarkStart w:id="9" w:name="bt说明"/>
      <w:bookmarkEnd w:id="9"/>
      <w:bookmarkStart w:id="10" w:name="bt合同格式"/>
      <w:bookmarkEnd w:id="10"/>
      <w:bookmarkStart w:id="11" w:name="bt技术标投标文件格式"/>
      <w:bookmarkEnd w:id="11"/>
      <w:bookmarkStart w:id="12" w:name="bt其他资料由投标人自定"/>
      <w:bookmarkEnd w:id="12"/>
      <w:bookmarkStart w:id="13" w:name="bt投标函"/>
      <w:bookmarkEnd w:id="13"/>
      <w:bookmarkStart w:id="14" w:name="bt本工程承诺书"/>
      <w:bookmarkEnd w:id="14"/>
      <w:bookmarkStart w:id="15" w:name="合同格式"/>
      <w:bookmarkEnd w:id="15"/>
      <w:bookmarkStart w:id="16" w:name="bt商务标投标文件格式"/>
      <w:bookmarkEnd w:id="16"/>
      <w:bookmarkStart w:id="17" w:name="bt投标报价汇总表"/>
      <w:bookmarkEnd w:id="17"/>
      <w:bookmarkStart w:id="18" w:name="bt投标文件签署授权委托书"/>
      <w:bookmarkEnd w:id="18"/>
      <w:bookmarkStart w:id="19" w:name="bt投标人情况介绍"/>
      <w:bookmarkEnd w:id="19"/>
      <w:bookmarkStart w:id="20" w:name="bt项目管理班子配备情况"/>
      <w:bookmarkEnd w:id="20"/>
      <w:bookmarkStart w:id="21" w:name="bt其他资料2"/>
      <w:bookmarkEnd w:id="21"/>
      <w:bookmarkStart w:id="22" w:name="bt开标一览表"/>
      <w:bookmarkEnd w:id="22"/>
      <w:bookmarkStart w:id="23" w:name="bt投标人须知"/>
      <w:bookmarkEnd w:id="23"/>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4"/>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部分产品</w:t>
      </w:r>
      <w:r>
        <w:rPr>
          <w:rFonts w:ascii="宋体" w:eastAsia="宋体" w:hAnsi="宋体" w:cs="宋体" w:hint="eastAsia"/>
          <w:color w:val="FF0000"/>
          <w:sz w:val="21"/>
          <w:szCs w:val="21"/>
          <w:lang w:eastAsia="zh-CN"/>
        </w:rPr>
        <w:t>投标人选用进口产品参与投标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5" w:name="_Hlk71926094"/>
      <w:r>
        <w:rPr>
          <w:rFonts w:ascii="宋体" w:eastAsia="宋体" w:hAnsi="宋体" w:hint="eastAsia"/>
          <w:b/>
          <w:bCs/>
          <w:sz w:val="28"/>
          <w:szCs w:val="28"/>
          <w:lang w:eastAsia="zh-CN"/>
        </w:rPr>
        <w:t>对通用条款的补充内容及其他关键信息</w:t>
      </w:r>
      <w:bookmarkEnd w:id="25"/>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6" w:name="_Toc73521635"/>
      <w:bookmarkStart w:id="27" w:name="_Toc73521547"/>
      <w:bookmarkStart w:id="28" w:name="_Toc100052364"/>
      <w:bookmarkStart w:id="29" w:name="_Toc60631620"/>
      <w:bookmarkStart w:id="30" w:name="_Toc73518117"/>
      <w:bookmarkStart w:id="31" w:name="_Toc60560625"/>
      <w:bookmarkStart w:id="32" w:name="_Toc73517639"/>
      <w:bookmarkStart w:id="33" w:name="_Toc101074876"/>
      <w:r>
        <w:rPr>
          <w:rFonts w:ascii="宋体" w:eastAsia="宋体" w:hAnsi="宋体" w:hint="eastAsia"/>
          <w:b/>
          <w:bCs/>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4"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5" w:name="_Hlk71664860"/>
            <w:r>
              <w:rPr>
                <w:rFonts w:ascii="宋体" w:eastAsia="宋体" w:hAnsi="宋体" w:hint="eastAsia"/>
                <w:kern w:val="2"/>
                <w:sz w:val="21"/>
                <w:lang w:eastAsia="zh-CN"/>
              </w:rPr>
              <w:t>样品、现场演示、方案讲解</w:t>
            </w:r>
            <w:bookmarkEnd w:id="35"/>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4"/>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6"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7"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7"/>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8"/>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神经康复科设备</w:t>
            </w:r>
            <w:r>
              <w:rPr>
                <w:rFonts w:eastAsia="宋体" w:hint="eastAsia"/>
                <w:b/>
                <w:bCs/>
                <w:color w:val="FF0000"/>
                <w:kern w:val="2"/>
                <w:sz w:val="21"/>
                <w:szCs w:val="21"/>
                <w:lang w:eastAsia="zh-CN"/>
              </w:rPr>
              <w:t>采购项目</w:t>
            </w:r>
          </w:p>
        </w:tc>
        <w:tc>
          <w:tcPr>
            <w:tcW w:w="338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598800.00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4"/>
        <w:gridCol w:w="1464"/>
        <w:gridCol w:w="425"/>
        <w:gridCol w:w="425"/>
        <w:gridCol w:w="1025"/>
        <w:gridCol w:w="1066"/>
        <w:gridCol w:w="1470"/>
        <w:gridCol w:w="1046"/>
        <w:gridCol w:w="118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8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02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1064"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总价（元）</w:t>
            </w:r>
          </w:p>
        </w:tc>
        <w:tc>
          <w:tcPr>
            <w:tcW w:w="861"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61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69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5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便携式睡眠监测仪</w:t>
            </w:r>
          </w:p>
        </w:tc>
        <w:tc>
          <w:tcPr>
            <w:tcW w:w="249"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0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64300</w:t>
            </w:r>
          </w:p>
        </w:tc>
        <w:tc>
          <w:tcPr>
            <w:tcW w:w="62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64300</w:t>
            </w:r>
          </w:p>
        </w:tc>
        <w:tc>
          <w:tcPr>
            <w:tcW w:w="861"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12"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93"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85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多导睡眠监测仪</w:t>
            </w:r>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00"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342300</w:t>
            </w:r>
          </w:p>
        </w:tc>
        <w:tc>
          <w:tcPr>
            <w:tcW w:w="62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342300</w:t>
            </w:r>
          </w:p>
        </w:tc>
        <w:tc>
          <w:tcPr>
            <w:tcW w:w="861"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接受</w:t>
            </w:r>
            <w:r>
              <w:rPr>
                <w:rFonts w:eastAsia="宋体" w:hint="eastAsia"/>
                <w:bCs/>
                <w:kern w:val="2"/>
                <w:sz w:val="21"/>
                <w:szCs w:val="21"/>
                <w:lang w:eastAsia="zh-CN"/>
              </w:rPr>
              <w:t>进口</w:t>
            </w:r>
          </w:p>
        </w:tc>
        <w:tc>
          <w:tcPr>
            <w:tcW w:w="612"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93"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85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高清摄像系统</w:t>
            </w:r>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00"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107000</w:t>
            </w:r>
          </w:p>
        </w:tc>
        <w:tc>
          <w:tcPr>
            <w:tcW w:w="62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107000</w:t>
            </w:r>
          </w:p>
        </w:tc>
        <w:tc>
          <w:tcPr>
            <w:tcW w:w="861"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12"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93"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858" w:type="pct"/>
            <w:vAlign w:val="center"/>
          </w:tcPr>
          <w:p>
            <w:pPr>
              <w:widowControl w:val="0"/>
              <w:jc w:val="center"/>
              <w:rPr>
                <w:rFonts w:eastAsia="宋体" w:hint="eastAsia"/>
                <w:bCs/>
                <w:kern w:val="2"/>
                <w:sz w:val="21"/>
                <w:szCs w:val="21"/>
                <w:lang w:eastAsia="zh-CN"/>
              </w:rPr>
            </w:pPr>
            <w:bookmarkStart w:id="41" w:name="OLE_LINK3"/>
            <w:r>
              <w:rPr>
                <w:rFonts w:eastAsia="宋体" w:hint="eastAsia"/>
                <w:bCs/>
                <w:kern w:val="2"/>
                <w:sz w:val="21"/>
                <w:szCs w:val="21"/>
                <w:lang w:eastAsia="zh-CN"/>
              </w:rPr>
              <w:t>牙科综合治疗机</w:t>
            </w:r>
            <w:bookmarkEnd w:id="41"/>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00"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85200</w:t>
            </w:r>
          </w:p>
        </w:tc>
        <w:tc>
          <w:tcPr>
            <w:tcW w:w="62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85200</w:t>
            </w:r>
          </w:p>
        </w:tc>
        <w:tc>
          <w:tcPr>
            <w:tcW w:w="861"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12"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93"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多导睡眠监测仪</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2"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adjustRightInd/>
              <w:snapToGrid/>
              <w:spacing w:line="240" w:lineRule="auto"/>
              <w:jc w:val="left"/>
              <w:rPr>
                <w:rFonts w:eastAsia="宋体"/>
                <w:kern w:val="2"/>
                <w:sz w:val="21"/>
                <w:lang w:eastAsia="zh-CN"/>
              </w:rPr>
            </w:pPr>
            <w:r>
              <w:rPr>
                <w:rFonts w:eastAsia="宋体" w:hint="eastAsia"/>
                <w:kern w:val="2"/>
                <w:sz w:val="21"/>
                <w:lang w:eastAsia="zh-CN"/>
              </w:rPr>
              <w:t>★投标人提供</w:t>
            </w:r>
            <w:r>
              <w:rPr>
                <w:rFonts w:eastAsia="宋体"/>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kern w:val="2"/>
                <w:sz w:val="21"/>
                <w:lang w:eastAsia="zh-CN"/>
              </w:rPr>
              <w:t>；</w:t>
            </w:r>
            <w:r>
              <w:rPr>
                <w:rFonts w:eastAsia="宋体"/>
                <w:kern w:val="2"/>
                <w:sz w:val="21"/>
                <w:lang w:eastAsia="zh-CN"/>
              </w:rPr>
              <w:t>如</w:t>
            </w:r>
            <w:r>
              <w:rPr>
                <w:rFonts w:eastAsia="宋体" w:hint="eastAsia"/>
                <w:kern w:val="2"/>
                <w:sz w:val="21"/>
                <w:lang w:eastAsia="zh-CN"/>
              </w:rPr>
              <w:t>投标授权代表</w:t>
            </w:r>
            <w:r>
              <w:rPr>
                <w:rFonts w:eastAsia="宋体"/>
                <w:kern w:val="2"/>
                <w:sz w:val="21"/>
                <w:lang w:eastAsia="zh-CN"/>
              </w:rPr>
              <w:t>与本项目其他投标</w:t>
            </w:r>
            <w:r>
              <w:rPr>
                <w:rFonts w:eastAsia="宋体" w:hint="eastAsia"/>
                <w:kern w:val="2"/>
                <w:sz w:val="21"/>
                <w:lang w:eastAsia="zh-CN"/>
              </w:rPr>
              <w:t>授权代表</w:t>
            </w:r>
            <w:r>
              <w:rPr>
                <w:rFonts w:eastAsia="宋体"/>
                <w:kern w:val="2"/>
                <w:sz w:val="21"/>
                <w:lang w:eastAsia="zh-CN"/>
              </w:rPr>
              <w:t>在同一公司缴纳社保，均作投标无效处理</w:t>
            </w:r>
            <w:r>
              <w:rPr>
                <w:rFonts w:eastAsia="宋体" w:hint="eastAsia"/>
                <w:kern w:val="2"/>
                <w:sz w:val="21"/>
                <w:lang w:eastAsia="zh-CN"/>
              </w:rPr>
              <w:t>；如为新成立企业</w:t>
            </w:r>
            <w:r>
              <w:rPr>
                <w:rFonts w:eastAsia="宋体"/>
                <w:kern w:val="2"/>
                <w:sz w:val="21"/>
                <w:lang w:eastAsia="zh-CN"/>
              </w:rPr>
              <w:t>且</w:t>
            </w:r>
            <w:r>
              <w:rPr>
                <w:rFonts w:eastAsia="宋体" w:hint="eastAsia"/>
                <w:kern w:val="2"/>
                <w:sz w:val="21"/>
                <w:lang w:eastAsia="zh-CN"/>
              </w:rPr>
              <w:t>成立时间不足一个月</w:t>
            </w:r>
            <w:r>
              <w:rPr>
                <w:rFonts w:eastAsia="宋体"/>
                <w:kern w:val="2"/>
                <w:sz w:val="21"/>
                <w:lang w:eastAsia="zh-CN"/>
              </w:rPr>
              <w:t>或</w:t>
            </w:r>
            <w:r>
              <w:rPr>
                <w:rFonts w:eastAsia="宋体" w:hint="eastAsia"/>
                <w:kern w:val="2"/>
                <w:sz w:val="21"/>
                <w:lang w:eastAsia="zh-CN"/>
              </w:rPr>
              <w:t>投标授权代表</w:t>
            </w:r>
            <w:r>
              <w:rPr>
                <w:rFonts w:eastAsia="宋体"/>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kern w:val="2"/>
                <w:sz w:val="21"/>
                <w:lang w:eastAsia="zh-CN"/>
              </w:rPr>
              <w:t>或退休返聘人员</w:t>
            </w:r>
            <w:r>
              <w:rPr>
                <w:rFonts w:eastAsia="宋体" w:hint="eastAsia"/>
                <w:kern w:val="2"/>
                <w:sz w:val="21"/>
                <w:lang w:eastAsia="zh-CN"/>
              </w:rPr>
              <w:t>，尚未办理社保参保手续的，则需提供劳动合同）</w:t>
            </w:r>
            <w:r>
              <w:rPr>
                <w:rFonts w:eastAsia="宋体"/>
                <w:kern w:val="2"/>
                <w:sz w:val="21"/>
                <w:lang w:eastAsia="zh-CN"/>
              </w:rPr>
              <w:t>。</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2"/>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3"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3"/>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143"/>
        <w:gridCol w:w="65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4" w:name="_Hlk70236148"/>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13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便携式睡眠监测仪</w:t>
            </w:r>
          </w:p>
        </w:tc>
        <w:tc>
          <w:tcPr>
            <w:tcW w:w="6485" w:type="dxa"/>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、设备原始采集而非软件分析指标的通道数≧10导，包括呼吸气流（口鼻气流压力和口鼻气流热敏）、胸腹呼吸（独立胸导联、独立腹导联）、脉搏血氧饱和度、脉率、体位、体动、鼾声、环境光参数。</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w:t>
            </w:r>
            <w:bookmarkStart w:id="45" w:name="OLE_LINK1"/>
            <w:r>
              <w:rPr>
                <w:rFonts w:ascii="宋体" w:eastAsia="宋体" w:hAnsi="宋体" w:cs="宋体" w:hint="eastAsia"/>
                <w:color w:val="000000"/>
                <w:kern w:val="2"/>
                <w:sz w:val="21"/>
                <w:szCs w:val="21"/>
                <w:lang w:eastAsia="zh-CN" w:bidi="ar"/>
              </w:rPr>
              <w:t>软件分析参数定义符合</w:t>
            </w:r>
            <w:bookmarkEnd w:id="45"/>
            <w:r>
              <w:rPr>
                <w:rFonts w:ascii="宋体" w:eastAsia="宋体" w:hAnsi="宋体" w:cs="宋体" w:hint="eastAsia"/>
                <w:color w:val="000000"/>
                <w:kern w:val="2"/>
                <w:sz w:val="21"/>
                <w:szCs w:val="21"/>
                <w:lang w:eastAsia="zh-CN" w:bidi="ar"/>
              </w:rPr>
              <w:t>睡眠及其相关事件判读手册。</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3</w:t>
            </w:r>
            <w:r>
              <w:rPr>
                <w:rFonts w:ascii="宋体" w:eastAsia="宋体" w:hAnsi="宋体" w:cs="宋体" w:hint="eastAsia"/>
                <w:color w:val="000000"/>
                <w:kern w:val="2"/>
                <w:sz w:val="21"/>
                <w:szCs w:val="21"/>
                <w:lang w:eastAsia="zh-CN" w:bidi="ar"/>
              </w:rPr>
              <w:t>、设备小巧轻便，体积≤131x81x28 mm，重量≤216克（带电池），监测过程中患者可在睡眠监测室活动。</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4</w:t>
            </w:r>
            <w:r>
              <w:rPr>
                <w:rFonts w:ascii="宋体" w:eastAsia="宋体" w:hAnsi="宋体" w:cs="宋体" w:hint="eastAsia"/>
                <w:color w:val="000000"/>
                <w:kern w:val="2"/>
                <w:sz w:val="21"/>
                <w:szCs w:val="21"/>
                <w:lang w:eastAsia="zh-CN" w:bidi="ar"/>
              </w:rPr>
              <w:t>、设备采用大容量锂电池直流电源供电，实时监测模式下续航时间可达24小时，可重复使用，同时电池可自由拆卸并更换。</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5</w:t>
            </w:r>
            <w:r>
              <w:rPr>
                <w:rFonts w:ascii="宋体" w:eastAsia="宋体" w:hAnsi="宋体" w:cs="宋体" w:hint="eastAsia"/>
                <w:color w:val="000000"/>
                <w:kern w:val="2"/>
                <w:sz w:val="21"/>
                <w:szCs w:val="21"/>
                <w:lang w:eastAsia="zh-CN" w:bidi="ar"/>
              </w:rPr>
              <w:t>、主机内置蓝牙模块，可通过电脑端蓝牙无线连接，软件进行无线初始化，录入患者基本信息及相关监测数据及指标的设置。</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6</w:t>
            </w:r>
            <w:r>
              <w:rPr>
                <w:rFonts w:ascii="宋体" w:eastAsia="宋体" w:hAnsi="宋体" w:cs="宋体" w:hint="eastAsia"/>
                <w:color w:val="000000"/>
                <w:kern w:val="2"/>
                <w:sz w:val="21"/>
                <w:szCs w:val="21"/>
                <w:lang w:eastAsia="zh-CN" w:bidi="ar"/>
              </w:rPr>
              <w:t>、设备主机具有信号灯显示功能，根据红绿信号灯闪烁来判定EXG、SpO2等连接情况。</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7</w:t>
            </w:r>
            <w:r>
              <w:rPr>
                <w:rFonts w:ascii="宋体" w:eastAsia="宋体" w:hAnsi="宋体" w:cs="宋体" w:hint="eastAsia"/>
                <w:color w:val="000000"/>
                <w:kern w:val="2"/>
                <w:sz w:val="21"/>
                <w:szCs w:val="21"/>
                <w:lang w:eastAsia="zh-CN" w:bidi="ar"/>
              </w:rPr>
              <w:t>、设备具有环境光监测功能，可通过环境光自动识别出关灯和开灯时间。</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8</w:t>
            </w:r>
            <w:r>
              <w:rPr>
                <w:rFonts w:ascii="宋体" w:eastAsia="宋体" w:hAnsi="宋体" w:cs="宋体" w:hint="eastAsia"/>
                <w:color w:val="000000"/>
                <w:kern w:val="2"/>
                <w:sz w:val="21"/>
                <w:szCs w:val="21"/>
                <w:lang w:eastAsia="zh-CN" w:bidi="ar"/>
              </w:rPr>
              <w:t>、设备内存卡可≥16GB，存储并保留连续三个患者的睡眠数据，并可依次导入分析软件中进行分析。</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9</w:t>
            </w:r>
            <w:r>
              <w:rPr>
                <w:rFonts w:ascii="宋体" w:eastAsia="宋体" w:hAnsi="宋体" w:cs="宋体" w:hint="eastAsia"/>
                <w:color w:val="000000"/>
                <w:kern w:val="2"/>
                <w:sz w:val="21"/>
                <w:szCs w:val="21"/>
                <w:lang w:eastAsia="zh-CN" w:bidi="ar"/>
              </w:rPr>
              <w:t>、设备主机具有可连续记录三位患者数据的功能，并同时存储于内存卡中，可同时在分析软件中依次下载这三位患者数据进行分析。</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10</w:t>
            </w:r>
            <w:r>
              <w:rPr>
                <w:rFonts w:ascii="宋体" w:eastAsia="宋体" w:hAnsi="宋体" w:cs="宋体" w:hint="eastAsia"/>
                <w:color w:val="000000"/>
                <w:kern w:val="2"/>
                <w:sz w:val="21"/>
                <w:szCs w:val="21"/>
                <w:lang w:eastAsia="zh-CN" w:bidi="ar"/>
              </w:rPr>
              <w:t>、可对不同信号自定义设置高通滤波、低通滤波、工作频率，帮助临床滤除噪声干扰，获取更加准确的信号。</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11</w:t>
            </w:r>
            <w:r>
              <w:rPr>
                <w:rFonts w:ascii="宋体" w:eastAsia="宋体" w:hAnsi="宋体" w:cs="宋体" w:hint="eastAsia"/>
                <w:color w:val="000000"/>
                <w:kern w:val="2"/>
                <w:sz w:val="21"/>
                <w:szCs w:val="21"/>
                <w:lang w:eastAsia="zh-CN" w:bidi="ar"/>
              </w:rPr>
              <w:t>、患者报告可导出为WORD、EXCEL、PDF格式，同时可自定义报告模板。</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12</w:t>
            </w:r>
            <w:r>
              <w:rPr>
                <w:rFonts w:ascii="宋体" w:eastAsia="宋体" w:hAnsi="宋体" w:cs="宋体" w:hint="eastAsia"/>
                <w:color w:val="000000"/>
                <w:kern w:val="2"/>
                <w:sz w:val="21"/>
                <w:szCs w:val="21"/>
                <w:lang w:eastAsia="zh-CN" w:bidi="ar"/>
              </w:rPr>
              <w:t>、数据采集格式采用国际通用EDF格式，可将数据导出edf文件，导入至其它所需要软件平台进行分析。</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3</w:t>
            </w:r>
            <w:r>
              <w:rPr>
                <w:rFonts w:ascii="宋体" w:eastAsia="宋体" w:hAnsi="宋体" w:cs="宋体" w:hint="eastAsia"/>
                <w:color w:val="000000"/>
                <w:kern w:val="2"/>
                <w:sz w:val="21"/>
                <w:szCs w:val="21"/>
                <w:lang w:eastAsia="zh-CN" w:bidi="ar"/>
              </w:rPr>
              <w:t>、软件具有一键导出不同病例患者的各项监测生理指标至Excel中，便于临床医务人员进行科研及其他数据收集操作。</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4</w:t>
            </w:r>
            <w:r>
              <w:rPr>
                <w:rFonts w:ascii="宋体" w:eastAsia="宋体" w:hAnsi="宋体" w:cs="宋体" w:hint="eastAsia"/>
                <w:color w:val="000000"/>
                <w:kern w:val="2"/>
                <w:sz w:val="21"/>
                <w:szCs w:val="21"/>
                <w:lang w:eastAsia="zh-CN" w:bidi="ar"/>
              </w:rPr>
              <w:t>、配套睡眠分析软件具有全中文操作界面，可判断呼吸事件（包含呼吸暂停指数、低通气指数、呼吸暂停+低通气指数、呼吸努力相关微觉醒指数等）。</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生产</w:t>
            </w:r>
            <w:r>
              <w:rPr>
                <w:rFonts w:ascii="宋体" w:eastAsia="宋体" w:hAnsi="宋体" w:cs="宋体" w:hint="eastAsia"/>
                <w:b/>
                <w:bCs/>
                <w:color w:val="FF0000"/>
                <w:kern w:val="2"/>
                <w:sz w:val="21"/>
                <w:szCs w:val="21"/>
                <w:lang w:eastAsia="zh-CN"/>
              </w:rPr>
              <w:t>厂家</w:t>
            </w:r>
            <w:r>
              <w:rPr>
                <w:rFonts w:ascii="宋体" w:eastAsia="宋体" w:hAnsi="宋体" w:cs="宋体" w:hint="eastAsia"/>
                <w:b/>
                <w:bCs/>
                <w:color w:val="FF0000"/>
                <w:kern w:val="2"/>
                <w:sz w:val="21"/>
                <w:szCs w:val="21"/>
                <w:lang w:eastAsia="zh-CN"/>
              </w:rPr>
              <w:t>盖章的</w:t>
            </w:r>
            <w:r>
              <w:rPr>
                <w:rFonts w:ascii="宋体" w:eastAsia="宋体" w:hAnsi="宋体" w:cs="宋体" w:hint="eastAsia"/>
                <w:b/>
                <w:bCs/>
                <w:color w:val="FF0000"/>
                <w:kern w:val="2"/>
                <w:sz w:val="21"/>
                <w:szCs w:val="21"/>
                <w:lang w:eastAsia="zh-CN"/>
              </w:rPr>
              <w:t>技术白皮书或产品彩页或产品说明书</w:t>
            </w:r>
            <w:r>
              <w:rPr>
                <w:rFonts w:ascii="宋体" w:eastAsia="宋体" w:hAnsi="宋体" w:cs="宋体" w:hint="eastAsia"/>
                <w:b/>
                <w:bCs/>
                <w:color w:val="FF0000"/>
                <w:kern w:val="2"/>
                <w:sz w:val="21"/>
                <w:szCs w:val="21"/>
                <w:lang w:eastAsia="zh-CN"/>
              </w:rPr>
              <w:t>或其他</w:t>
            </w:r>
            <w:r>
              <w:rPr>
                <w:rFonts w:ascii="宋体" w:eastAsia="宋体" w:hAnsi="宋体" w:cs="宋体" w:hint="eastAsia"/>
                <w:b/>
                <w:bCs/>
                <w:color w:val="FF0000"/>
                <w:kern w:val="2"/>
                <w:sz w:val="21"/>
                <w:szCs w:val="21"/>
                <w:lang w:eastAsia="zh-CN"/>
              </w:rPr>
              <w:t>证明材料</w:t>
            </w:r>
            <w:r>
              <w:rPr>
                <w:rFonts w:ascii="宋体" w:eastAsia="宋体" w:hAnsi="宋体" w:cs="宋体" w:hint="eastAsia"/>
                <w:b/>
                <w:bCs/>
                <w:color w:val="FF0000"/>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5</w:t>
            </w:r>
            <w:r>
              <w:rPr>
                <w:rFonts w:ascii="宋体" w:eastAsia="宋体" w:hAnsi="宋体" w:cs="宋体" w:hint="eastAsia"/>
                <w:color w:val="000000"/>
                <w:kern w:val="2"/>
                <w:sz w:val="21"/>
                <w:szCs w:val="21"/>
                <w:lang w:eastAsia="zh-CN" w:bidi="ar"/>
              </w:rPr>
              <w:t>、软件可自动翻页和滚动，速度30s/屏，时间可调；可以手动或自动分析睡眠分期、呼吸事件、缺氧事件以及肢体运动事件，并最终生成统计结果和报告；睡眠报告具有血氧趋势图、心率趋势图、呼吸事件趋势图、体动趋势图、体位趋势图。</w:t>
            </w:r>
          </w:p>
        </w:tc>
      </w:tr>
      <w:tr>
        <w:tblPrEx>
          <w:tblW w:w="5000" w:type="pct"/>
          <w:jc w:val="center"/>
          <w:tblLayout w:type="fixed"/>
          <w:tblCellMar>
            <w:top w:w="0" w:type="dxa"/>
            <w:left w:w="108" w:type="dxa"/>
            <w:bottom w:w="0" w:type="dxa"/>
            <w:right w:w="108" w:type="dxa"/>
          </w:tblCellMar>
        </w:tblPrEx>
        <w:trPr>
          <w:trHeight w:val="11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6"/>
              <w:gridCol w:w="1194"/>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24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24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24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24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处理主机</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24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24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酸锂聚合物电池</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TF卡</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TF卡读卡器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血氧探头</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胸腹呼吸带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RIP接口电缆(Abdomen)</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RIP接口电缆(Chest)</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热敏口鼻气流传感器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电源适配器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根</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主机固定带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套</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13.</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鼻氧管</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根</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14.</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蓝牙适配器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15.</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使用说明书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本</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16.</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合格证</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bl>
          <w:p>
            <w:pPr>
              <w:widowControl w:val="0"/>
              <w:spacing w:line="240" w:lineRule="auto"/>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多导睡眠监测仪</w:t>
            </w: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总导联数≥50导</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脑电导联数（差分输入通道）≥16导</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内置DC输入通道 ≥8导</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主机屏幕：≥6.5英寸，彩色触摸屏，实时查看阻抗信息、阻抗数值、生物定标信息</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内置闪光刺激器接口</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采样精度≥24bit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输入阻抗≥1GΩ</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共模抑制比≥100dB</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呼吸运动传感器类型：RIP式全相位呼吸运动传感器，可生成模拟气流（XFlow）和模拟潮气量（XSum）</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软件支持最大采样频率≥16384Hz</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软件功能一体化：睡眠监测、视频脑电监测、脑功能检测功能在同一个软件中，无需额外打开其他软件。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数据采集功能:可实时在线进行人工或自动分析、实时显示趋势图、添加记录日志事件（如灯光状态、CPAP滴定等）移动视频窗口等功能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RBD分析功能 内置多种RBD事件标记，用于研究患者睡眠中的肢体异常行为，亦可无限添加自定义事件。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自动分析功能:睡眠分期、呼吸事件、体位分析、腿动分析、微觉醒事件分析、异态睡眠分析、MSLT分析等。自动分析条件支持用户自定义。</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报告功能:多导睡眠监测报告、微觉醒报告（自发性微觉醒、运动相关性微觉醒、呼吸相关性微觉醒等）、腿动报告、REM睡眠行为障碍(RBD)统计报告、多次小睡潜伏试验报告、脑电图报告、睡眠呼吸暂停低通气报告、CPAP治疗报告，呼吸压力滴定分夜诊断报告等。且支持用户自定义报告。</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呼吸流量环探测技术:可将胸腹运动信号量化，并以动态曲线环实时显示，帮助判断胸腹呼具备吸努力程度和矛盾呼吸，反应上气道阻塞情况。</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具备傅立叶信号频谱分析功能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具备PTT连续无创血压趋势</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具备脑电波可同屏进行双侧对比，叠加对比功能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具备振幅整合脑电图（aEEG）</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具备相对α变异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内置SQL数据库</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6"/>
              <w:gridCol w:w="1194"/>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2782"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名称</w:t>
                  </w:r>
                </w:p>
              </w:tc>
              <w:tc>
                <w:tcPr>
                  <w:tcW w:w="945"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单位</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CN"/>
                    </w:rPr>
                    <w:t>主机</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接线盒</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CN"/>
                    </w:rPr>
                    <w:t>接线盒至主机电缆</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电源线</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TW"/>
                    </w:rPr>
                    <w:t>血氧探头</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CN"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鼻气流导管</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25</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7.</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热敏气流传感器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8.</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鼾声传感器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9.</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体位传感器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10.</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胸腹绑带</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11.</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脑电电极</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盒</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12.</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EKG电极（2根/包）</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包</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13.</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EMG Leg 电极（2根/包）</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包</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14.</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网络摄像监控系统</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r>
                    <w:rPr>
                      <w:rFonts w:ascii="宋体" w:hAnsi="宋体" w:cs="宋体" w:hint="eastAsia"/>
                      <w:kern w:val="2"/>
                      <w:sz w:val="21"/>
                      <w:szCs w:val="21"/>
                      <w:lang w:eastAsia="zh-CN"/>
                    </w:rPr>
                    <w:t>5.</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专业睡眠软件系统</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16.</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电脑和打印机</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62"/>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134"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高清摄像系统</w:t>
            </w:r>
          </w:p>
        </w:tc>
        <w:tc>
          <w:tcPr>
            <w:tcW w:w="6485" w:type="dxa"/>
          </w:tcPr>
          <w:p>
            <w:pPr>
              <w:widowControl w:val="0"/>
              <w:numPr>
                <w:ilvl w:val="0"/>
                <w:numId w:val="0"/>
              </w:numPr>
              <w:spacing w:line="240" w:lineRule="auto"/>
              <w:ind w:left="0" w:firstLine="0"/>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变焦物镜</w:t>
            </w:r>
            <w:r>
              <w:rPr>
                <w:rFonts w:ascii="宋体" w:eastAsia="宋体" w:hAnsi="宋体" w:cs="宋体" w:hint="eastAsia"/>
                <w:b/>
                <w:bCs/>
                <w:kern w:val="2"/>
                <w:sz w:val="21"/>
                <w:szCs w:val="21"/>
                <w:lang w:eastAsia="zh-CN"/>
              </w:rPr>
              <w:t>系统</w:t>
            </w:r>
          </w:p>
        </w:tc>
      </w:tr>
      <w:tr>
        <w:tblPrEx>
          <w:tblW w:w="5000" w:type="pct"/>
          <w:jc w:val="center"/>
          <w:tblLayout w:type="fixed"/>
          <w:tblCellMar>
            <w:top w:w="0" w:type="dxa"/>
            <w:left w:w="108" w:type="dxa"/>
            <w:bottom w:w="0" w:type="dxa"/>
            <w:right w:w="108" w:type="dxa"/>
          </w:tblCellMar>
        </w:tblPrEx>
        <w:trPr>
          <w:trHeight w:val="30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2"/>
              </w:numPr>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物距调焦范围200mm-300mm，主镜体在物距之间调节任意距离均可使用。</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2"/>
              </w:numPr>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配有防污罩适配器，可安装可拆卸的原厂防污罩，避免污物喷溅到镜头造成视野模糊；</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二、4K高清影像系统</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1、可实现影像画面冻结，具有照相和摄像功能；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2、分辨率可达 HDMI 4K(3840*2160)，USB 4K(3840*2160)；照片格式：JPG格式，视频：MP4格式；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3、HDMI比例16:9；</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4、图像可实现360度翻转，局部显示，局部放大，图像对比回放等功能；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5、基本功能： 冻结、拍照、录像、自动曝光、白平衡、回显、十字线；</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6、图像效果： 曝光、亮度、增益、饱和度、对比度、清晰度、白平衡、HDR、彩色/黑白切换；</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7、配有网口，支持无线WIFI功能及全平台APP客户端，可实时观看显微镜手术视频，同时进行图像和视频存储，患者病例建档管理，实现手术显微镜系统真正的网络化、信息化、一体化；</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8、配备27英寸4K高清显示器及支架一套，可实时显示手术的视频图像，方便教学或手术过程的交流； </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9、配备PC存储系统</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77" w:type="dxa"/>
                  <w:vAlign w:val="center"/>
                </w:tcPr>
                <w:p>
                  <w:pPr>
                    <w:widowControl w:val="0"/>
                    <w:snapToGrid w:val="0"/>
                    <w:jc w:val="center"/>
                    <w:rPr>
                      <w:rFonts w:ascii="宋体" w:hAnsi="宋体" w:cs="宋体" w:hint="eastAsia"/>
                      <w:spacing w:val="-13"/>
                      <w:sz w:val="21"/>
                      <w:szCs w:val="21"/>
                      <w:lang w:eastAsia="zh-CN"/>
                    </w:rPr>
                  </w:pPr>
                  <w:r>
                    <w:rPr>
                      <w:rFonts w:ascii="宋体" w:hAnsi="宋体" w:cs="宋体" w:hint="eastAsia"/>
                      <w:kern w:val="2"/>
                      <w:sz w:val="21"/>
                      <w:szCs w:val="21"/>
                      <w:lang w:eastAsia="zh-CN"/>
                    </w:rPr>
                    <w:t>变焦物镜</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77" w:type="dxa"/>
                  <w:vAlign w:val="center"/>
                </w:tcPr>
                <w:p>
                  <w:pPr>
                    <w:widowControl w:val="0"/>
                    <w:snapToGrid w:val="0"/>
                    <w:jc w:val="center"/>
                    <w:rPr>
                      <w:rFonts w:ascii="宋体" w:hAnsi="宋体" w:cs="宋体" w:hint="eastAsia"/>
                      <w:spacing w:val="-1"/>
                      <w:kern w:val="2"/>
                      <w:sz w:val="21"/>
                      <w:szCs w:val="21"/>
                      <w:lang w:eastAsia="zh-CN"/>
                    </w:rPr>
                  </w:pPr>
                  <w:r>
                    <w:rPr>
                      <w:rFonts w:ascii="宋体" w:hAnsi="宋体" w:cs="宋体" w:hint="eastAsia"/>
                      <w:kern w:val="2"/>
                      <w:sz w:val="21"/>
                      <w:szCs w:val="21"/>
                      <w:lang w:eastAsia="zh-CN"/>
                    </w:rPr>
                    <w:t>高清摄像系统</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77" w:type="dxa"/>
                  <w:vAlign w:val="center"/>
                </w:tcPr>
                <w:p>
                  <w:pPr>
                    <w:widowControl w:val="0"/>
                    <w:snapToGrid w:val="0"/>
                    <w:jc w:val="center"/>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PC存储系统</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pacing w:val="6"/>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77" w:type="dxa"/>
                  <w:vAlign w:val="center"/>
                </w:tcPr>
                <w:p>
                  <w:pPr>
                    <w:widowControl w:val="0"/>
                    <w:snapToGrid w:val="0"/>
                    <w:jc w:val="center"/>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27英寸4K高清显示</w:t>
                  </w:r>
                  <w:r>
                    <w:rPr>
                      <w:rFonts w:ascii="宋体" w:hAnsi="宋体" w:cs="宋体" w:hint="eastAsia"/>
                      <w:color w:val="000000"/>
                      <w:kern w:val="2"/>
                      <w:sz w:val="21"/>
                      <w:szCs w:val="21"/>
                      <w:lang w:eastAsia="zh-CN"/>
                    </w:rPr>
                    <w:t>单元</w:t>
                  </w:r>
                </w:p>
                <w:p>
                  <w:pPr>
                    <w:widowControl w:val="0"/>
                    <w:snapToGrid w:val="0"/>
                    <w:jc w:val="center"/>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含支架</w:t>
                  </w:r>
                  <w:r>
                    <w:rPr>
                      <w:rFonts w:ascii="宋体" w:hAnsi="宋体" w:cs="宋体" w:hint="eastAsia"/>
                      <w:color w:val="000000"/>
                      <w:kern w:val="2"/>
                      <w:sz w:val="21"/>
                      <w:szCs w:val="21"/>
                      <w:lang w:eastAsia="zh-CN"/>
                    </w:rPr>
                    <w:t>）</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pacing w:val="6"/>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牙科综合治疗机</w:t>
            </w: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1、牙科椅</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1.1、坐垫靠背头枕：肤感皮材质皮垫，海绵发泡工艺成型。超薄梨形椅背，具有腰部支撑设计。头枕具有颈部支撑和头部固位功能设计。</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1.2、枕头架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按压式三关节铝合金头枕架，具有儿童和轮椅人士治疗位。</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1.3、治疗椅椅架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五金椅架，表面电泳处理。内高支点结构，具有靠背坐垫联动结构设计。</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1.4、底座：一体高强度铸铝底座，外表面采用汽车烤漆工艺。</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1.5、弯板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弯板一体式高压铸铝工艺成型，外表面采用汽车烤漆工艺。</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1.6、扶手</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高压铸铝工艺成型，镶嵌木纹扶手。外表面采用汽车烤漆工艺。</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1.7、电动推杆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24V直流静音电机</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1.8、座椅高度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最低椅位≤390mm，最高椅位≥800mm。</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1.9、靠背俯仰角度：115°-185°，具有休克急救治疗位。</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1.10、封闭电源</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内置一体封闭电源，水气电分区隔离。</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移动式种植工作台</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2.1、手机管：标配3条四孔手机管。</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工作台：多功能工作台，具有治疗椅升降俯仰控制按键、设置、复位、急救位、口腔灯、加热、漱口水、冲痰盂等按键，可以为三名医生每人设置三种记忆椅位。不锈钢托盘设计。预留220V电源插口，方便插接种植机。</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2.3、脚轮：医用静音脚轮，带锁定功能。</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2.4、器械位挂架：气控式五器械位挂架，可以135°旋转。</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2.5、配置与口腔综合治疗台</w:t>
            </w:r>
            <w:r>
              <w:rPr>
                <w:rFonts w:ascii="宋体" w:eastAsia="宋体" w:hAnsi="宋体" w:cs="宋体" w:hint="eastAsia"/>
                <w:kern w:val="2"/>
                <w:sz w:val="21"/>
                <w:szCs w:val="21"/>
                <w:lang w:eastAsia="zh-CN"/>
              </w:rPr>
              <w:t>相互兼容的</w:t>
            </w:r>
            <w:r>
              <w:rPr>
                <w:rFonts w:ascii="宋体" w:eastAsia="宋体" w:hAnsi="宋体" w:cs="宋体" w:hint="eastAsia"/>
                <w:kern w:val="2"/>
                <w:sz w:val="21"/>
                <w:szCs w:val="21"/>
                <w:lang w:eastAsia="zh-CN"/>
              </w:rPr>
              <w:t>高速手机，</w:t>
            </w:r>
            <w:r>
              <w:rPr>
                <w:rFonts w:ascii="宋体" w:eastAsia="宋体" w:hAnsi="宋体" w:cs="宋体" w:hint="eastAsia"/>
                <w:kern w:val="2"/>
                <w:sz w:val="21"/>
                <w:szCs w:val="21"/>
                <w:lang w:eastAsia="zh-CN"/>
              </w:rPr>
              <w:t>机头直径</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12.5mm，转速范围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330000r/min-400000r/min。</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2.6、配置与口腔综合治疗台</w:t>
            </w:r>
            <w:r>
              <w:rPr>
                <w:rFonts w:ascii="宋体" w:eastAsia="宋体" w:hAnsi="宋体" w:cs="宋体" w:hint="eastAsia"/>
                <w:kern w:val="2"/>
                <w:sz w:val="21"/>
                <w:szCs w:val="21"/>
                <w:lang w:eastAsia="zh-CN"/>
              </w:rPr>
              <w:t>相互兼容的</w:t>
            </w:r>
            <w:r>
              <w:rPr>
                <w:rFonts w:ascii="宋体" w:eastAsia="宋体" w:hAnsi="宋体" w:cs="宋体" w:hint="eastAsia"/>
                <w:kern w:val="2"/>
                <w:sz w:val="21"/>
                <w:szCs w:val="21"/>
                <w:lang w:eastAsia="zh-CN"/>
              </w:rPr>
              <w:t>低速手机套装（含低速气马达、弯手机、直手机）</w:t>
            </w:r>
            <w:r>
              <w:rPr>
                <w:rFonts w:ascii="宋体" w:eastAsia="宋体" w:hAnsi="宋体" w:cs="宋体" w:hint="eastAsia"/>
                <w:kern w:val="2"/>
                <w:sz w:val="21"/>
                <w:szCs w:val="21"/>
                <w:lang w:eastAsia="zh-CN"/>
              </w:rPr>
              <w:t>，最大空载转速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40000r/min，齿轮比为1:1等速</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3、痰盂盆</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3.1、盂盆：一体式陶瓷痰盂盆。</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3.2、水嘴：插拔式漱口水和冲痰盂水水嘴，</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清洗消毒处理。</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3.3、旋转：痰盂盆可整体旋转90°。</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4、副控</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4.1、支撑架：副控支撑架：副控支架可旋转90°。</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4.2、控制盒：可180°旋转，可独立旋转挂架。</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4.3、触摸式按键面板：可控制治疗椅运动、记忆椅位、口腔灯、加热、漱口和冲痰水等功能。</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4.4、强弱吸手柄：具备强弱吸延时功能。 单个挂架角度可根据操作者习惯自行调节。</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4.5、配套：配置与口腔综合治疗台相互兼容电动抽吸系统1套，可为二台牙椅正常提供负压源。</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4.6、配套：配置与口腔综合治疗台相互兼容空压机1套，可为二台牙椅正常提供气源。</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5、手术无影灯</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5.1、灯珠：20颗LED灯珠，12个白光灯珠，8个黄光灯珠。</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5.2、开关：红外感应开关或者触碰开关控制调光。照度从 15,000Lx 到 60,000Lx 可调。色温4,000K - 5,300K。</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6、脚踏开关：可控制手机、洁牙机等器械的工作，可控制干湿磨和单吹气功能。可控制治疗椅升降俯仰运动。可控制漱口水和冲痰盂水。</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7、医生座椅：圆形医生座椅，座椅调节：坐垫靠背角度双调节，座椅高度可调节。</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8、护士座椅：座椅高度可调节。</w:t>
            </w:r>
          </w:p>
        </w:tc>
      </w:tr>
      <w:tr>
        <w:tblPrEx>
          <w:tblW w:w="5000" w:type="pct"/>
          <w:jc w:val="center"/>
          <w:tblLayout w:type="fixed"/>
          <w:tblCellMar>
            <w:top w:w="0" w:type="dxa"/>
            <w:left w:w="108" w:type="dxa"/>
            <w:bottom w:w="0" w:type="dxa"/>
            <w:right w:w="108" w:type="dxa"/>
          </w:tblCellMar>
        </w:tblPrEx>
        <w:trPr>
          <w:trHeight w:val="28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77"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电动牙科椅</w:t>
                  </w:r>
                </w:p>
              </w:tc>
              <w:tc>
                <w:tcPr>
                  <w:tcW w:w="1184"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手术无影灯</w:t>
                  </w:r>
                </w:p>
              </w:tc>
              <w:tc>
                <w:tcPr>
                  <w:tcW w:w="1184"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种植工作台</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助手位</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三用喷枪</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手机管</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根</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3</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强吸手柄</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弱吸手柄</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陶瓷痰盂</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漱口水恒温系统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净水瓶供水系统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复合脚踏开关</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13.</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医生座椅</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14.</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护士座椅</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15.</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内置洁牙机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16.</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根管测量仪</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17.</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光固化机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18.</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电动抽吸系统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19.</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空压机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20.</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高速手机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21.</w:t>
                  </w:r>
                </w:p>
              </w:tc>
              <w:tc>
                <w:tcPr>
                  <w:tcW w:w="3477" w:type="dxa"/>
                  <w:vAlign w:val="center"/>
                </w:tcPr>
                <w:p>
                  <w:pPr>
                    <w:keepNext w:val="0"/>
                    <w:keepLines w:val="0"/>
                    <w:widowControl/>
                    <w:suppressLineNumbers w:val="0"/>
                    <w:jc w:val="both"/>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低速手机套装（含低速气马达、弯手机、直手机各1）</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bl>
          <w:p>
            <w:pPr>
              <w:widowControl w:val="0"/>
              <w:jc w:val="both"/>
              <w:rPr>
                <w:rFonts w:ascii="宋体" w:eastAsia="宋体" w:hAnsi="宋体" w:cs="宋体" w:hint="eastAsia"/>
                <w:kern w:val="2"/>
                <w:sz w:val="21"/>
                <w:szCs w:val="21"/>
                <w:lang w:eastAsia="zh-CN"/>
              </w:rPr>
            </w:pPr>
          </w:p>
        </w:tc>
      </w:tr>
      <w:bookmarkEnd w:id="44"/>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11"/>
        <w:gridCol w:w="1690"/>
        <w:gridCol w:w="581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b/>
                <w:bCs/>
                <w:color w:val="FF0000"/>
                <w:spacing w:val="8"/>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8"/>
                <w:sz w:val="21"/>
                <w:szCs w:val="21"/>
                <w:lang w:eastAsia="zh-CN"/>
              </w:rPr>
              <w:t>报价要求</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kern w:val="2"/>
                <w:sz w:val="21"/>
                <w:szCs w:val="21"/>
                <w:lang w:eastAsia="zh-CN"/>
              </w:rPr>
              <w:t>投标总价是完成该项目的一切费用总和，</w:t>
            </w:r>
            <w:r>
              <w:rPr>
                <w:rFonts w:ascii="宋体" w:hAnsi="宋体" w:cs="宋体" w:hint="eastAsia"/>
                <w:b/>
                <w:bCs/>
                <w:color w:val="FF0000"/>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color w:val="FF0000"/>
                <w:spacing w:val="3"/>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3"/>
                <w:sz w:val="21"/>
                <w:szCs w:val="21"/>
                <w:lang w:eastAsia="zh-CN"/>
              </w:rPr>
              <w:t>付款方式</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合同签订后，乙方需向甲方提供</w:t>
            </w:r>
            <w:r>
              <w:rPr>
                <w:rFonts w:ascii="宋体" w:hAnsi="宋体" w:cs="宋体" w:hint="eastAsia"/>
                <w:b/>
                <w:bCs/>
                <w:color w:val="FF0000"/>
                <w:spacing w:val="8"/>
                <w:sz w:val="21"/>
                <w:szCs w:val="21"/>
                <w:lang w:eastAsia="zh-CN"/>
              </w:rPr>
              <w:t>全额</w:t>
            </w:r>
            <w:r>
              <w:rPr>
                <w:rFonts w:ascii="宋体" w:hAnsi="宋体" w:cs="宋体" w:hint="eastAsia"/>
                <w:b/>
                <w:bCs/>
                <w:color w:val="FF0000"/>
                <w:spacing w:val="8"/>
                <w:sz w:val="21"/>
                <w:szCs w:val="21"/>
                <w:lang w:eastAsia="zh-CN"/>
              </w:rPr>
              <w:t>发票</w:t>
            </w:r>
            <w:r>
              <w:rPr>
                <w:rFonts w:ascii="宋体" w:hAnsi="宋体" w:cs="宋体" w:hint="eastAsia"/>
                <w:b/>
                <w:bCs/>
                <w:color w:val="FF0000"/>
                <w:spacing w:val="8"/>
                <w:sz w:val="21"/>
                <w:szCs w:val="21"/>
                <w:lang w:eastAsia="zh-CN"/>
              </w:rPr>
              <w:t>，</w:t>
            </w:r>
            <w:r>
              <w:rPr>
                <w:rFonts w:ascii="宋体" w:hAnsi="宋体" w:cs="宋体" w:hint="eastAsia"/>
                <w:b/>
                <w:bCs/>
                <w:color w:val="FF0000"/>
                <w:spacing w:val="8"/>
                <w:sz w:val="21"/>
                <w:szCs w:val="21"/>
                <w:lang w:eastAsia="zh-CN"/>
              </w:rPr>
              <w:t>甲方在收到发</w:t>
            </w:r>
            <w:r>
              <w:rPr>
                <w:rFonts w:ascii="宋体" w:hAnsi="宋体" w:cs="宋体" w:hint="eastAsia"/>
                <w:b/>
                <w:bCs/>
                <w:color w:val="FF0000"/>
                <w:spacing w:val="8"/>
                <w:sz w:val="21"/>
                <w:szCs w:val="21"/>
                <w:lang w:eastAsia="zh-CN"/>
              </w:rPr>
              <w:t>票</w:t>
            </w:r>
            <w:r>
              <w:rPr>
                <w:rFonts w:ascii="宋体" w:hAnsi="宋体" w:cs="宋体" w:hint="eastAsia"/>
                <w:b/>
                <w:bCs/>
                <w:color w:val="FF0000"/>
                <w:spacing w:val="8"/>
                <w:sz w:val="21"/>
                <w:szCs w:val="21"/>
                <w:lang w:eastAsia="zh-CN"/>
              </w:rPr>
              <w:t>且财政资金到位后</w:t>
            </w:r>
            <w:r>
              <w:rPr>
                <w:rFonts w:ascii="宋体" w:hAnsi="宋体" w:cs="宋体" w:hint="eastAsia"/>
                <w:b/>
                <w:bCs/>
                <w:color w:val="FF0000"/>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6"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b/>
                <w:bCs/>
                <w:color w:val="FF0000"/>
                <w:spacing w:val="3"/>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3"/>
                <w:sz w:val="21"/>
                <w:szCs w:val="21"/>
                <w:lang w:eastAsia="zh-CN"/>
              </w:rPr>
              <w:t>履约保证金</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1.履约</w:t>
            </w:r>
            <w:r>
              <w:rPr>
                <w:rFonts w:ascii="宋体" w:hAnsi="宋体" w:cs="宋体" w:hint="eastAsia"/>
                <w:b/>
                <w:bCs/>
                <w:color w:val="FF0000"/>
                <w:spacing w:val="8"/>
                <w:sz w:val="21"/>
                <w:szCs w:val="21"/>
                <w:lang w:eastAsia="zh-CN"/>
              </w:rPr>
              <w:t>保证金</w:t>
            </w:r>
            <w:r>
              <w:rPr>
                <w:rFonts w:ascii="宋体" w:hAnsi="宋体" w:cs="宋体" w:hint="eastAsia"/>
                <w:b/>
                <w:bCs/>
                <w:color w:val="FF0000"/>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1.1乙方需向甲方提供合同总额5%的</w:t>
            </w:r>
            <w:r>
              <w:rPr>
                <w:rFonts w:ascii="宋体" w:hAnsi="宋体" w:cs="宋体" w:hint="eastAsia"/>
                <w:b/>
                <w:bCs/>
                <w:color w:val="FF0000"/>
                <w:spacing w:val="8"/>
                <w:sz w:val="21"/>
                <w:szCs w:val="21"/>
                <w:lang w:eastAsia="zh-CN"/>
              </w:rPr>
              <w:t>履约保证金，</w:t>
            </w:r>
            <w:r>
              <w:rPr>
                <w:rFonts w:ascii="宋体" w:hAnsi="宋体" w:cs="宋体" w:hint="eastAsia"/>
                <w:b/>
                <w:bCs/>
                <w:color w:val="FF0000"/>
                <w:spacing w:val="8"/>
                <w:sz w:val="21"/>
                <w:szCs w:val="21"/>
                <w:lang w:eastAsia="zh-CN"/>
              </w:rPr>
              <w:t>由供应商自主选择以支票、汇票、本票、保函等非现金方式提交</w:t>
            </w:r>
            <w:r>
              <w:rPr>
                <w:rFonts w:ascii="宋体" w:hAnsi="宋体" w:cs="宋体" w:hint="eastAsia"/>
                <w:b/>
                <w:bCs/>
                <w:color w:val="FF0000"/>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1.2提交时间：合同签订后</w:t>
            </w:r>
            <w:r>
              <w:rPr>
                <w:rFonts w:ascii="宋体" w:hAnsi="宋体" w:cs="宋体" w:hint="eastAsia"/>
                <w:b/>
                <w:bCs/>
                <w:color w:val="FF0000"/>
                <w:spacing w:val="8"/>
                <w:sz w:val="21"/>
                <w:szCs w:val="21"/>
                <w:lang w:eastAsia="zh-CN"/>
              </w:rPr>
              <w:t>10</w:t>
            </w:r>
            <w:r>
              <w:rPr>
                <w:rFonts w:ascii="宋体" w:hAnsi="宋体" w:cs="宋体" w:hint="eastAsia"/>
                <w:b/>
                <w:bCs/>
                <w:color w:val="FF0000"/>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1.3</w:t>
            </w:r>
            <w:r>
              <w:rPr>
                <w:rFonts w:ascii="宋体" w:hAnsi="宋体" w:cs="宋体" w:hint="eastAsia"/>
                <w:b/>
                <w:bCs/>
                <w:color w:val="FF0000"/>
                <w:spacing w:val="8"/>
                <w:sz w:val="21"/>
                <w:szCs w:val="21"/>
                <w:lang w:eastAsia="zh-CN"/>
              </w:rPr>
              <w:t>如涉及相关费用的，</w:t>
            </w:r>
            <w:r>
              <w:rPr>
                <w:rFonts w:ascii="宋体" w:hAnsi="宋体" w:cs="宋体" w:hint="eastAsia"/>
                <w:b/>
                <w:bCs/>
                <w:color w:val="FF0000"/>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w:t>
            </w:r>
            <w:r>
              <w:rPr>
                <w:rFonts w:ascii="宋体" w:hAnsi="宋体" w:cs="宋体" w:hint="eastAsia"/>
                <w:b/>
                <w:bCs/>
                <w:color w:val="FF0000"/>
                <w:spacing w:val="8"/>
                <w:sz w:val="21"/>
                <w:szCs w:val="21"/>
                <w:lang w:eastAsia="zh-CN"/>
              </w:rPr>
              <w:t>.</w:t>
            </w:r>
            <w:r>
              <w:rPr>
                <w:rFonts w:ascii="宋体" w:hAnsi="宋体" w:cs="宋体" w:hint="eastAsia"/>
                <w:b/>
                <w:bCs/>
                <w:color w:val="FF0000"/>
                <w:spacing w:val="8"/>
                <w:sz w:val="21"/>
                <w:szCs w:val="21"/>
                <w:lang w:eastAsia="zh-CN"/>
              </w:rPr>
              <w:t>保证金退还：</w:t>
            </w:r>
            <w:r>
              <w:rPr>
                <w:rFonts w:ascii="宋体" w:hAnsi="宋体" w:cs="宋体" w:hint="eastAsia"/>
                <w:b/>
                <w:bCs/>
                <w:color w:val="FF0000"/>
                <w:spacing w:val="8"/>
                <w:sz w:val="21"/>
                <w:szCs w:val="21"/>
                <w:lang w:eastAsia="zh-CN"/>
              </w:rPr>
              <w:t>乙方完成供货且经过甲方验收合格后，甲方在30日内不计息退还</w:t>
            </w:r>
            <w:r>
              <w:rPr>
                <w:rFonts w:ascii="宋体" w:hAnsi="宋体" w:cs="宋体" w:hint="eastAsia"/>
                <w:b/>
                <w:bCs/>
                <w:color w:val="FF0000"/>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3.</w:t>
            </w:r>
            <w:r>
              <w:rPr>
                <w:rFonts w:ascii="宋体" w:hAnsi="宋体" w:cs="宋体" w:hint="eastAsia"/>
                <w:b/>
                <w:bCs/>
                <w:color w:val="FF0000"/>
                <w:spacing w:val="8"/>
                <w:sz w:val="21"/>
                <w:szCs w:val="21"/>
                <w:lang w:eastAsia="zh-CN"/>
              </w:rPr>
              <w:t>违约处理：如乙方发生违约行为，如设备出现质量问题，或乙方未按甲方要求维修或替换，则甲方有权</w:t>
            </w:r>
            <w:r>
              <w:rPr>
                <w:rFonts w:ascii="宋体" w:hAnsi="宋体" w:cs="宋体" w:hint="eastAsia"/>
                <w:b/>
                <w:bCs/>
                <w:color w:val="FF0000"/>
                <w:spacing w:val="8"/>
                <w:sz w:val="21"/>
                <w:szCs w:val="21"/>
                <w:lang w:eastAsia="zh-CN"/>
              </w:rPr>
              <w:t>扣除已收取的履约保证金</w:t>
            </w:r>
            <w:r>
              <w:rPr>
                <w:rFonts w:ascii="宋体" w:hAnsi="宋体" w:cs="宋体" w:hint="eastAsia"/>
                <w:b/>
                <w:bCs/>
                <w:color w:val="FF0000"/>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6"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6"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6"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477"/>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（便携式睡眠监测仪、多导睡眠监测仪、高清摄像系统、牙科综合治疗机）</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5000" w:type="pct"/>
          <w:jc w:val="center"/>
          <w:tblLayout w:type="fixed"/>
          <w:tblCellMar>
            <w:top w:w="0" w:type="dxa"/>
            <w:left w:w="0" w:type="dxa"/>
            <w:bottom w:w="0" w:type="dxa"/>
            <w:right w:w="0" w:type="dxa"/>
          </w:tblCellMar>
        </w:tblPrEx>
        <w:trPr>
          <w:trHeight w:val="477"/>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w:t>
            </w:r>
            <w:r>
              <w:rPr>
                <w:rFonts w:hint="eastAsia"/>
                <w:b/>
                <w:bCs/>
                <w:color w:val="FF0000"/>
                <w:kern w:val="2"/>
                <w:sz w:val="21"/>
                <w:lang w:eastAsia="zh-CN"/>
              </w:rPr>
              <w:t>若所投产品为进口，则投标人需提供由设备制造商或授权的中国总代理签署的合法有效的保修、维修承诺函扫描件；若所投产品为国产产品，则无需提供。</w:t>
            </w:r>
          </w:p>
        </w:tc>
      </w:tr>
    </w:tbl>
    <w:p>
      <w:pPr>
        <w:widowControl w:val="0"/>
        <w:ind w:firstLine="420" w:firstLineChars="20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6"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7" w:name="_Hlk72070784"/>
      <w:r>
        <w:rPr>
          <w:rFonts w:eastAsia="宋体" w:hint="eastAsia"/>
          <w:kern w:val="2"/>
          <w:sz w:val="21"/>
          <w:szCs w:val="21"/>
          <w:lang w:eastAsia="zh-CN"/>
        </w:rPr>
        <w:t>投标函</w:t>
      </w:r>
      <w:bookmarkEnd w:id="47"/>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8" w:name="_Hlk72062521"/>
      <w:r>
        <w:rPr>
          <w:rFonts w:eastAsia="宋体" w:hint="eastAsia"/>
          <w:kern w:val="2"/>
          <w:sz w:val="21"/>
          <w:szCs w:val="21"/>
          <w:lang w:eastAsia="zh-CN"/>
        </w:rPr>
        <w:t>采购投标及履约承诺函</w:t>
      </w:r>
      <w:bookmarkEnd w:id="48"/>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49"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9"/>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商务要求偏离表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eastAsia="宋体" w:hint="eastAsia"/>
          <w:kern w:val="2"/>
          <w:sz w:val="21"/>
          <w:szCs w:val="21"/>
          <w:lang w:eastAsia="zh-CN"/>
        </w:rPr>
        <w:t>技术保障措施</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6"/>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0"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1"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0"/>
      <w:bookmarkEnd w:id="51"/>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2"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3"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4" w:name="_Hlk72263588"/>
      <w:r>
        <w:rPr>
          <w:rFonts w:eastAsia="宋体" w:hint="eastAsia"/>
          <w:kern w:val="2"/>
          <w:sz w:val="21"/>
          <w:szCs w:val="21"/>
          <w:lang w:eastAsia="zh-CN"/>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5"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5"/>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3"/>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2"/>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6"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7" w:name="_Hlk72587269"/>
      <w:bookmarkStart w:id="58"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ascii="宋体" w:eastAsia="宋体" w:hAnsi="宋体" w:hint="eastAsia"/>
          <w:kern w:val="2"/>
          <w:sz w:val="21"/>
          <w:szCs w:val="21"/>
          <w:lang w:eastAsia="zh-CN"/>
        </w:rPr>
        <w:t>。</w:t>
      </w:r>
    </w:p>
    <w:bookmarkEnd w:id="58"/>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6"/>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9"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0" w:name="_Hlk72257908"/>
      <w:r>
        <w:rPr>
          <w:rFonts w:ascii="黑体" w:eastAsia="黑体" w:hAnsi="宋体" w:hint="eastAsia"/>
          <w:bCs/>
          <w:szCs w:val="32"/>
          <w:lang w:eastAsia="zh-CN"/>
        </w:rPr>
        <w:t>（二）中小企业声明函、残疾人福利性单位声明函及监狱企业声明函</w:t>
      </w:r>
    </w:p>
    <w:bookmarkEnd w:id="59"/>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3"/>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1"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2" w:name="_Hlk73562331"/>
      <w:bookmarkStart w:id="63"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0"/>
    </w:p>
    <w:p>
      <w:pPr>
        <w:keepNext/>
        <w:keepLines/>
        <w:widowControl w:val="0"/>
        <w:spacing w:before="260" w:after="260" w:line="240" w:lineRule="auto"/>
        <w:jc w:val="center"/>
        <w:outlineLvl w:val="2"/>
        <w:rPr>
          <w:rFonts w:ascii="黑体" w:eastAsia="黑体" w:hAnsi="宋体"/>
          <w:bCs/>
          <w:kern w:val="2"/>
          <w:lang w:eastAsia="zh-CN"/>
        </w:rPr>
      </w:pPr>
      <w:bookmarkStart w:id="64"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8"/>
        <w:gridCol w:w="1110"/>
        <w:gridCol w:w="609"/>
        <w:gridCol w:w="612"/>
        <w:gridCol w:w="508"/>
        <w:gridCol w:w="643"/>
        <w:gridCol w:w="878"/>
        <w:gridCol w:w="467"/>
        <w:gridCol w:w="878"/>
        <w:gridCol w:w="878"/>
        <w:gridCol w:w="585"/>
        <w:gridCol w:w="92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5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57"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59"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98"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77"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1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51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343"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36"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5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便携式睡眠监测仪</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64300</w:t>
            </w:r>
          </w:p>
        </w:tc>
        <w:tc>
          <w:tcPr>
            <w:tcW w:w="515" w:type="pct"/>
            <w:vAlign w:val="center"/>
          </w:tcPr>
          <w:p>
            <w:pPr>
              <w:widowControl w:val="0"/>
              <w:jc w:val="center"/>
              <w:rPr>
                <w:rFonts w:ascii="仿宋" w:eastAsia="仿宋" w:hAnsi="仿宋" w:cs="仿宋" w:hint="eastAsia"/>
                <w:kern w:val="2"/>
                <w:lang w:eastAsia="zh-CN"/>
              </w:rPr>
            </w:pPr>
          </w:p>
        </w:tc>
        <w:tc>
          <w:tcPr>
            <w:tcW w:w="343" w:type="pct"/>
            <w:vAlign w:val="center"/>
          </w:tcPr>
          <w:p>
            <w:pPr>
              <w:widowControl w:val="0"/>
              <w:jc w:val="center"/>
              <w:rPr>
                <w:rFonts w:eastAsia="宋体"/>
                <w:bCs/>
                <w:kern w:val="2"/>
                <w:sz w:val="21"/>
                <w:szCs w:val="21"/>
                <w:lang w:eastAsia="zh-CN"/>
              </w:rPr>
            </w:pPr>
          </w:p>
        </w:tc>
        <w:tc>
          <w:tcPr>
            <w:tcW w:w="53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64300</w:t>
            </w:r>
          </w:p>
        </w:tc>
      </w:tr>
      <w:tr>
        <w:tblPrEx>
          <w:tblW w:w="5000" w:type="pct"/>
          <w:jc w:val="center"/>
          <w:tblLayout w:type="fixed"/>
          <w:tblCellMar>
            <w:top w:w="0" w:type="dxa"/>
            <w:left w:w="108" w:type="dxa"/>
            <w:bottom w:w="0" w:type="dxa"/>
            <w:right w:w="108" w:type="dxa"/>
          </w:tblCellMar>
        </w:tblPrEx>
        <w:trPr>
          <w:trHeight w:hRule="auto" w:val="0"/>
          <w:jc w:val="center"/>
        </w:trPr>
        <w:tc>
          <w:tcPr>
            <w:tcW w:w="25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多导睡眠监测仪</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342300</w:t>
            </w:r>
          </w:p>
        </w:tc>
        <w:tc>
          <w:tcPr>
            <w:tcW w:w="515" w:type="pct"/>
            <w:vAlign w:val="center"/>
          </w:tcPr>
          <w:p>
            <w:pPr>
              <w:widowControl w:val="0"/>
              <w:jc w:val="center"/>
              <w:rPr>
                <w:rFonts w:ascii="仿宋" w:eastAsia="仿宋" w:hAnsi="仿宋" w:cs="仿宋" w:hint="eastAsia"/>
                <w:kern w:val="2"/>
                <w:lang w:eastAsia="zh-CN"/>
              </w:rPr>
            </w:pPr>
          </w:p>
        </w:tc>
        <w:tc>
          <w:tcPr>
            <w:tcW w:w="343" w:type="pct"/>
            <w:vAlign w:val="center"/>
          </w:tcPr>
          <w:p>
            <w:pPr>
              <w:widowControl w:val="0"/>
              <w:jc w:val="center"/>
              <w:rPr>
                <w:rFonts w:eastAsia="宋体"/>
                <w:bCs/>
                <w:kern w:val="2"/>
                <w:sz w:val="21"/>
                <w:szCs w:val="21"/>
                <w:lang w:eastAsia="zh-CN"/>
              </w:rPr>
            </w:pPr>
          </w:p>
        </w:tc>
        <w:tc>
          <w:tcPr>
            <w:tcW w:w="53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342300</w:t>
            </w:r>
          </w:p>
        </w:tc>
      </w:tr>
      <w:tr>
        <w:tblPrEx>
          <w:tblW w:w="5000" w:type="pct"/>
          <w:jc w:val="center"/>
          <w:tblLayout w:type="fixed"/>
          <w:tblCellMar>
            <w:top w:w="0" w:type="dxa"/>
            <w:left w:w="108" w:type="dxa"/>
            <w:bottom w:w="0" w:type="dxa"/>
            <w:right w:w="108" w:type="dxa"/>
          </w:tblCellMar>
        </w:tblPrEx>
        <w:trPr>
          <w:trHeight w:hRule="auto" w:val="0"/>
          <w:jc w:val="center"/>
        </w:trPr>
        <w:tc>
          <w:tcPr>
            <w:tcW w:w="25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高清摄像系统</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107000</w:t>
            </w:r>
          </w:p>
        </w:tc>
        <w:tc>
          <w:tcPr>
            <w:tcW w:w="515" w:type="pct"/>
            <w:vAlign w:val="center"/>
          </w:tcPr>
          <w:p>
            <w:pPr>
              <w:widowControl w:val="0"/>
              <w:jc w:val="center"/>
              <w:rPr>
                <w:rFonts w:ascii="仿宋" w:eastAsia="仿宋" w:hAnsi="仿宋" w:cs="仿宋" w:hint="eastAsia"/>
                <w:kern w:val="2"/>
                <w:lang w:eastAsia="zh-CN"/>
              </w:rPr>
            </w:pPr>
          </w:p>
        </w:tc>
        <w:tc>
          <w:tcPr>
            <w:tcW w:w="343" w:type="pct"/>
            <w:vAlign w:val="center"/>
          </w:tcPr>
          <w:p>
            <w:pPr>
              <w:widowControl w:val="0"/>
              <w:jc w:val="center"/>
              <w:rPr>
                <w:rFonts w:eastAsia="宋体"/>
                <w:bCs/>
                <w:kern w:val="2"/>
                <w:sz w:val="21"/>
                <w:szCs w:val="21"/>
                <w:lang w:eastAsia="zh-CN"/>
              </w:rPr>
            </w:pPr>
          </w:p>
        </w:tc>
        <w:tc>
          <w:tcPr>
            <w:tcW w:w="53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107000</w:t>
            </w:r>
          </w:p>
        </w:tc>
      </w:tr>
      <w:tr>
        <w:tblPrEx>
          <w:tblW w:w="5000" w:type="pct"/>
          <w:jc w:val="center"/>
          <w:tblLayout w:type="fixed"/>
          <w:tblCellMar>
            <w:top w:w="0" w:type="dxa"/>
            <w:left w:w="108" w:type="dxa"/>
            <w:bottom w:w="0" w:type="dxa"/>
            <w:right w:w="108" w:type="dxa"/>
          </w:tblCellMar>
        </w:tblPrEx>
        <w:trPr>
          <w:trHeight w:hRule="auto" w:val="0"/>
          <w:jc w:val="center"/>
        </w:trPr>
        <w:tc>
          <w:tcPr>
            <w:tcW w:w="25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牙科综合治疗机</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85200</w:t>
            </w:r>
          </w:p>
        </w:tc>
        <w:tc>
          <w:tcPr>
            <w:tcW w:w="515" w:type="pct"/>
            <w:vAlign w:val="center"/>
          </w:tcPr>
          <w:p>
            <w:pPr>
              <w:widowControl w:val="0"/>
              <w:jc w:val="center"/>
              <w:rPr>
                <w:rFonts w:ascii="仿宋" w:eastAsia="仿宋" w:hAnsi="仿宋" w:cs="仿宋" w:hint="eastAsia"/>
                <w:kern w:val="2"/>
                <w:lang w:eastAsia="zh-CN"/>
              </w:rPr>
            </w:pPr>
          </w:p>
        </w:tc>
        <w:tc>
          <w:tcPr>
            <w:tcW w:w="343" w:type="pct"/>
            <w:vAlign w:val="center"/>
          </w:tcPr>
          <w:p>
            <w:pPr>
              <w:widowControl w:val="0"/>
              <w:jc w:val="center"/>
              <w:rPr>
                <w:rFonts w:eastAsia="宋体"/>
                <w:bCs/>
                <w:kern w:val="2"/>
                <w:sz w:val="21"/>
                <w:szCs w:val="21"/>
                <w:lang w:eastAsia="zh-CN"/>
              </w:rPr>
            </w:pPr>
          </w:p>
        </w:tc>
        <w:tc>
          <w:tcPr>
            <w:tcW w:w="53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85200</w:t>
            </w:r>
          </w:p>
        </w:tc>
      </w:tr>
      <w:tr>
        <w:tblPrEx>
          <w:tblW w:w="5000" w:type="pct"/>
          <w:jc w:val="center"/>
          <w:tblLayout w:type="fixed"/>
          <w:tblCellMar>
            <w:top w:w="0" w:type="dxa"/>
            <w:left w:w="108" w:type="dxa"/>
            <w:bottom w:w="0" w:type="dxa"/>
            <w:right w:w="108" w:type="dxa"/>
          </w:tblCellMar>
        </w:tblPrEx>
        <w:trPr>
          <w:trHeight w:val="767"/>
          <w:jc w:val="center"/>
        </w:trPr>
        <w:tc>
          <w:tcPr>
            <w:tcW w:w="5000" w:type="pct"/>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5"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5"/>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6" w:name="_Hlk72073235"/>
      <w:r>
        <w:rPr>
          <w:rFonts w:eastAsia="宋体" w:hint="eastAsia"/>
          <w:b/>
          <w:kern w:val="2"/>
          <w:lang w:eastAsia="zh-CN"/>
        </w:rPr>
        <w:t>投标人认为需要涉及的其他内容报价清单</w:t>
      </w:r>
      <w:bookmarkEnd w:id="66"/>
    </w:p>
    <w:p>
      <w:pPr>
        <w:widowControl w:val="0"/>
        <w:jc w:val="both"/>
        <w:rPr>
          <w:rFonts w:eastAsia="宋体"/>
          <w:b/>
          <w:bCs/>
          <w:kern w:val="2"/>
          <w:sz w:val="21"/>
          <w:lang w:eastAsia="zh-CN"/>
        </w:rPr>
      </w:pPr>
    </w:p>
    <w:bookmarkEnd w:id="64"/>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7"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8" w:name="_Hlk72092499"/>
      <w:r>
        <w:rPr>
          <w:rFonts w:ascii="黑体" w:eastAsia="黑体" w:hAnsi="宋体" w:hint="eastAsia"/>
          <w:bCs/>
          <w:kern w:val="2"/>
          <w:szCs w:val="32"/>
          <w:lang w:eastAsia="zh-CN"/>
        </w:rPr>
        <w:t>法定代表人（负责人）证明书</w:t>
      </w:r>
      <w:bookmarkEnd w:id="68"/>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69" w:name="_Hlk72092634"/>
      <w:r>
        <w:rPr>
          <w:rFonts w:ascii="黑体" w:eastAsia="黑体" w:hAnsi="宋体" w:hint="eastAsia"/>
          <w:bCs/>
          <w:lang w:eastAsia="zh-CN"/>
        </w:rPr>
        <w:t>实质性条款响应情况表</w:t>
      </w:r>
      <w:bookmarkEnd w:id="6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0"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0"/>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ascii="宋体" w:eastAsia="宋体" w:hAnsi="宋体" w:cs="宋体" w:hint="eastAsia"/>
                <w:kern w:val="2"/>
                <w:sz w:val="21"/>
                <w:szCs w:val="21"/>
                <w:lang w:eastAsia="zh-CN"/>
              </w:rPr>
              <w:t>★</w:t>
            </w: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与本项目其他投标人</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7"/>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516"/>
        <w:gridCol w:w="5477"/>
        <w:gridCol w:w="696"/>
        <w:gridCol w:w="698"/>
        <w:gridCol w:w="7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302"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21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408"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409"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419"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302"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便携式睡眠监测仪</w:t>
            </w:r>
          </w:p>
        </w:tc>
        <w:tc>
          <w:tcPr>
            <w:tcW w:w="3210" w:type="pct"/>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、设备原始采集而非软件分析指标的通道数≧10导，包括呼吸气流（口鼻气流压力和口鼻气流热敏）、胸腹呼吸（独立胸导联、独立腹导联）、脉搏血氧饱和度、脉率、体位、体动、鼾声、环境光参数。</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02" w:type="pct"/>
            <w:vMerge/>
            <w:vAlign w:val="center"/>
          </w:tcPr>
          <w:p>
            <w:pPr>
              <w:widowControl w:val="0"/>
              <w:jc w:val="center"/>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、软件分析参数定义符合睡眠及其相关事件判读手册。</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3</w:t>
            </w:r>
            <w:r>
              <w:rPr>
                <w:rFonts w:ascii="宋体" w:eastAsia="宋体" w:hAnsi="宋体" w:cs="宋体" w:hint="eastAsia"/>
                <w:color w:val="000000"/>
                <w:kern w:val="2"/>
                <w:sz w:val="21"/>
                <w:szCs w:val="21"/>
                <w:lang w:eastAsia="zh-CN" w:bidi="ar"/>
              </w:rPr>
              <w:t>、设备小巧轻便，体积≤131x81x28 mm，重量≤216克（带电池），监测过程中患者可在睡眠监测室活动。</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4</w:t>
            </w:r>
            <w:r>
              <w:rPr>
                <w:rFonts w:ascii="宋体" w:eastAsia="宋体" w:hAnsi="宋体" w:cs="宋体" w:hint="eastAsia"/>
                <w:color w:val="000000"/>
                <w:kern w:val="2"/>
                <w:sz w:val="21"/>
                <w:szCs w:val="21"/>
                <w:lang w:eastAsia="zh-CN" w:bidi="ar"/>
              </w:rPr>
              <w:t>、设备采用大容量锂电池直流电源供电，实时监测模式下续航时间可达24小时，可重复使用，同时电池可自由拆卸并更换。</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5</w:t>
            </w:r>
            <w:r>
              <w:rPr>
                <w:rFonts w:ascii="宋体" w:eastAsia="宋体" w:hAnsi="宋体" w:cs="宋体" w:hint="eastAsia"/>
                <w:color w:val="000000"/>
                <w:kern w:val="2"/>
                <w:sz w:val="21"/>
                <w:szCs w:val="21"/>
                <w:lang w:eastAsia="zh-CN" w:bidi="ar"/>
              </w:rPr>
              <w:t>、主机内置蓝牙模块，可通过电脑端蓝牙无线连接，软件进行无线初始化，录入患者基本信息及相关监测数据及指标的设置。</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6</w:t>
            </w:r>
            <w:r>
              <w:rPr>
                <w:rFonts w:ascii="宋体" w:eastAsia="宋体" w:hAnsi="宋体" w:cs="宋体" w:hint="eastAsia"/>
                <w:color w:val="000000"/>
                <w:kern w:val="2"/>
                <w:sz w:val="21"/>
                <w:szCs w:val="21"/>
                <w:lang w:eastAsia="zh-CN" w:bidi="ar"/>
              </w:rPr>
              <w:t>、设备主机具有信号灯显示功能，根据红绿信号灯闪烁来判定EXG、SpO2等连接情况。</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7</w:t>
            </w:r>
            <w:r>
              <w:rPr>
                <w:rFonts w:ascii="宋体" w:eastAsia="宋体" w:hAnsi="宋体" w:cs="宋体" w:hint="eastAsia"/>
                <w:color w:val="000000"/>
                <w:kern w:val="2"/>
                <w:sz w:val="21"/>
                <w:szCs w:val="21"/>
                <w:lang w:eastAsia="zh-CN" w:bidi="ar"/>
              </w:rPr>
              <w:t>、设备具有环境光监测功能，可通过环境光自动识别出关灯和开灯时间。</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8</w:t>
            </w:r>
            <w:r>
              <w:rPr>
                <w:rFonts w:ascii="宋体" w:eastAsia="宋体" w:hAnsi="宋体" w:cs="宋体" w:hint="eastAsia"/>
                <w:color w:val="000000"/>
                <w:kern w:val="2"/>
                <w:sz w:val="21"/>
                <w:szCs w:val="21"/>
                <w:lang w:eastAsia="zh-CN" w:bidi="ar"/>
              </w:rPr>
              <w:t>、设备内存卡可≥16GB，存储并保留连续三个患者的睡眠数据，并可依次导入分析软件中进行分析。</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9</w:t>
            </w:r>
            <w:r>
              <w:rPr>
                <w:rFonts w:ascii="宋体" w:eastAsia="宋体" w:hAnsi="宋体" w:cs="宋体" w:hint="eastAsia"/>
                <w:color w:val="000000"/>
                <w:kern w:val="2"/>
                <w:sz w:val="21"/>
                <w:szCs w:val="21"/>
                <w:lang w:eastAsia="zh-CN" w:bidi="ar"/>
              </w:rPr>
              <w:t>、设备主机具有可连续记录三位患者数据的功能，并同时存储于内存卡中，可同时在分析软件中依次下载这三位患者数据进行分析。</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10</w:t>
            </w:r>
            <w:r>
              <w:rPr>
                <w:rFonts w:ascii="宋体" w:eastAsia="宋体" w:hAnsi="宋体" w:cs="宋体" w:hint="eastAsia"/>
                <w:color w:val="000000"/>
                <w:kern w:val="2"/>
                <w:sz w:val="21"/>
                <w:szCs w:val="21"/>
                <w:lang w:eastAsia="zh-CN" w:bidi="ar"/>
              </w:rPr>
              <w:t>、可对不同信号自定义设置高通滤波、低通滤波、工作频率，帮助临床滤除噪声干扰，获取更加准确的信号。</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11</w:t>
            </w:r>
            <w:r>
              <w:rPr>
                <w:rFonts w:ascii="宋体" w:eastAsia="宋体" w:hAnsi="宋体" w:cs="宋体" w:hint="eastAsia"/>
                <w:color w:val="000000"/>
                <w:kern w:val="2"/>
                <w:sz w:val="21"/>
                <w:szCs w:val="21"/>
                <w:lang w:eastAsia="zh-CN" w:bidi="ar"/>
              </w:rPr>
              <w:t>、患者报告可导出为WORD、EXCEL、PDF格式，同时可自定义报告模板。</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12</w:t>
            </w:r>
            <w:r>
              <w:rPr>
                <w:rFonts w:ascii="宋体" w:eastAsia="宋体" w:hAnsi="宋体" w:cs="宋体" w:hint="eastAsia"/>
                <w:color w:val="000000"/>
                <w:kern w:val="2"/>
                <w:sz w:val="21"/>
                <w:szCs w:val="21"/>
                <w:lang w:eastAsia="zh-CN" w:bidi="ar"/>
              </w:rPr>
              <w:t>、数据采集格式采用国际通用EDF格式，可将数据导出edf文件，导入至其它所需要软件平台进行分析。</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3</w:t>
            </w:r>
            <w:r>
              <w:rPr>
                <w:rFonts w:ascii="宋体" w:eastAsia="宋体" w:hAnsi="宋体" w:cs="宋体" w:hint="eastAsia"/>
                <w:color w:val="000000"/>
                <w:kern w:val="2"/>
                <w:sz w:val="21"/>
                <w:szCs w:val="21"/>
                <w:lang w:eastAsia="zh-CN" w:bidi="ar"/>
              </w:rPr>
              <w:t>、软件具有一键导出不同病例患者的各项监测生理指标至Excel中，便于临床医务人员进行科研及其他数据收集操作。</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4</w:t>
            </w:r>
            <w:r>
              <w:rPr>
                <w:rFonts w:ascii="宋体" w:eastAsia="宋体" w:hAnsi="宋体" w:cs="宋体" w:hint="eastAsia"/>
                <w:color w:val="000000"/>
                <w:kern w:val="2"/>
                <w:sz w:val="21"/>
                <w:szCs w:val="21"/>
                <w:lang w:eastAsia="zh-CN" w:bidi="ar"/>
              </w:rPr>
              <w:t>、配套睡眠分析软件具有全中文操作界面，可判断呼吸事件（包含呼吸暂停指数、低通气指数、呼吸暂停+低通气指数、呼吸努力相关微觉醒指数等）。</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生产</w:t>
            </w:r>
            <w:r>
              <w:rPr>
                <w:rFonts w:ascii="宋体" w:eastAsia="宋体" w:hAnsi="宋体" w:cs="宋体" w:hint="eastAsia"/>
                <w:b/>
                <w:bCs/>
                <w:color w:val="FF0000"/>
                <w:kern w:val="2"/>
                <w:sz w:val="21"/>
                <w:szCs w:val="21"/>
                <w:lang w:eastAsia="zh-CN"/>
              </w:rPr>
              <w:t>厂家</w:t>
            </w:r>
            <w:r>
              <w:rPr>
                <w:rFonts w:ascii="宋体" w:eastAsia="宋体" w:hAnsi="宋体" w:cs="宋体" w:hint="eastAsia"/>
                <w:b/>
                <w:bCs/>
                <w:color w:val="FF0000"/>
                <w:kern w:val="2"/>
                <w:sz w:val="21"/>
                <w:szCs w:val="21"/>
                <w:lang w:eastAsia="zh-CN"/>
              </w:rPr>
              <w:t>盖章的</w:t>
            </w:r>
            <w:r>
              <w:rPr>
                <w:rFonts w:ascii="宋体" w:eastAsia="宋体" w:hAnsi="宋体" w:cs="宋体" w:hint="eastAsia"/>
                <w:b/>
                <w:bCs/>
                <w:color w:val="FF0000"/>
                <w:kern w:val="2"/>
                <w:sz w:val="21"/>
                <w:szCs w:val="21"/>
                <w:lang w:eastAsia="zh-CN"/>
              </w:rPr>
              <w:t>技术白皮书或产品彩页或产品说明书</w:t>
            </w:r>
            <w:r>
              <w:rPr>
                <w:rFonts w:ascii="宋体" w:eastAsia="宋体" w:hAnsi="宋体" w:cs="宋体" w:hint="eastAsia"/>
                <w:b/>
                <w:bCs/>
                <w:color w:val="FF0000"/>
                <w:kern w:val="2"/>
                <w:sz w:val="21"/>
                <w:szCs w:val="21"/>
                <w:lang w:eastAsia="zh-CN"/>
              </w:rPr>
              <w:t>或其他</w:t>
            </w:r>
            <w:r>
              <w:rPr>
                <w:rFonts w:ascii="宋体" w:eastAsia="宋体" w:hAnsi="宋体" w:cs="宋体" w:hint="eastAsia"/>
                <w:b/>
                <w:bCs/>
                <w:color w:val="FF0000"/>
                <w:kern w:val="2"/>
                <w:sz w:val="21"/>
                <w:szCs w:val="21"/>
                <w:lang w:eastAsia="zh-CN"/>
              </w:rPr>
              <w:t>证明材料</w:t>
            </w:r>
            <w:r>
              <w:rPr>
                <w:rFonts w:ascii="宋体" w:eastAsia="宋体" w:hAnsi="宋体" w:cs="宋体" w:hint="eastAsia"/>
                <w:b/>
                <w:bCs/>
                <w:color w:val="FF0000"/>
                <w:kern w:val="2"/>
                <w:sz w:val="21"/>
                <w:szCs w:val="21"/>
                <w:lang w:eastAsia="zh-CN"/>
              </w:rPr>
              <w:t>)</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bidi="ar"/>
              </w:rPr>
              <w:t>1</w:t>
            </w:r>
            <w:r>
              <w:rPr>
                <w:rFonts w:ascii="宋体" w:eastAsia="宋体" w:hAnsi="宋体" w:cs="宋体" w:hint="eastAsia"/>
                <w:color w:val="000000"/>
                <w:kern w:val="2"/>
                <w:sz w:val="21"/>
                <w:szCs w:val="21"/>
                <w:lang w:eastAsia="zh-CN" w:bidi="ar"/>
              </w:rPr>
              <w:t>5</w:t>
            </w:r>
            <w:r>
              <w:rPr>
                <w:rFonts w:ascii="宋体" w:eastAsia="宋体" w:hAnsi="宋体" w:cs="宋体" w:hint="eastAsia"/>
                <w:color w:val="000000"/>
                <w:kern w:val="2"/>
                <w:sz w:val="21"/>
                <w:szCs w:val="21"/>
                <w:lang w:eastAsia="zh-CN" w:bidi="ar"/>
              </w:rPr>
              <w:t>、软件可自动翻页和滚动，速度30s/屏，时间可调；可以手动或自动分析睡眠分期、呼吸事件、缺氧事件以及肢体运动事件，并最终生成统计结果和报告；睡眠报告具有血氧趋势图、心率趋势图、呼吸事件趋势图、体动趋势图、体位趋势图。</w:t>
            </w:r>
          </w:p>
        </w:tc>
        <w:tc>
          <w:tcPr>
            <w:tcW w:w="408"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09" w:type="pct"/>
          </w:tcPr>
          <w:p>
            <w:pPr>
              <w:widowControl w:val="0"/>
              <w:spacing w:line="240" w:lineRule="auto"/>
              <w:jc w:val="both"/>
              <w:rPr>
                <w:rFonts w:ascii="宋体" w:eastAsia="宋体" w:hAnsi="宋体" w:cs="宋体" w:hint="eastAsia"/>
                <w:color w:val="000000"/>
                <w:kern w:val="2"/>
                <w:sz w:val="21"/>
                <w:szCs w:val="21"/>
                <w:lang w:eastAsia="zh-CN" w:bidi="ar"/>
              </w:rPr>
            </w:pPr>
          </w:p>
        </w:tc>
        <w:tc>
          <w:tcPr>
            <w:tcW w:w="419" w:type="pct"/>
          </w:tcPr>
          <w:p>
            <w:pPr>
              <w:widowControl w:val="0"/>
              <w:spacing w:line="240" w:lineRule="auto"/>
              <w:jc w:val="both"/>
              <w:rPr>
                <w:rFonts w:ascii="宋体" w:eastAsia="宋体" w:hAnsi="宋体" w:cs="宋体" w:hint="eastAsia"/>
                <w:color w:val="000000"/>
                <w:kern w:val="2"/>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9"/>
              <w:gridCol w:w="1392"/>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24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24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24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24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处理主机</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24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24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酸锂聚合物电池</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TF卡</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TF卡读卡器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血氧探头</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胸腹呼吸带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RIP接口电缆(Abdomen)</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RIP接口电缆(Chest)</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热敏口鼻气流传感器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电源适配器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根</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主机固定带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套</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13.</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鼻氧管</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根</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14.</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蓝牙适配器</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15.</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使用说明书</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本</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24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16.</w:t>
                  </w:r>
                </w:p>
              </w:tc>
              <w:tc>
                <w:tcPr>
                  <w:tcW w:w="3481" w:type="dxa"/>
                  <w:vAlign w:val="center"/>
                </w:tcPr>
                <w:p>
                  <w:pPr>
                    <w:keepNext w:val="0"/>
                    <w:keepLines w:val="0"/>
                    <w:widowControl/>
                    <w:suppressLineNumbers w:val="0"/>
                    <w:spacing w:line="240" w:lineRule="auto"/>
                    <w:jc w:val="left"/>
                    <w:textAlignment w:val="center"/>
                    <w:rPr>
                      <w:rFonts w:ascii="宋体" w:hAnsi="宋体" w:cs="宋体" w:hint="eastAsia"/>
                      <w:bCs/>
                      <w:kern w:val="2"/>
                      <w:sz w:val="21"/>
                      <w:szCs w:val="21"/>
                      <w:lang w:eastAsia="zh-CN"/>
                    </w:rPr>
                  </w:pPr>
                  <w:r>
                    <w:rPr>
                      <w:rFonts w:ascii="宋体" w:hAnsi="宋体" w:cs="宋体" w:hint="eastAsia"/>
                      <w:color w:val="000000"/>
                      <w:sz w:val="21"/>
                      <w:szCs w:val="21"/>
                      <w:lang w:eastAsia="zh-CN" w:bidi="ar"/>
                    </w:rPr>
                    <w:t>合格证</w:t>
                  </w:r>
                </w:p>
              </w:tc>
              <w:tc>
                <w:tcPr>
                  <w:tcW w:w="1184" w:type="dxa"/>
                  <w:vAlign w:val="center"/>
                </w:tcPr>
                <w:p>
                  <w:pPr>
                    <w:keepNext w:val="0"/>
                    <w:keepLines w:val="0"/>
                    <w:widowControl/>
                    <w:suppressLineNumbers w:val="0"/>
                    <w:spacing w:line="240" w:lineRule="auto"/>
                    <w:jc w:val="center"/>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24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bl>
          <w:p>
            <w:pPr>
              <w:widowControl w:val="0"/>
              <w:spacing w:line="240" w:lineRule="auto"/>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多导睡眠监测仪</w:t>
            </w: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总导联数≥50导</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脑电导联数（差分输入通道）≥16导</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内置DC输入通道 ≥8导</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主机屏幕：≥6.5英寸，彩色触摸屏，实时查看阻抗信息、阻抗数值、生物定标信息</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内置闪光刺激器接口</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采样精度≥24bit</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输入阻抗≥1GΩ</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共模抑制比≥100dB</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呼吸运动传感器类型：RIP式全相位呼吸运动传感器，可生成模拟气流（XFlow）和模拟潮气量（XSum）</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软件支持最大采样频率≥16384Hz</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软件功能一体化：睡眠监测、视频脑电监测、脑功能检测功能在同一个软件中，无需额外打开其他软件。</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数据采集功能:可实时在线进行人工或自动分析、实时显示趋势图、添加记录日志事件（如灯光状态、CPAP滴定等）移动视频窗口等功能</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RBD分析功能 内置多种RBD事件标记，用于研究患者睡眠中的肢体异常行为，亦可无限添加自定义事件。</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自动分析功能:睡眠分期、呼吸事件、体位分析、腿动分析、微觉醒事件分析、异态睡眠分析、MSLT分析等。自动分析条件支持用户自定义。</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报告功能:多导睡眠监测报告、微觉醒报告（自发性微觉醒、运动相关性微觉醒、呼吸相关性微觉醒等）、腿动报告、REM睡眠行为障碍(RBD)统计报告、多次小睡潜伏试验报告、脑电图报告、睡眠呼吸暂停低通气报告、CPAP治疗报告，呼吸压力滴定分夜诊断报告等。且支持用户自定义报告。</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呼吸流量环探测技术:可将胸腹运动信号量化，并以动态曲线环实时显示，帮助判断胸腹呼具备吸努力程度和矛盾呼吸，反应上气道阻塞情况。</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具备傅立叶信号频谱分析功能</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具备PTT连续无创血压趋势</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具备脑电波可同屏进行双侧对比，叠加对比功能</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具备振幅整合脑电图（aEEG）</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具备相对α变异</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内置SQL数据库</w:t>
            </w:r>
          </w:p>
        </w:tc>
        <w:tc>
          <w:tcPr>
            <w:tcW w:w="408"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0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1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9"/>
              <w:gridCol w:w="1392"/>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2782"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名称</w:t>
                  </w:r>
                </w:p>
              </w:tc>
              <w:tc>
                <w:tcPr>
                  <w:tcW w:w="945"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单位</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CN"/>
                    </w:rPr>
                    <w:t>主机</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接线盒</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CN"/>
                    </w:rPr>
                    <w:t>接线盒至主机电缆</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电源线</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TW" w:eastAsia="zh-TW"/>
                    </w:rPr>
                    <w:t>血氧探头</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val="zh-CN"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鼻气流导管</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根</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25</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7.</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热敏气流传感器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8.</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鼾声传感器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9.</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体位传感器</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10.</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胸腹绑带</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个</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11.</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脑电电极</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盒</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12.</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EKG电极（2根/包）</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包</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13.</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EMG Leg 电极（2根/包）</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包</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14.</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网络摄像监控系统</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r>
                    <w:rPr>
                      <w:rFonts w:ascii="宋体" w:hAnsi="宋体" w:cs="宋体" w:hint="eastAsia"/>
                      <w:kern w:val="2"/>
                      <w:sz w:val="21"/>
                      <w:szCs w:val="21"/>
                      <w:lang w:eastAsia="zh-CN"/>
                    </w:rPr>
                    <w:t>5.</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专业睡眠软件系统</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16.</w:t>
                  </w:r>
                </w:p>
              </w:tc>
              <w:tc>
                <w:tcPr>
                  <w:tcW w:w="3481"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电脑和打印机</w:t>
                  </w:r>
                </w:p>
              </w:tc>
              <w:tc>
                <w:tcPr>
                  <w:tcW w:w="1184" w:type="dxa"/>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套</w:t>
                  </w:r>
                </w:p>
              </w:tc>
              <w:tc>
                <w:tcPr>
                  <w:tcW w:w="731" w:type="pct"/>
                  <w:vAlign w:val="center"/>
                </w:tcPr>
                <w:p>
                  <w:pPr>
                    <w:widowControl w:val="0"/>
                    <w:jc w:val="both"/>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62"/>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302"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高清摄像系统</w:t>
            </w:r>
          </w:p>
        </w:tc>
        <w:tc>
          <w:tcPr>
            <w:tcW w:w="4446" w:type="pct"/>
            <w:gridSpan w:val="4"/>
          </w:tcPr>
          <w:p>
            <w:pPr>
              <w:widowControl w:val="0"/>
              <w:numPr>
                <w:ilvl w:val="0"/>
                <w:numId w:val="0"/>
              </w:numPr>
              <w:spacing w:line="240" w:lineRule="auto"/>
              <w:ind w:left="0" w:firstLine="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变焦物镜</w:t>
            </w:r>
            <w:r>
              <w:rPr>
                <w:rFonts w:ascii="宋体" w:eastAsia="宋体" w:hAnsi="宋体" w:cs="宋体" w:hint="eastAsia"/>
                <w:b/>
                <w:bCs/>
                <w:kern w:val="2"/>
                <w:sz w:val="21"/>
                <w:szCs w:val="21"/>
                <w:lang w:eastAsia="zh-CN"/>
              </w:rPr>
              <w:t>系统</w:t>
            </w:r>
          </w:p>
        </w:tc>
      </w:tr>
      <w:tr>
        <w:tblPrEx>
          <w:tblW w:w="5000" w:type="pct"/>
          <w:jc w:val="center"/>
          <w:tblLayout w:type="fixed"/>
          <w:tblCellMar>
            <w:top w:w="0" w:type="dxa"/>
            <w:left w:w="108" w:type="dxa"/>
            <w:bottom w:w="0" w:type="dxa"/>
            <w:right w:w="108" w:type="dxa"/>
          </w:tblCellMar>
        </w:tblPrEx>
        <w:trPr>
          <w:trHeight w:val="30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numPr>
                <w:ilvl w:val="0"/>
                <w:numId w:val="2"/>
              </w:numPr>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物距调焦范围200mm-300mm，主镜体在物距之间调节任意距离均可使用。</w:t>
            </w:r>
          </w:p>
        </w:tc>
        <w:tc>
          <w:tcPr>
            <w:tcW w:w="408"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c>
          <w:tcPr>
            <w:tcW w:w="409"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c>
          <w:tcPr>
            <w:tcW w:w="419"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numPr>
                <w:ilvl w:val="0"/>
                <w:numId w:val="2"/>
              </w:numPr>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配有防污罩适配器，可安装可拆卸的原厂防污罩，避免污物喷溅到镜头造成视野模糊；</w:t>
            </w:r>
          </w:p>
        </w:tc>
        <w:tc>
          <w:tcPr>
            <w:tcW w:w="408"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c>
          <w:tcPr>
            <w:tcW w:w="409"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c>
          <w:tcPr>
            <w:tcW w:w="419" w:type="pct"/>
          </w:tcPr>
          <w:p>
            <w:pPr>
              <w:widowControl w:val="0"/>
              <w:numPr>
                <w:ilvl w:val="0"/>
                <w:numId w:val="2"/>
              </w:numPr>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widowControl w:val="0"/>
              <w:spacing w:line="24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二、4K高清影像系统</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1、可实现影像画面冻结，具有照相和摄像功能；</w:t>
            </w:r>
          </w:p>
        </w:tc>
        <w:tc>
          <w:tcPr>
            <w:tcW w:w="408" w:type="pct"/>
          </w:tcPr>
          <w:p>
            <w:pPr>
              <w:widowControl w:val="0"/>
              <w:spacing w:line="240" w:lineRule="auto"/>
              <w:jc w:val="left"/>
              <w:rPr>
                <w:rFonts w:ascii="宋体" w:eastAsia="宋体" w:hAnsi="宋体" w:cs="宋体" w:hint="eastAsia"/>
                <w:kern w:val="2"/>
                <w:sz w:val="21"/>
                <w:szCs w:val="21"/>
                <w:lang w:eastAsia="zh-CN"/>
              </w:rPr>
            </w:pPr>
          </w:p>
        </w:tc>
        <w:tc>
          <w:tcPr>
            <w:tcW w:w="409" w:type="pct"/>
          </w:tcPr>
          <w:p>
            <w:pPr>
              <w:widowControl w:val="0"/>
              <w:spacing w:line="240" w:lineRule="auto"/>
              <w:jc w:val="left"/>
              <w:rPr>
                <w:rFonts w:ascii="宋体" w:eastAsia="宋体" w:hAnsi="宋体" w:cs="宋体" w:hint="eastAsia"/>
                <w:kern w:val="2"/>
                <w:sz w:val="21"/>
                <w:szCs w:val="21"/>
                <w:lang w:eastAsia="zh-CN"/>
              </w:rPr>
            </w:pPr>
          </w:p>
        </w:tc>
        <w:tc>
          <w:tcPr>
            <w:tcW w:w="419" w:type="pct"/>
          </w:tcPr>
          <w:p>
            <w:pPr>
              <w:widowControl w:val="0"/>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2、分辨率可达 HDMI 4K(3840*2160)，USB 4K(3840*2160)；照片格式：JPG格式，视频：MP4格式；</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3、HDMI比例16:9；</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4、图像可实现360度翻转，局部显示，局部放大，图像对比回放等功能；</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5、基本功能： 冻结、拍照、录像、自动曝光、白平衡、回显、十字线；</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6、图像效果： 曝光、亮度、增益、饱和度、对比度、清晰度、白平衡、HDR、彩色/黑白切换；</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7、配有网口，支持无线WIFI功能及全平台APP客户端，可实时观看显微镜手术视频，同时进行图像和视频存储，患者病例建档管理，实现手术显微镜系统真正的网络化、信息化、一体化；</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8、配备27英寸4K高清显示器及支架一套，可实时显示手术的视频图像，方便教学或手术过程的交流； </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9、配备PC存储系统</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套；</w:t>
            </w:r>
          </w:p>
        </w:tc>
        <w:tc>
          <w:tcPr>
            <w:tcW w:w="408"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0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widowControl w:val="0"/>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7"/>
              <w:gridCol w:w="1393"/>
              <w:gridCol w:w="107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77" w:type="dxa"/>
                  <w:vAlign w:val="center"/>
                </w:tcPr>
                <w:p>
                  <w:pPr>
                    <w:widowControl w:val="0"/>
                    <w:snapToGrid w:val="0"/>
                    <w:jc w:val="center"/>
                    <w:rPr>
                      <w:rFonts w:ascii="宋体" w:hAnsi="宋体" w:cs="宋体" w:hint="eastAsia"/>
                      <w:spacing w:val="-13"/>
                      <w:sz w:val="21"/>
                      <w:szCs w:val="21"/>
                      <w:lang w:eastAsia="zh-CN"/>
                    </w:rPr>
                  </w:pPr>
                  <w:r>
                    <w:rPr>
                      <w:rFonts w:ascii="宋体" w:hAnsi="宋体" w:cs="宋体" w:hint="eastAsia"/>
                      <w:kern w:val="2"/>
                      <w:sz w:val="21"/>
                      <w:szCs w:val="21"/>
                      <w:lang w:eastAsia="zh-CN"/>
                    </w:rPr>
                    <w:t>变焦物镜</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77" w:type="dxa"/>
                  <w:vAlign w:val="center"/>
                </w:tcPr>
                <w:p>
                  <w:pPr>
                    <w:widowControl w:val="0"/>
                    <w:snapToGrid w:val="0"/>
                    <w:jc w:val="center"/>
                    <w:rPr>
                      <w:rFonts w:ascii="宋体" w:hAnsi="宋体" w:cs="宋体" w:hint="eastAsia"/>
                      <w:spacing w:val="-1"/>
                      <w:kern w:val="2"/>
                      <w:sz w:val="21"/>
                      <w:szCs w:val="21"/>
                      <w:lang w:eastAsia="zh-CN"/>
                    </w:rPr>
                  </w:pPr>
                  <w:r>
                    <w:rPr>
                      <w:rFonts w:ascii="宋体" w:hAnsi="宋体" w:cs="宋体" w:hint="eastAsia"/>
                      <w:kern w:val="2"/>
                      <w:sz w:val="21"/>
                      <w:szCs w:val="21"/>
                      <w:lang w:eastAsia="zh-CN"/>
                    </w:rPr>
                    <w:t>高清摄像系统</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77" w:type="dxa"/>
                  <w:vAlign w:val="center"/>
                </w:tcPr>
                <w:p>
                  <w:pPr>
                    <w:widowControl w:val="0"/>
                    <w:snapToGrid w:val="0"/>
                    <w:jc w:val="center"/>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PC存储系统</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pacing w:val="6"/>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77" w:type="dxa"/>
                  <w:vAlign w:val="center"/>
                </w:tcPr>
                <w:p>
                  <w:pPr>
                    <w:widowControl w:val="0"/>
                    <w:snapToGrid w:val="0"/>
                    <w:jc w:val="center"/>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27英寸4K高清显示</w:t>
                  </w:r>
                  <w:r>
                    <w:rPr>
                      <w:rFonts w:ascii="宋体" w:hAnsi="宋体" w:cs="宋体" w:hint="eastAsia"/>
                      <w:color w:val="000000"/>
                      <w:kern w:val="2"/>
                      <w:sz w:val="21"/>
                      <w:szCs w:val="21"/>
                      <w:lang w:eastAsia="zh-CN"/>
                    </w:rPr>
                    <w:t>单元</w:t>
                  </w:r>
                </w:p>
                <w:p>
                  <w:pPr>
                    <w:widowControl w:val="0"/>
                    <w:snapToGrid w:val="0"/>
                    <w:jc w:val="center"/>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含支架</w:t>
                  </w:r>
                  <w:r>
                    <w:rPr>
                      <w:rFonts w:ascii="宋体" w:hAnsi="宋体" w:cs="宋体" w:hint="eastAsia"/>
                      <w:color w:val="000000"/>
                      <w:kern w:val="2"/>
                      <w:sz w:val="21"/>
                      <w:szCs w:val="21"/>
                      <w:lang w:eastAsia="zh-CN"/>
                    </w:rPr>
                    <w:t>）</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916" w:type="dxa"/>
                  <w:vAlign w:val="center"/>
                </w:tcPr>
                <w:p>
                  <w:pPr>
                    <w:widowControl w:val="0"/>
                    <w:snapToGrid w:val="0"/>
                    <w:jc w:val="center"/>
                    <w:rPr>
                      <w:rFonts w:ascii="宋体" w:hAnsi="宋体" w:cs="宋体" w:hint="eastAsia"/>
                      <w:spacing w:val="6"/>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牙科综合治疗机</w:t>
            </w:r>
          </w:p>
        </w:tc>
        <w:tc>
          <w:tcPr>
            <w:tcW w:w="4446" w:type="pct"/>
            <w:gridSpan w:val="4"/>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1、牙科椅</w:t>
            </w: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1.1、坐垫靠背头枕：肤感皮材质皮垫，海绵发泡工艺成型。超薄梨形椅背，具有腰部支撑设计。头枕具有颈部支撑和头部固位功能设计。</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1.2、枕头架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按压式三关节铝合金头枕架，具有儿童和轮椅人士治疗位。</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1.3、治疗椅椅架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五金椅架，表面电泳处理。内高支点结构，具有靠背坐垫联动结构设计。</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1.4、底座：一体高强度铸铝底座，外表面采用汽车烤漆工艺。</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1.5、弯板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弯板一体式高压铸铝工艺成型，外表面采用汽车烤漆工艺。</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1.6、扶手</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高压铸铝工艺成型，镶嵌木纹扶手。外表面采用汽车烤漆工艺。</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1.7、电动推杆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24V直流静音电机</w:t>
            </w:r>
            <w:r>
              <w:rPr>
                <w:rFonts w:ascii="宋体" w:eastAsia="宋体" w:hAnsi="宋体" w:cs="宋体" w:hint="eastAsia"/>
                <w:kern w:val="2"/>
                <w:sz w:val="21"/>
                <w:szCs w:val="21"/>
                <w:lang w:eastAsia="zh-CN"/>
              </w:rPr>
              <w:t>；</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1.8、座椅高度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最低椅位≤390mm，最高椅位≥800mm。</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1.9、靠背俯仰角度：115°-185°，具有休克急救治疗位。</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1.10、封闭电源</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内置一体封闭电源，水气电分区隔离。</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移动式种植工作台</w:t>
            </w: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2.1、手机管：标配3条四孔手机管。</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工作台：多功能工作台，具有治疗椅升降俯仰控制按键、设置、复位、急救位、口腔灯、加热、漱口水、冲痰盂等按键，可以为三名医生每人设置三种记忆椅位。不锈钢托盘设计。预留220V电源插口，方便插接种植机。</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2.3、脚轮：医用静音脚轮，带锁定功能。</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2.4、器械位挂架：气控式五器械位挂架，可以135°旋转。</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2.5、配置与口腔综合治疗台</w:t>
            </w:r>
            <w:r>
              <w:rPr>
                <w:rFonts w:ascii="宋体" w:eastAsia="宋体" w:hAnsi="宋体" w:cs="宋体" w:hint="eastAsia"/>
                <w:kern w:val="2"/>
                <w:sz w:val="21"/>
                <w:szCs w:val="21"/>
                <w:lang w:eastAsia="zh-CN"/>
              </w:rPr>
              <w:t>相互兼容的</w:t>
            </w:r>
            <w:r>
              <w:rPr>
                <w:rFonts w:ascii="宋体" w:eastAsia="宋体" w:hAnsi="宋体" w:cs="宋体" w:hint="eastAsia"/>
                <w:kern w:val="2"/>
                <w:sz w:val="21"/>
                <w:szCs w:val="21"/>
                <w:lang w:eastAsia="zh-CN"/>
              </w:rPr>
              <w:t>高速手机，</w:t>
            </w:r>
            <w:r>
              <w:rPr>
                <w:rFonts w:ascii="宋体" w:eastAsia="宋体" w:hAnsi="宋体" w:cs="宋体" w:hint="eastAsia"/>
                <w:kern w:val="2"/>
                <w:sz w:val="21"/>
                <w:szCs w:val="21"/>
                <w:lang w:eastAsia="zh-CN"/>
              </w:rPr>
              <w:t>机头直径</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12.5mm，转速范围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330000r/min-400000r/min。</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2.6、配置与口腔综合治疗台</w:t>
            </w:r>
            <w:r>
              <w:rPr>
                <w:rFonts w:ascii="宋体" w:eastAsia="宋体" w:hAnsi="宋体" w:cs="宋体" w:hint="eastAsia"/>
                <w:kern w:val="2"/>
                <w:sz w:val="21"/>
                <w:szCs w:val="21"/>
                <w:lang w:eastAsia="zh-CN"/>
              </w:rPr>
              <w:t>相互兼容的</w:t>
            </w:r>
            <w:r>
              <w:rPr>
                <w:rFonts w:ascii="宋体" w:eastAsia="宋体" w:hAnsi="宋体" w:cs="宋体" w:hint="eastAsia"/>
                <w:kern w:val="2"/>
                <w:sz w:val="21"/>
                <w:szCs w:val="21"/>
                <w:lang w:eastAsia="zh-CN"/>
              </w:rPr>
              <w:t>低速手机套装（含低速气马达、弯手机、直手机）</w:t>
            </w:r>
            <w:r>
              <w:rPr>
                <w:rFonts w:ascii="宋体" w:eastAsia="宋体" w:hAnsi="宋体" w:cs="宋体" w:hint="eastAsia"/>
                <w:kern w:val="2"/>
                <w:sz w:val="21"/>
                <w:szCs w:val="21"/>
                <w:lang w:eastAsia="zh-CN"/>
              </w:rPr>
              <w:t>，最大空载转速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40000r/min，齿轮比为1:1等速</w:t>
            </w:r>
            <w:r>
              <w:rPr>
                <w:rFonts w:ascii="宋体" w:eastAsia="宋体" w:hAnsi="宋体" w:cs="宋体" w:hint="eastAsia"/>
                <w:kern w:val="2"/>
                <w:sz w:val="21"/>
                <w:szCs w:val="21"/>
                <w:lang w:eastAsia="zh-CN"/>
              </w:rPr>
              <w:t>。</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3、痰盂盆</w:t>
            </w: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3.1、盂盆：一体式陶瓷痰盂盆。</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3.2、水嘴：插拔式漱口水和冲痰盂水水嘴，</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清洗消毒处理。</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3.3、旋转：痰盂盆可整体旋转90°。</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4、副控</w:t>
            </w: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4.1、支撑架：副控支撑架：副控支架可旋转90°。</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4.2、控制盒：可180°旋转，可独立旋转挂架。</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4.3、触摸式按键面板：可控制治疗椅运动、记忆椅位、口腔灯、加热、漱口和冲痰水等功能。</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4.4、强弱吸手柄：具备强弱吸延时功能。 单个挂架角度可根据操作者习惯自行调节。</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4.5、配套：配置与口腔综合治疗台相互兼容电动抽吸系统1套，可为二台牙椅正常提供负压源。</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4.6、配套：配置与口腔综合治疗台相互兼容空压机1套，可为二台牙椅正常提供气源。</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5、手术无影灯</w:t>
            </w: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5.1、灯珠：20颗LED灯珠，12个白光灯珠，8个黄光灯珠。</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5.2、开关：红外感应开关或者触碰开关控制调光。照度从 15,000Lx 到 60,000Lx 可调。色温4,000K - 5,300K。</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6、脚踏开关：可控制手机、洁牙机等器械的工作，可控制干湿磨和单吹气功能。可控制治疗椅升降俯仰运动。可控制漱口水和冲痰盂水。</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7、医生座椅：圆形医生座椅，座椅调节：坐垫靠背角度双调节，座椅高度可调节。</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210"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8、护士座椅：座椅高度可调节。</w:t>
            </w:r>
          </w:p>
        </w:tc>
        <w:tc>
          <w:tcPr>
            <w:tcW w:w="408"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both"/>
              <w:textAlignment w:val="auto"/>
              <w:rPr>
                <w:rFonts w:ascii="宋体" w:eastAsia="宋体" w:hAnsi="宋体" w:cs="宋体" w:hint="eastAsia"/>
                <w:kern w:val="2"/>
                <w:sz w:val="21"/>
                <w:szCs w:val="21"/>
                <w:lang w:eastAsia="zh-CN"/>
              </w:rPr>
            </w:pPr>
          </w:p>
        </w:tc>
        <w:tc>
          <w:tcPr>
            <w:tcW w:w="40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both"/>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0" w:leftChars="0" w:firstLine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8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7"/>
              <w:gridCol w:w="1393"/>
              <w:gridCol w:w="107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77"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电动牙科椅</w:t>
                  </w:r>
                </w:p>
              </w:tc>
              <w:tc>
                <w:tcPr>
                  <w:tcW w:w="1184"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手术无影灯</w:t>
                  </w:r>
                </w:p>
              </w:tc>
              <w:tc>
                <w:tcPr>
                  <w:tcW w:w="1184"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种植工作台</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77"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助手位</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三用喷枪</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手机管</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根</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3</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强吸手柄</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弱吸手柄</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陶瓷痰盂</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漱口水恒温系统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净水瓶供水系统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复合脚踏开关</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13.</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医生座椅</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14.</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护士座椅</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15.</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内置洁牙机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16.</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根管测量仪</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17.</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光固化机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18.</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电动抽吸系统</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19.</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空压机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20.</w:t>
                  </w:r>
                </w:p>
              </w:tc>
              <w:tc>
                <w:tcPr>
                  <w:tcW w:w="3477" w:type="dxa"/>
                  <w:vAlign w:val="center"/>
                </w:tcPr>
                <w:p>
                  <w:pPr>
                    <w:keepNext w:val="0"/>
                    <w:keepLines w:val="0"/>
                    <w:widowControl/>
                    <w:suppressLineNumbers w:val="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高速手机</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支</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21.</w:t>
                  </w:r>
                </w:p>
              </w:tc>
              <w:tc>
                <w:tcPr>
                  <w:tcW w:w="3477" w:type="dxa"/>
                  <w:vAlign w:val="center"/>
                </w:tcPr>
                <w:p>
                  <w:pPr>
                    <w:keepNext w:val="0"/>
                    <w:keepLines w:val="0"/>
                    <w:widowControl/>
                    <w:suppressLineNumbers w:val="0"/>
                    <w:jc w:val="both"/>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低速手机套装（含低速气马达、弯手机、直手机各1）</w:t>
                  </w:r>
                </w:p>
              </w:tc>
              <w:tc>
                <w:tcPr>
                  <w:tcW w:w="1184" w:type="dxa"/>
                  <w:vAlign w:val="center"/>
                </w:tcPr>
                <w:p>
                  <w:pPr>
                    <w:keepNext w:val="0"/>
                    <w:keepLines w:val="0"/>
                    <w:widowControl/>
                    <w:suppressLineNumbers w:val="0"/>
                    <w:jc w:val="center"/>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center"/>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1" w:name="_Hlk72095977"/>
      <w:r>
        <w:rPr>
          <w:rFonts w:eastAsia="宋体" w:hint="eastAsia"/>
          <w:kern w:val="2"/>
          <w:sz w:val="21"/>
          <w:szCs w:val="21"/>
          <w:lang w:eastAsia="zh-CN"/>
        </w:rPr>
        <w:t>证明资料【如有的话，提供的证明资料应统一编号（排序），格式自定】</w:t>
      </w:r>
      <w:bookmarkEnd w:id="71"/>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2" w:name="_Hlk72094407"/>
      <w:r>
        <w:rPr>
          <w:rFonts w:eastAsia="宋体" w:hint="eastAsia"/>
          <w:bCs/>
          <w:kern w:val="2"/>
          <w:sz w:val="21"/>
          <w:szCs w:val="21"/>
          <w:lang w:eastAsia="zh-CN"/>
        </w:rPr>
        <w:t>对应“用户需求书”中的“技术要求”章节</w:t>
      </w:r>
      <w:bookmarkEnd w:id="72"/>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3" w:name="_Hlk72158270"/>
      <w:r>
        <w:rPr>
          <w:rFonts w:eastAsia="宋体" w:hint="eastAsia"/>
          <w:bCs/>
          <w:kern w:val="2"/>
          <w:sz w:val="21"/>
          <w:szCs w:val="21"/>
          <w:lang w:eastAsia="zh-CN"/>
        </w:rPr>
        <w:t>“偏离情况”</w:t>
      </w:r>
      <w:bookmarkEnd w:id="73"/>
      <w:r>
        <w:rPr>
          <w:rFonts w:eastAsia="宋体" w:hint="eastAsia"/>
          <w:bCs/>
          <w:kern w:val="2"/>
          <w:sz w:val="21"/>
          <w:szCs w:val="21"/>
          <w:lang w:eastAsia="zh-CN"/>
        </w:rPr>
        <w:t>一栏填写如实填写“正偏离”、“负偏离”或“无偏离”，其中：</w:t>
      </w:r>
      <w:bookmarkStart w:id="74"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4"/>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5" w:name="_Hlk72096106"/>
      <w:r>
        <w:rPr>
          <w:rFonts w:eastAsia="宋体" w:hint="eastAsia"/>
          <w:bCs/>
          <w:kern w:val="2"/>
          <w:sz w:val="21"/>
          <w:szCs w:val="21"/>
          <w:lang w:eastAsia="zh-CN"/>
        </w:rPr>
        <w:t>证明资料条款响应要求</w:t>
      </w:r>
      <w:bookmarkEnd w:id="75"/>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eastAsia="宋体" w:hint="eastAsia"/>
          <w:bCs/>
          <w:kern w:val="2"/>
          <w:sz w:val="21"/>
          <w:szCs w:val="21"/>
          <w:lang w:eastAsia="zh-CN"/>
        </w:rPr>
        <w:t>且投标人在“偏离情况”一栏响应为“正偏离”或“无偏离”的，经评审委员会认定，将判定为负偏离。</w:t>
      </w:r>
      <w:bookmarkEnd w:id="76"/>
      <w:bookmarkEnd w:id="77"/>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8" w:name="_Hlk72096137"/>
      <w:r>
        <w:rPr>
          <w:rFonts w:eastAsia="宋体" w:hint="eastAsia"/>
          <w:bCs/>
          <w:kern w:val="2"/>
          <w:sz w:val="21"/>
          <w:szCs w:val="21"/>
          <w:lang w:eastAsia="zh-CN"/>
        </w:rPr>
        <w:t>表后“证明资料”部分内容的编制</w:t>
      </w:r>
      <w:bookmarkEnd w:id="78"/>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9"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9"/>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0" w:name="_Hlk72096176"/>
      <w:r>
        <w:rPr>
          <w:rFonts w:eastAsia="宋体" w:hint="eastAsia"/>
          <w:bCs/>
          <w:kern w:val="2"/>
          <w:sz w:val="21"/>
          <w:szCs w:val="21"/>
          <w:lang w:eastAsia="zh-CN"/>
        </w:rPr>
        <w:t>证明资料的形式及其它具体要求</w:t>
      </w:r>
      <w:bookmarkEnd w:id="80"/>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1"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1"/>
    </w:p>
    <w:p>
      <w:pPr>
        <w:widowControl w:val="0"/>
        <w:jc w:val="both"/>
        <w:rPr>
          <w:rFonts w:eastAsia="宋体"/>
          <w:kern w:val="2"/>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bookmarkStart w:id="82" w:name="_Hlk72260576"/>
      <w:r>
        <w:rPr>
          <w:rFonts w:ascii="黑体" w:eastAsia="黑体" w:hint="eastAsia"/>
          <w:kern w:val="2"/>
          <w:szCs w:val="20"/>
          <w:lang w:eastAsia="zh-CN"/>
        </w:rPr>
        <w:t>十、</w:t>
      </w:r>
      <w:r>
        <w:rPr>
          <w:rFonts w:ascii="黑体" w:eastAsia="黑体" w:hAnsi="宋体" w:hint="eastAsia"/>
          <w:kern w:val="2"/>
          <w:szCs w:val="20"/>
          <w:lang w:eastAsia="zh-CN"/>
        </w:rPr>
        <w:t>商务要求偏离表</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73"/>
        <w:gridCol w:w="802"/>
        <w:gridCol w:w="4790"/>
        <w:gridCol w:w="782"/>
        <w:gridCol w:w="782"/>
        <w:gridCol w:w="790"/>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22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28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投标商务偏离</w:t>
            </w: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偏离情况</w:t>
            </w:r>
          </w:p>
        </w:tc>
        <w:tc>
          <w:tcPr>
            <w:tcW w:w="47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说明</w:t>
            </w:r>
          </w:p>
        </w:tc>
      </w:tr>
      <w:tr>
        <w:tblPrEx>
          <w:tblW w:w="5000" w:type="pct"/>
          <w:jc w:val="center"/>
          <w:tblLayout w:type="fixed"/>
          <w:tblCellMar>
            <w:top w:w="0" w:type="dxa"/>
            <w:left w:w="0" w:type="dxa"/>
            <w:bottom w:w="0" w:type="dxa"/>
            <w:right w:w="0" w:type="dxa"/>
          </w:tblCellMar>
        </w:tblPrEx>
        <w:trPr>
          <w:trHeight w:val="459"/>
          <w:jc w:val="center"/>
        </w:trPr>
        <w:tc>
          <w:tcPr>
            <w:tcW w:w="3585"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p>
        </w:tc>
        <w:tc>
          <w:tcPr>
            <w:tcW w:w="47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p>
        </w:tc>
      </w:tr>
      <w:tr>
        <w:tblPrEx>
          <w:tblW w:w="5000" w:type="pct"/>
          <w:jc w:val="center"/>
          <w:tblLayout w:type="fixed"/>
          <w:tblCellMar>
            <w:top w:w="0" w:type="dxa"/>
            <w:left w:w="0" w:type="dxa"/>
            <w:bottom w:w="0" w:type="dxa"/>
            <w:right w:w="0" w:type="dxa"/>
          </w:tblCellMar>
        </w:tblPrEx>
        <w:trPr>
          <w:trHeight w:val="1139"/>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10"/>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59"/>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1.交货地点：深圳市大鹏新区南澳人民医院</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2</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107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502"/>
          <w:jc w:val="center"/>
        </w:trPr>
        <w:tc>
          <w:tcPr>
            <w:tcW w:w="22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3</w:t>
            </w:r>
          </w:p>
        </w:tc>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28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4</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287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287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0" w:type="pct"/>
            <w:vAlign w:val="center"/>
          </w:tcPr>
          <w:p>
            <w:pPr>
              <w:widowControl w:val="0"/>
              <w:spacing w:line="240" w:lineRule="auto"/>
              <w:jc w:val="left"/>
              <w:rPr>
                <w:rFonts w:ascii="宋体" w:hAnsi="宋体" w:cs="宋体" w:hint="eastAsia"/>
                <w:bCs/>
                <w:kern w:val="2"/>
                <w:sz w:val="21"/>
                <w:szCs w:val="21"/>
                <w:lang w:eastAsia="zh-CN"/>
              </w:rPr>
            </w:pPr>
          </w:p>
        </w:tc>
        <w:tc>
          <w:tcPr>
            <w:tcW w:w="474"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2878"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c>
          <w:tcPr>
            <w:tcW w:w="470" w:type="pct"/>
            <w:vAlign w:val="center"/>
          </w:tcPr>
          <w:p>
            <w:pPr>
              <w:widowControl w:val="0"/>
              <w:spacing w:line="240" w:lineRule="auto"/>
              <w:jc w:val="left"/>
              <w:rPr>
                <w:rFonts w:ascii="宋体" w:hAnsi="宋体" w:cs="宋体" w:hint="eastAsia"/>
                <w:kern w:val="2"/>
                <w:sz w:val="21"/>
                <w:szCs w:val="21"/>
                <w:lang w:eastAsia="zh-CN"/>
              </w:rPr>
            </w:pPr>
          </w:p>
        </w:tc>
        <w:tc>
          <w:tcPr>
            <w:tcW w:w="470" w:type="pct"/>
            <w:vAlign w:val="center"/>
          </w:tcPr>
          <w:p>
            <w:pPr>
              <w:widowControl w:val="0"/>
              <w:spacing w:line="240" w:lineRule="auto"/>
              <w:jc w:val="left"/>
              <w:rPr>
                <w:rFonts w:ascii="宋体" w:hAnsi="宋体" w:cs="宋体" w:hint="eastAsia"/>
                <w:kern w:val="2"/>
                <w:sz w:val="21"/>
                <w:szCs w:val="21"/>
                <w:lang w:eastAsia="zh-CN"/>
              </w:rPr>
            </w:pPr>
          </w:p>
        </w:tc>
        <w:tc>
          <w:tcPr>
            <w:tcW w:w="474" w:type="pct"/>
            <w:vAlign w:val="center"/>
          </w:tcPr>
          <w:p>
            <w:pPr>
              <w:widowControl w:val="0"/>
              <w:spacing w:line="240" w:lineRule="auto"/>
              <w:jc w:val="left"/>
              <w:rPr>
                <w:rFonts w:ascii="宋体" w:hAnsi="宋体" w:cs="宋体" w:hint="eastAsia"/>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5</w:t>
            </w:r>
          </w:p>
        </w:tc>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2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48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287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708"/>
          <w:jc w:val="center"/>
        </w:trPr>
        <w:tc>
          <w:tcPr>
            <w:tcW w:w="22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28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47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hint="eastAsia"/>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jc w:val="both"/>
        <w:rPr>
          <w:rFonts w:eastAsia="宋体"/>
          <w:kern w:val="2"/>
          <w:lang w:eastAsia="zh-CN"/>
        </w:rPr>
      </w:pPr>
    </w:p>
    <w:p>
      <w:pPr>
        <w:widowControl w:val="0"/>
        <w:jc w:val="both"/>
        <w:rPr>
          <w:rFonts w:ascii="宋体" w:eastAsia="宋体" w:hAnsi="宋体"/>
          <w:kern w:val="2"/>
          <w:sz w:val="21"/>
          <w:lang w:eastAsia="zh-CN"/>
        </w:rPr>
      </w:pPr>
    </w:p>
    <w:p>
      <w:pPr>
        <w:widowControl w:val="0"/>
        <w:jc w:val="both"/>
        <w:rPr>
          <w:rFonts w:ascii="黑体" w:eastAsia="黑体" w:hint="eastAsia"/>
          <w:kern w:val="2"/>
          <w:szCs w:val="20"/>
          <w:lang w:eastAsia="zh-CN"/>
        </w:rPr>
      </w:pPr>
      <w:r>
        <w:rPr>
          <w:rFonts w:ascii="黑体" w:eastAsia="黑体" w:hint="eastAsia"/>
          <w:kern w:val="2"/>
          <w:szCs w:val="20"/>
          <w:lang w:eastAsia="zh-CN"/>
        </w:rPr>
        <w:br w:type="page"/>
      </w:r>
    </w:p>
    <w:p>
      <w:pPr>
        <w:widowControl w:val="0"/>
        <w:numPr>
          <w:ilvl w:val="0"/>
          <w:numId w:val="0"/>
        </w:numPr>
        <w:ind w:left="0" w:firstLine="0"/>
        <w:jc w:val="center"/>
        <w:rPr>
          <w:rFonts w:ascii="黑体" w:eastAsia="黑体" w:hint="eastAsia"/>
          <w:kern w:val="2"/>
          <w:szCs w:val="20"/>
          <w:lang w:eastAsia="zh-CN"/>
        </w:rPr>
      </w:pP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、项目服务方案</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十二、技术保障措施</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3" w:name="_Hlk72062872"/>
      <w:r>
        <w:rPr>
          <w:rFonts w:ascii="黑体" w:eastAsia="黑体" w:hAnsi="宋体" w:hint="eastAsia"/>
          <w:kern w:val="2"/>
          <w:szCs w:val="20"/>
          <w:lang w:eastAsia="zh-CN"/>
        </w:rPr>
        <w:t>投标人认为需要加以说明的其他内容</w:t>
      </w:r>
      <w:bookmarkEnd w:id="83"/>
    </w:p>
    <w:bookmarkEnd w:id="82"/>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4"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4"/>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5"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5"/>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6"/>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6" w:name="_Toc27624"/>
      <w:r>
        <w:rPr>
          <w:rFonts w:ascii="黑体" w:eastAsia="黑体" w:hAnsi="黑体" w:hint="eastAsia"/>
          <w:kern w:val="2"/>
          <w:sz w:val="28"/>
          <w:szCs w:val="28"/>
          <w:lang w:eastAsia="zh-CN"/>
        </w:rPr>
        <w:t>第二节 政府采购合同通用条款</w:t>
      </w:r>
      <w:bookmarkEnd w:id="86"/>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8"/>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9"/>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7"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7"/>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10"/>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1"/>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8"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8"/>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9" w:name="_Hlk72399513"/>
      <w:r>
        <w:rPr>
          <w:rFonts w:ascii="宋体" w:eastAsia="宋体" w:hAnsi="宋体" w:hint="eastAsia"/>
          <w:b/>
          <w:bCs/>
          <w:sz w:val="28"/>
          <w:szCs w:val="28"/>
          <w:lang w:eastAsia="zh-CN"/>
        </w:rPr>
        <w:t>总则</w:t>
      </w:r>
    </w:p>
    <w:bookmarkEnd w:id="89"/>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0" w:name="_Hlk72399729"/>
      <w:r>
        <w:rPr>
          <w:rFonts w:ascii="宋体" w:eastAsia="宋体" w:hAnsi="宋体" w:hint="eastAsia"/>
          <w:kern w:val="2"/>
          <w:sz w:val="21"/>
          <w:szCs w:val="21"/>
          <w:lang w:eastAsia="zh-CN"/>
        </w:rPr>
        <w:t>如有需要，政府集中采购机构可以对通用条款的内容进行补充。</w:t>
      </w:r>
      <w:bookmarkEnd w:id="9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1"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2"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1"/>
    <w:p>
      <w:pPr>
        <w:widowControl w:val="0"/>
        <w:ind w:firstLine="412" w:firstLineChars="196"/>
        <w:jc w:val="both"/>
        <w:rPr>
          <w:rFonts w:ascii="宋体" w:eastAsia="宋体" w:hAnsi="宋体"/>
          <w:kern w:val="2"/>
          <w:sz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3"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3"/>
    </w:p>
    <w:p>
      <w:pPr>
        <w:widowControl w:val="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4"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4"/>
    <w:p>
      <w:pPr>
        <w:widowControl w:val="0"/>
        <w:jc w:val="both"/>
        <w:rPr>
          <w:rFonts w:ascii="黑体" w:eastAsia="黑体" w:hAnsi="宋体"/>
          <w:kern w:val="2"/>
          <w:lang w:eastAsia="zh-CN"/>
        </w:rPr>
      </w:pPr>
      <w:r>
        <w:rPr>
          <w:rFonts w:ascii="黑体" w:eastAsia="黑体" w:hAnsi="宋体" w:hint="eastAsia"/>
          <w:kern w:val="2"/>
          <w:lang w:eastAsia="zh-CN"/>
        </w:rPr>
        <w:t>15．</w:t>
      </w:r>
      <w:bookmarkStart w:id="95"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5"/>
    <w:p>
      <w:pPr>
        <w:widowControl w:val="0"/>
        <w:jc w:val="both"/>
        <w:rPr>
          <w:rFonts w:ascii="黑体" w:eastAsia="黑体" w:hAnsi="宋体"/>
          <w:kern w:val="2"/>
          <w:lang w:eastAsia="zh-CN"/>
        </w:rPr>
      </w:pPr>
      <w:r>
        <w:rPr>
          <w:rFonts w:ascii="黑体" w:eastAsia="黑体" w:hAnsi="宋体" w:hint="eastAsia"/>
          <w:kern w:val="2"/>
          <w:lang w:eastAsia="zh-CN"/>
        </w:rPr>
        <w:t>18．</w:t>
      </w:r>
      <w:bookmarkStart w:id="96"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6"/>
    <w:p>
      <w:pPr>
        <w:widowControl w:val="0"/>
        <w:jc w:val="both"/>
        <w:rPr>
          <w:rFonts w:ascii="黑体" w:eastAsia="黑体" w:hAnsi="宋体"/>
          <w:kern w:val="2"/>
          <w:lang w:eastAsia="zh-CN"/>
        </w:rPr>
      </w:pPr>
      <w:r>
        <w:rPr>
          <w:rFonts w:ascii="黑体" w:eastAsia="黑体" w:hAnsi="宋体" w:hint="eastAsia"/>
          <w:kern w:val="2"/>
          <w:lang w:eastAsia="zh-CN"/>
        </w:rPr>
        <w:t>19．</w:t>
      </w:r>
      <w:bookmarkStart w:id="97"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7"/>
    <w:p>
      <w:pPr>
        <w:widowControl w:val="0"/>
        <w:ind w:firstLine="412" w:firstLineChars="196"/>
        <w:jc w:val="both"/>
        <w:rPr>
          <w:rFonts w:ascii="宋体" w:eastAsia="宋体" w:hAnsi="宋体"/>
          <w:kern w:val="2"/>
          <w:sz w:val="21"/>
          <w:szCs w:val="21"/>
          <w:lang w:eastAsia="zh-CN"/>
        </w:rPr>
      </w:pPr>
      <w:bookmarkStart w:id="99"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9"/>
    <w:p>
      <w:pPr>
        <w:widowControl w:val="0"/>
        <w:jc w:val="both"/>
        <w:rPr>
          <w:rFonts w:ascii="黑体" w:eastAsia="黑体" w:hAnsi="宋体"/>
          <w:kern w:val="2"/>
          <w:lang w:eastAsia="zh-CN"/>
        </w:rPr>
      </w:pPr>
      <w:r>
        <w:rPr>
          <w:rFonts w:ascii="黑体" w:eastAsia="黑体" w:hAnsi="宋体" w:hint="eastAsia"/>
          <w:kern w:val="2"/>
          <w:lang w:eastAsia="zh-CN"/>
        </w:rPr>
        <w:t>21．</w:t>
      </w:r>
      <w:bookmarkStart w:id="100"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pPr>
        <w:widowControl w:val="0"/>
        <w:jc w:val="both"/>
        <w:rPr>
          <w:rFonts w:ascii="黑体" w:eastAsia="黑体" w:hAnsi="宋体"/>
          <w:kern w:val="2"/>
          <w:lang w:eastAsia="zh-CN"/>
        </w:rPr>
      </w:pPr>
      <w:r>
        <w:rPr>
          <w:rFonts w:ascii="黑体" w:eastAsia="黑体" w:hAnsi="宋体" w:hint="eastAsia"/>
          <w:kern w:val="2"/>
          <w:lang w:eastAsia="zh-CN"/>
        </w:rPr>
        <w:t>23．</w:t>
      </w:r>
      <w:bookmarkStart w:id="101"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1"/>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2"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2"/>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3"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3"/>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4" w:name="_Hlk72436580"/>
      <w:r>
        <w:rPr>
          <w:rFonts w:ascii="宋体" w:eastAsia="宋体" w:hAnsi="宋体" w:hint="eastAsia"/>
          <w:kern w:val="2"/>
          <w:sz w:val="21"/>
          <w:lang w:eastAsia="zh-CN"/>
        </w:rPr>
        <w:t>评审委员会由采购人代表和评审专家组成。</w:t>
      </w:r>
      <w:bookmarkEnd w:id="104"/>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5"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5"/>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6" w:name="_Toc73518151"/>
      <w:bookmarkStart w:id="107" w:name="_Toc73521669"/>
      <w:bookmarkStart w:id="108" w:name="_Toc73517673"/>
      <w:bookmarkStart w:id="109" w:name="_Toc100052400"/>
      <w:bookmarkStart w:id="110" w:name="_Toc73521581"/>
      <w:r>
        <w:rPr>
          <w:rFonts w:ascii="黑体" w:eastAsia="黑体" w:hAnsi="宋体" w:hint="eastAsia"/>
          <w:kern w:val="2"/>
          <w:lang w:eastAsia="zh-CN"/>
        </w:rPr>
        <w:t>34．错误的修正</w:t>
      </w:r>
      <w:bookmarkEnd w:id="106"/>
      <w:bookmarkEnd w:id="107"/>
      <w:bookmarkEnd w:id="108"/>
      <w:bookmarkEnd w:id="109"/>
      <w:bookmarkEnd w:id="11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1"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1"/>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2"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3"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3"/>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4"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5"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4"/>
      <w:bookmarkEnd w:id="115"/>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2"/>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6"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6"/>
      <w:bookmarkStart w:id="117"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7"/>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8"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9"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9"/>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0" w:name="_Hlk72439043"/>
      <w:r>
        <w:rPr>
          <w:rFonts w:ascii="宋体" w:eastAsia="宋体" w:hAnsi="宋体" w:hint="eastAsia"/>
          <w:b/>
          <w:bCs/>
          <w:sz w:val="28"/>
          <w:szCs w:val="28"/>
          <w:lang w:eastAsia="zh-CN"/>
        </w:rPr>
        <w:t>合同的授予与备案</w:t>
      </w:r>
      <w:bookmarkEnd w:id="120"/>
    </w:p>
    <w:p>
      <w:pPr>
        <w:widowControl w:val="0"/>
        <w:jc w:val="both"/>
        <w:rPr>
          <w:rFonts w:ascii="黑体" w:eastAsia="黑体" w:hAnsi="宋体"/>
          <w:kern w:val="2"/>
          <w:lang w:eastAsia="zh-CN"/>
        </w:rPr>
      </w:pPr>
      <w:bookmarkStart w:id="121" w:name="_Toc100052408"/>
      <w:bookmarkStart w:id="122" w:name="_Toc73521674"/>
      <w:bookmarkStart w:id="123" w:name="_Toc73518157"/>
      <w:bookmarkStart w:id="124" w:name="_Toc73517679"/>
      <w:bookmarkStart w:id="125" w:name="_Toc73521586"/>
      <w:bookmarkStart w:id="126" w:name="_Hlk72439088"/>
      <w:r>
        <w:rPr>
          <w:rFonts w:ascii="黑体" w:eastAsia="黑体" w:hAnsi="宋体" w:hint="eastAsia"/>
          <w:kern w:val="2"/>
          <w:lang w:eastAsia="zh-CN"/>
        </w:rPr>
        <w:t>43．合同授予标准</w:t>
      </w:r>
      <w:bookmarkEnd w:id="121"/>
      <w:bookmarkEnd w:id="122"/>
      <w:bookmarkEnd w:id="123"/>
      <w:bookmarkEnd w:id="124"/>
      <w:bookmarkEnd w:id="125"/>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7" w:name="_Toc100052409"/>
      <w:bookmarkStart w:id="128" w:name="_Toc73521587"/>
      <w:bookmarkStart w:id="129" w:name="_Toc73521675"/>
      <w:bookmarkStart w:id="130" w:name="_Toc73518158"/>
      <w:bookmarkStart w:id="131" w:name="_Toc73517680"/>
      <w:r>
        <w:rPr>
          <w:rFonts w:ascii="黑体" w:eastAsia="黑体" w:hAnsi="宋体" w:hint="eastAsia"/>
          <w:kern w:val="2"/>
          <w:lang w:eastAsia="zh-CN"/>
        </w:rPr>
        <w:t>44．</w:t>
      </w:r>
      <w:bookmarkEnd w:id="127"/>
      <w:bookmarkEnd w:id="128"/>
      <w:bookmarkEnd w:id="129"/>
      <w:bookmarkEnd w:id="130"/>
      <w:bookmarkEnd w:id="131"/>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2" w:name="_Toc73521589"/>
      <w:bookmarkStart w:id="133" w:name="_Toc100052410"/>
      <w:bookmarkStart w:id="134" w:name="_Toc73517682"/>
      <w:bookmarkStart w:id="135" w:name="_Toc73521677"/>
      <w:bookmarkStart w:id="136" w:name="_Toc73518160"/>
      <w:r>
        <w:rPr>
          <w:rFonts w:ascii="黑体" w:eastAsia="黑体" w:hAnsi="宋体" w:hint="eastAsia"/>
          <w:kern w:val="2"/>
          <w:lang w:eastAsia="zh-CN"/>
        </w:rPr>
        <w:t>45．合同的签订</w:t>
      </w:r>
      <w:bookmarkEnd w:id="132"/>
      <w:bookmarkEnd w:id="133"/>
      <w:bookmarkEnd w:id="134"/>
      <w:bookmarkEnd w:id="135"/>
      <w:bookmarkEnd w:id="13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7" w:name="_Toc73521590"/>
      <w:bookmarkStart w:id="138" w:name="_Toc73517683"/>
      <w:bookmarkStart w:id="139" w:name="_Toc73518161"/>
      <w:bookmarkStart w:id="140" w:name="_Toc73521678"/>
      <w:bookmarkStart w:id="141" w:name="_Toc100052411"/>
      <w:r>
        <w:rPr>
          <w:rFonts w:ascii="黑体" w:eastAsia="黑体" w:hAnsi="宋体" w:hint="eastAsia"/>
          <w:kern w:val="2"/>
          <w:lang w:eastAsia="zh-CN"/>
        </w:rPr>
        <w:t>46．履约担保</w:t>
      </w:r>
      <w:bookmarkEnd w:id="137"/>
      <w:bookmarkEnd w:id="138"/>
      <w:bookmarkEnd w:id="139"/>
      <w:bookmarkEnd w:id="140"/>
      <w:bookmarkEnd w:id="14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2"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2"/>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6"/>
    <w:p>
      <w:pPr>
        <w:keepNext/>
        <w:keepLines/>
        <w:widowControl w:val="0"/>
        <w:numPr>
          <w:ilvl w:val="0"/>
          <w:numId w:val="12"/>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3" w:name="_Hlk75374941"/>
      <w:r>
        <w:rPr>
          <w:rFonts w:ascii="宋体" w:eastAsia="宋体" w:hAnsi="宋体" w:hint="eastAsia"/>
          <w:kern w:val="2"/>
          <w:sz w:val="21"/>
          <w:szCs w:val="21"/>
          <w:lang w:eastAsia="zh-CN"/>
        </w:rPr>
        <w:t>以联合体形式参与的，质疑应当由组成联合体的所有成员共同提出</w:t>
      </w:r>
      <w:bookmarkEnd w:id="143"/>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神经康复科设备采购项目-A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DPZXCG-2025-00032-001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神经康复科设备采购项目-A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1.3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①供货进度安排；②安装调试方案；③质量控制措施； ④安全保障措施（包括但不限于交货安全、设备安全、信息化安全等）；⑤技术团队情况（包括但不限于交货人员、验收人员、维修保养人员、培训人员等）；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商务要求偏离情况（非“★”部分）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投标人应如实填写《商务要求偏离表》中非“★”商务部分要求，评审委员会根据响应情况进行打分。 （二）评分依据： 提供《技术要求偏离表》，全部满足要求的得100分，每负偏离一项扣6分，扣完为止。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416AB85"/>
    <w:multiLevelType w:val="singleLevel"/>
    <w:tmpl w:val="D416AB85"/>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4232161"/>
    <w:multiLevelType w:val="singleLevel"/>
    <w:tmpl w:val="34232161"/>
    <w:lvl w:ilvl="0">
      <w:start w:val="2"/>
      <w:numFmt w:val="decimal"/>
      <w:suff w:val="nothing"/>
      <w:lvlText w:val="（%1）"/>
      <w:lvlJc w:val="left"/>
    </w:lvl>
  </w:abstractNum>
  <w:abstractNum w:abstractNumId="11">
    <w:nsid w:val="7A0F6431"/>
    <w:multiLevelType w:val="singleLevel"/>
    <w:tmpl w:val="7A0F6431"/>
    <w:lvl w:ilvl="0">
      <w:start w:val="1"/>
      <w:numFmt w:val="decimal"/>
      <w:suff w:val="space"/>
      <w:lvlText w:val="%1."/>
      <w:lvlJc w:val="left"/>
    </w:lvl>
  </w:abstractNum>
  <w:num w:numId="1">
    <w:abstractNumId w:val="10"/>
  </w:num>
  <w:num w:numId="2">
    <w:abstractNumId w:val="4"/>
  </w:num>
  <w:num w:numId="3">
    <w:abstractNumId w:val="0"/>
  </w:num>
  <w:num w:numId="4">
    <w:abstractNumId w:val="1"/>
  </w:num>
  <w:num w:numId="5">
    <w:abstractNumId w:val="11"/>
  </w:num>
  <w:num w:numId="6">
    <w:abstractNumId w:val="3"/>
  </w:num>
  <w:num w:numId="7">
    <w:abstractNumId w:val="8"/>
  </w:num>
  <w:num w:numId="8">
    <w:abstractNumId w:val="6"/>
  </w:num>
  <w:num w:numId="9">
    <w:abstractNumId w:val="5"/>
  </w:num>
  <w:num w:numId="10">
    <w:abstractNumId w:val="2"/>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CommentText">
    <w:name w:val="annotation text"/>
    <w:basedOn w:val="Normal"/>
    <w:link w:val="Char1"/>
    <w:uiPriority w:val="99"/>
    <w:semiHidden/>
    <w:qFormat/>
    <w:pPr>
      <w:widowControl w:val="0"/>
      <w:autoSpaceDE w:val="0"/>
      <w:autoSpaceDN w:val="0"/>
      <w:adjustRightInd w:val="0"/>
      <w:textAlignment w:val="baseline"/>
    </w:pPr>
    <w:rPr>
      <w:rFonts w:ascii="宋体" w:eastAsia="宋体"/>
      <w:sz w:val="34"/>
      <w:szCs w:val="20"/>
      <w:lang w:eastAsia="zh-CN"/>
    </w:rPr>
  </w:style>
  <w:style w:type="character" w:customStyle="1" w:styleId="Char1">
    <w:name w:val="批注文字 Char"/>
    <w:basedOn w:val="DefaultParagraphFont"/>
    <w:link w:val="CommentText"/>
    <w:uiPriority w:val="99"/>
    <w:semiHidden/>
    <w:qFormat/>
    <w:rPr>
      <w:rFonts w:ascii="宋体" w:eastAsia="宋体"/>
      <w:sz w:val="34"/>
    </w:rPr>
  </w:style>
  <w:style w:type="paragraph" w:styleId="BodyText">
    <w:name w:val="Body Text"/>
    <w:basedOn w:val="Normal"/>
    <w:next w:val="Normal"/>
    <w:link w:val="Char2"/>
    <w:qFormat/>
    <w:pPr>
      <w:widowControl w:val="0"/>
      <w:spacing w:line="360" w:lineRule="auto"/>
      <w:jc w:val="both"/>
    </w:pPr>
    <w:rPr>
      <w:rFonts w:eastAsia="宋体"/>
      <w:b/>
      <w:bCs/>
      <w:kern w:val="2"/>
      <w:lang w:eastAsia="zh-CN"/>
    </w:rPr>
  </w:style>
  <w:style w:type="character" w:customStyle="1" w:styleId="Char2">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