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ind w:firstLine="2730" w:firstLineChars="1300"/>
        <w:outlineLvl w:val="1"/>
        <w:rPr>
          <w:rFonts w:ascii="宋体" w:hAnsi="宋体"/>
          <w:color w:val="FF0000"/>
          <w:szCs w:val="21"/>
        </w:rPr>
      </w:pPr>
      <w:bookmarkStart w:id="0" w:name="_Hlk71456902"/>
      <w:r>
        <w:rPr>
          <w:rFonts w:ascii="宋体" w:eastAsia="黑体" w:hAnsi="宋体" w:hint="eastAsia"/>
          <w:b/>
          <w:bCs/>
          <w:color w:val="FF0000"/>
          <w:kern w:val="44"/>
          <w:sz w:val="28"/>
          <w:szCs w:val="44"/>
          <w:lang w:val="en-US" w:eastAsia="zh-CN"/>
        </w:rPr>
        <w:t>特别</w:t>
      </w:r>
      <w:r>
        <w:rPr>
          <w:rFonts w:ascii="宋体" w:eastAsia="黑体" w:hAnsi="宋体" w:hint="eastAsia"/>
          <w:b/>
          <w:bCs/>
          <w:color w:val="FF0000"/>
          <w:kern w:val="44"/>
          <w:sz w:val="28"/>
          <w:szCs w:val="44"/>
        </w:rPr>
        <w:t>警示条款</w:t>
      </w:r>
    </w:p>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after="240" w:afterLines="100" w:line="400" w:lineRule="exact"/>
        <w:ind w:firstLine="420" w:firstLineChars="200"/>
        <w:jc w:val="both"/>
        <w:textAlignment w:val="auto"/>
        <w:rPr>
          <w:rFonts w:ascii="宋体" w:eastAsia="宋体" w:hAnsi="宋体" w:cs="宋体" w:hint="eastAsia"/>
          <w:b/>
          <w:bCs/>
          <w:color w:val="FF0000"/>
          <w:sz w:val="21"/>
          <w:szCs w:val="21"/>
          <w:highlight w:val="yellow"/>
          <w:lang w:val="en-US" w:eastAsia="zh-CN"/>
        </w:rPr>
      </w:pPr>
      <w:r>
        <w:rPr>
          <w:rFonts w:ascii="宋体" w:eastAsia="宋体" w:hAnsi="宋体" w:cs="宋体" w:hint="eastAsia"/>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b/>
                <w:bCs/>
                <w:color w:val="FF0000"/>
                <w:sz w:val="21"/>
                <w:szCs w:val="21"/>
                <w:highlight w:val="none"/>
                <w:lang w:val="en-US" w:eastAsia="zh-CN"/>
              </w:rPr>
              <w:t>供应商参与投标禁止情形</w:t>
            </w:r>
          </w:p>
        </w:tc>
      </w:tr>
      <w:tr>
        <w:tblPrEx>
          <w:tblW w:w="0" w:type="auto"/>
          <w:tblInd w:w="0" w:type="dxa"/>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1"/>
                <w:szCs w:val="21"/>
                <w:highlight w:val="none"/>
                <w:lang w:val="en-US" w:eastAsia="zh-CN"/>
              </w:rPr>
              <w:t>同一人、属同一单位或者在同一单位缴纳社会保险</w:t>
            </w:r>
            <w:r>
              <w:rPr>
                <w:rFonts w:ascii="宋体" w:eastAsia="宋体" w:hAnsi="宋体" w:cs="宋体" w:hint="eastAsia"/>
                <w:color w:val="FF0000"/>
                <w:sz w:val="21"/>
                <w:szCs w:val="21"/>
                <w:highlight w:val="none"/>
                <w:lang w:val="en-US" w:eastAsia="zh-CN"/>
              </w:rPr>
              <w:t>。</w:t>
            </w:r>
          </w:p>
        </w:tc>
      </w:tr>
      <w:tr>
        <w:tblPrEx>
          <w:tblW w:w="0" w:type="auto"/>
          <w:tblInd w:w="0" w:type="dxa"/>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参与本项目政府采购活动时，与其他投标供应商存在单位负责人为</w:t>
            </w:r>
            <w:r>
              <w:rPr>
                <w:rFonts w:ascii="宋体" w:eastAsia="宋体" w:hAnsi="宋体" w:cs="宋体" w:hint="eastAsia"/>
                <w:b/>
                <w:bCs/>
                <w:color w:val="FF0000"/>
                <w:sz w:val="21"/>
                <w:szCs w:val="21"/>
                <w:highlight w:val="none"/>
                <w:lang w:val="en-US" w:eastAsia="zh-CN"/>
              </w:rPr>
              <w:t>同一人或直接控股、管理关系</w:t>
            </w:r>
            <w:r>
              <w:rPr>
                <w:rFonts w:ascii="宋体" w:eastAsia="宋体" w:hAnsi="宋体" w:cs="宋体" w:hint="eastAsia"/>
                <w:color w:val="FF0000"/>
                <w:sz w:val="21"/>
                <w:szCs w:val="21"/>
                <w:highlight w:val="none"/>
                <w:lang w:val="en-US" w:eastAsia="zh-CN"/>
              </w:rPr>
              <w:t>。</w:t>
            </w:r>
          </w:p>
        </w:tc>
      </w:tr>
      <w:tr>
        <w:tblPrEx>
          <w:tblW w:w="0" w:type="auto"/>
          <w:tblInd w:w="0" w:type="dxa"/>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与其他投标供应商的投标文件或部分投标文件</w:t>
            </w:r>
            <w:r>
              <w:rPr>
                <w:rFonts w:ascii="宋体" w:eastAsia="宋体" w:hAnsi="宋体" w:cs="宋体" w:hint="eastAsia"/>
                <w:b/>
                <w:bCs/>
                <w:color w:val="FF0000"/>
                <w:sz w:val="21"/>
                <w:szCs w:val="21"/>
                <w:highlight w:val="none"/>
                <w:lang w:val="en-US" w:eastAsia="zh-CN"/>
              </w:rPr>
              <w:t>相互混装或存在非正常一致</w:t>
            </w:r>
            <w:r>
              <w:rPr>
                <w:rFonts w:ascii="宋体" w:eastAsia="宋体" w:hAnsi="宋体" w:cs="宋体" w:hint="eastAsia"/>
                <w:color w:val="FF0000"/>
                <w:sz w:val="21"/>
                <w:szCs w:val="21"/>
                <w:highlight w:val="none"/>
                <w:lang w:val="en-US" w:eastAsia="zh-CN"/>
              </w:rPr>
              <w:t>。</w:t>
            </w:r>
          </w:p>
        </w:tc>
      </w:tr>
      <w:tr>
        <w:tblPrEx>
          <w:tblW w:w="0" w:type="auto"/>
          <w:tblInd w:w="0" w:type="dxa"/>
          <w:tblCellMar>
            <w:top w:w="0" w:type="dxa"/>
            <w:left w:w="108" w:type="dxa"/>
            <w:bottom w:w="0" w:type="dxa"/>
            <w:right w:w="108" w:type="dxa"/>
          </w:tblCellMar>
        </w:tblPrEx>
        <w:trPr>
          <w:trHeight w:val="1325"/>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sz w:val="21"/>
                <w:szCs w:val="21"/>
                <w:highlight w:val="none"/>
                <w:lang w:val="en-US" w:eastAsia="zh-CN"/>
              </w:rPr>
              <w:t>与其他投标供应商的投标文件由</w:t>
            </w:r>
            <w:r>
              <w:rPr>
                <w:rFonts w:ascii="宋体" w:eastAsia="宋体" w:hAnsi="宋体" w:cs="宋体" w:hint="eastAsia"/>
                <w:b/>
                <w:bCs/>
                <w:color w:val="FF0000"/>
                <w:sz w:val="21"/>
                <w:szCs w:val="21"/>
                <w:highlight w:val="none"/>
                <w:lang w:val="en-US" w:eastAsia="zh-CN"/>
              </w:rPr>
              <w:t>同一单位或者同一人编制</w:t>
            </w:r>
            <w:r>
              <w:rPr>
                <w:rFonts w:ascii="宋体" w:eastAsia="宋体" w:hAnsi="宋体" w:cs="宋体" w:hint="eastAsia"/>
                <w:color w:val="FF0000"/>
                <w:sz w:val="21"/>
                <w:szCs w:val="21"/>
                <w:highlight w:val="none"/>
                <w:lang w:val="en-US" w:eastAsia="zh-CN"/>
              </w:rPr>
              <w:t>，或者使用</w:t>
            </w:r>
            <w:r>
              <w:rPr>
                <w:rFonts w:ascii="宋体" w:eastAsia="宋体" w:hAnsi="宋体" w:cs="宋体" w:hint="eastAsia"/>
                <w:b/>
                <w:bCs/>
                <w:color w:val="FF0000"/>
                <w:sz w:val="21"/>
                <w:szCs w:val="21"/>
                <w:highlight w:val="none"/>
                <w:lang w:val="en-US" w:eastAsia="zh-CN"/>
              </w:rPr>
              <w:t>同一设备编制</w:t>
            </w:r>
            <w:r>
              <w:rPr>
                <w:rFonts w:ascii="宋体" w:eastAsia="宋体" w:hAnsi="宋体" w:cs="宋体" w:hint="eastAsia"/>
                <w:color w:val="FF0000"/>
                <w:sz w:val="21"/>
                <w:szCs w:val="21"/>
                <w:highlight w:val="none"/>
                <w:lang w:val="en-US" w:eastAsia="zh-CN"/>
              </w:rPr>
              <w:t>（“文件制作机器码”“文件创建标识码”一致）。</w:t>
            </w:r>
          </w:p>
        </w:tc>
      </w:tr>
      <w:tr>
        <w:tblPrEx>
          <w:tblW w:w="0" w:type="auto"/>
          <w:tblInd w:w="0" w:type="dxa"/>
          <w:tblCellMar>
            <w:top w:w="0" w:type="dxa"/>
            <w:left w:w="108" w:type="dxa"/>
            <w:bottom w:w="0" w:type="dxa"/>
            <w:right w:w="108" w:type="dxa"/>
          </w:tblCellMar>
        </w:tblPrEx>
        <w:trPr>
          <w:trHeight w:val="985"/>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提供</w:t>
            </w:r>
            <w:r>
              <w:rPr>
                <w:rFonts w:ascii="宋体" w:eastAsia="宋体" w:hAnsi="宋体" w:cs="宋体" w:hint="eastAsia"/>
                <w:b/>
                <w:bCs/>
                <w:color w:val="FF0000"/>
                <w:sz w:val="21"/>
                <w:szCs w:val="21"/>
                <w:highlight w:val="none"/>
                <w:lang w:val="en-US" w:eastAsia="zh-CN"/>
              </w:rPr>
              <w:t>未经出具机构核实</w:t>
            </w:r>
            <w:r>
              <w:rPr>
                <w:rFonts w:ascii="宋体" w:eastAsia="宋体" w:hAnsi="宋体" w:cs="宋体" w:hint="eastAsia"/>
                <w:color w:val="FF0000"/>
                <w:sz w:val="21"/>
                <w:szCs w:val="21"/>
                <w:highlight w:val="none"/>
                <w:lang w:val="en-US" w:eastAsia="zh-CN"/>
              </w:rPr>
              <w:t>的虚假的检验检测报告、业绩材料、社保缴纳证明、学历学位证书、职称认证证书等材料。</w:t>
            </w:r>
          </w:p>
        </w:tc>
      </w:tr>
      <w:tr>
        <w:tblPrEx>
          <w:tblW w:w="0" w:type="auto"/>
          <w:tblInd w:w="0" w:type="dxa"/>
          <w:tblCellMar>
            <w:top w:w="0" w:type="dxa"/>
            <w:left w:w="108" w:type="dxa"/>
            <w:bottom w:w="0" w:type="dxa"/>
            <w:right w:w="108" w:type="dxa"/>
          </w:tblCellMar>
        </w:tblPrEx>
        <w:trPr>
          <w:trHeight w:val="588"/>
        </w:trPr>
        <w:tc>
          <w:tcPr>
            <w:tcW w:w="8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sz w:val="21"/>
                <w:szCs w:val="21"/>
                <w:highlight w:val="none"/>
                <w:lang w:val="en-US" w:eastAsia="zh-CN"/>
              </w:rPr>
              <w:t>擅自将投标密钥</w:t>
            </w:r>
            <w:r>
              <w:rPr>
                <w:rFonts w:ascii="宋体" w:eastAsia="宋体" w:hAnsi="宋体" w:cs="宋体" w:hint="eastAsia"/>
                <w:color w:val="FF0000"/>
                <w:sz w:val="21"/>
                <w:szCs w:val="21"/>
                <w:highlight w:val="none"/>
                <w:lang w:eastAsia="zh-CN"/>
              </w:rPr>
              <w:t>或</w:t>
            </w:r>
            <w:r>
              <w:rPr>
                <w:rFonts w:ascii="宋体" w:eastAsia="宋体" w:hAnsi="宋体" w:cs="宋体" w:hint="eastAsia"/>
                <w:color w:val="FF0000"/>
                <w:sz w:val="21"/>
                <w:szCs w:val="21"/>
                <w:highlight w:val="none"/>
                <w:lang w:val="en-US" w:eastAsia="zh-CN"/>
              </w:rPr>
              <w:t>电子营业执照出借他人使用或未妥善保管。</w:t>
            </w:r>
          </w:p>
        </w:tc>
      </w:tr>
    </w:tbl>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hint="eastAsia"/>
          <w:color w:val="FF0000"/>
          <w:sz w:val="20"/>
          <w:szCs w:val="20"/>
        </w:rPr>
      </w:pP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（一）在采购活动中应当回避而未回避的；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（二）未按本条例规定签订、履行采购合同，造成严重后果的；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（三）隐瞒真实情况，提供虚假资料的；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（四）以非法手段排斥其他供应商参与竞争的；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（五）与其他采购参加人串通投标的；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（六）恶意投诉的；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（七）向采购项目相关人行贿或者提供其他不当利益的；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（八）阻碍、抗拒主管部门监督检查的；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（九）其他违反本条例规定的行为。</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b/>
          <w:bCs/>
          <w:color w:val="FF0000"/>
          <w:sz w:val="20"/>
          <w:szCs w:val="20"/>
        </w:rPr>
        <w:t>二、《深圳经济特区政府采购条例实施细则》第七十五条</w:t>
      </w:r>
      <w:r>
        <w:rPr>
          <w:rFonts w:ascii="宋体" w:hAnsi="宋体" w:hint="eastAsia"/>
          <w:b/>
          <w:bCs/>
          <w:color w:val="FF0000"/>
          <w:sz w:val="20"/>
          <w:szCs w:val="20"/>
          <w:lang w:val="en-US" w:eastAsia="zh-CN"/>
        </w:rPr>
        <w:t xml:space="preserve"> </w:t>
      </w:r>
      <w:r>
        <w:rPr>
          <w:rFonts w:ascii="宋体" w:hAnsi="宋体" w:hint="eastAsia"/>
          <w:color w:val="FF0000"/>
          <w:sz w:val="20"/>
          <w:szCs w:val="20"/>
        </w:rPr>
        <w:t>供应商有下列情形</w:t>
      </w:r>
      <w:r>
        <w:rPr>
          <w:rFonts w:ascii="宋体" w:hAnsi="宋体" w:hint="eastAsia"/>
          <w:color w:val="FF0000"/>
          <w:sz w:val="20"/>
          <w:szCs w:val="20"/>
          <w:lang w:val="en-US" w:eastAsia="zh-CN"/>
        </w:rPr>
        <w:t>之一</w:t>
      </w:r>
      <w:r>
        <w:rPr>
          <w:rFonts w:ascii="宋体" w:hAnsi="宋体" w:hint="eastAsia"/>
          <w:color w:val="FF0000"/>
          <w:sz w:val="20"/>
          <w:szCs w:val="20"/>
        </w:rPr>
        <w:t>的，属于采购条例所称的串通投标行为，按照采购条例第五十七条有关规定处理：（一）投标供应商之间相互约定给予未中标的供应商利益补偿</w:t>
      </w:r>
      <w:r>
        <w:rPr>
          <w:rFonts w:ascii="宋体" w:hAnsi="宋体" w:hint="eastAsia"/>
          <w:color w:val="FF0000"/>
          <w:sz w:val="20"/>
          <w:szCs w:val="20"/>
          <w:lang w:eastAsia="zh-CN"/>
        </w:rPr>
        <w:t>。</w:t>
      </w:r>
      <w:r>
        <w:rPr>
          <w:rFonts w:ascii="宋体" w:hAnsi="宋体" w:hint="eastAsia"/>
          <w:color w:val="FF0000"/>
          <w:sz w:val="20"/>
          <w:szCs w:val="20"/>
        </w:rPr>
        <w:t>（二）不同投标供应商的法定代表人、主要经营负责人、项目投标授权代表人、项目负责人、主要技术人员为同一人、属同一单位或者在同一单位缴纳社会保险</w:t>
      </w:r>
      <w:r>
        <w:rPr>
          <w:rFonts w:ascii="宋体" w:hAnsi="宋体" w:hint="eastAsia"/>
          <w:color w:val="FF0000"/>
          <w:sz w:val="20"/>
          <w:szCs w:val="20"/>
          <w:lang w:eastAsia="zh-CN"/>
        </w:rPr>
        <w:t>。</w:t>
      </w:r>
      <w:r>
        <w:rPr>
          <w:rFonts w:ascii="宋体" w:hAnsi="宋体" w:hint="eastAsia"/>
          <w:color w:val="FF0000"/>
          <w:sz w:val="20"/>
          <w:szCs w:val="20"/>
        </w:rPr>
        <w:t>（三）不同投标供应商的投标文件由同一单位或者同一人编制，或者由同一人分阶段参与编制的</w:t>
      </w:r>
      <w:r>
        <w:rPr>
          <w:rFonts w:ascii="宋体" w:hAnsi="宋体" w:hint="eastAsia"/>
          <w:color w:val="FF0000"/>
          <w:sz w:val="20"/>
          <w:szCs w:val="20"/>
          <w:lang w:eastAsia="zh-CN"/>
        </w:rPr>
        <w:t>。</w:t>
      </w:r>
      <w:r>
        <w:rPr>
          <w:rFonts w:ascii="宋体" w:hAnsi="宋体" w:hint="eastAsia"/>
          <w:color w:val="FF0000"/>
          <w:sz w:val="20"/>
          <w:szCs w:val="20"/>
        </w:rPr>
        <w:t>（四）不同投标供应商的投标文件或部分投标文件相互混装</w:t>
      </w:r>
      <w:r>
        <w:rPr>
          <w:rFonts w:ascii="宋体" w:hAnsi="宋体" w:hint="eastAsia"/>
          <w:color w:val="FF0000"/>
          <w:sz w:val="20"/>
          <w:szCs w:val="20"/>
          <w:lang w:eastAsia="zh-CN"/>
        </w:rPr>
        <w:t>。</w:t>
      </w:r>
      <w:r>
        <w:rPr>
          <w:rFonts w:ascii="宋体" w:hAnsi="宋体" w:hint="eastAsia"/>
          <w:color w:val="FF0000"/>
          <w:sz w:val="20"/>
          <w:szCs w:val="20"/>
        </w:rPr>
        <w:t>（五）不同投标供应商的投标文件内容存在非正常一致</w:t>
      </w:r>
      <w:r>
        <w:rPr>
          <w:rFonts w:ascii="宋体" w:hAnsi="宋体" w:hint="eastAsia"/>
          <w:color w:val="FF0000"/>
          <w:sz w:val="20"/>
          <w:szCs w:val="20"/>
          <w:lang w:eastAsia="zh-CN"/>
        </w:rPr>
        <w:t>。</w:t>
      </w:r>
      <w:r>
        <w:rPr>
          <w:rFonts w:ascii="宋体" w:hAnsi="宋体" w:hint="eastAsia"/>
          <w:color w:val="FF0000"/>
          <w:sz w:val="20"/>
          <w:szCs w:val="20"/>
        </w:rPr>
        <w:t>（六）由同一单位工作人员为两家以上（含两家）供应商进行同一项投标活动的</w:t>
      </w:r>
      <w:r>
        <w:rPr>
          <w:rFonts w:ascii="宋体" w:hAnsi="宋体" w:hint="eastAsia"/>
          <w:color w:val="FF0000"/>
          <w:sz w:val="20"/>
          <w:szCs w:val="20"/>
          <w:lang w:eastAsia="zh-CN"/>
        </w:rPr>
        <w:t>。</w:t>
      </w:r>
      <w:r>
        <w:rPr>
          <w:rFonts w:ascii="宋体" w:hAnsi="宋体" w:hint="eastAsia"/>
          <w:color w:val="FF0000"/>
          <w:sz w:val="20"/>
          <w:szCs w:val="20"/>
        </w:rPr>
        <w:t>（七）主管部门依照法律、法规认定的其他情形。</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b/>
          <w:bCs/>
          <w:color w:val="FF0000"/>
          <w:sz w:val="20"/>
          <w:szCs w:val="20"/>
        </w:rPr>
        <w:t>三、《深圳经济特区政府采购条例实施细则》第七十七条</w:t>
      </w:r>
      <w:r>
        <w:rPr>
          <w:rFonts w:ascii="宋体" w:hAnsi="宋体" w:hint="eastAsia"/>
          <w:b/>
          <w:bCs/>
          <w:color w:val="FF0000"/>
          <w:sz w:val="20"/>
          <w:szCs w:val="20"/>
          <w:lang w:val="en-US" w:eastAsia="zh-CN"/>
        </w:rPr>
        <w:t xml:space="preserve"> </w:t>
      </w:r>
      <w:r>
        <w:rPr>
          <w:rFonts w:ascii="宋体" w:hAnsi="宋体" w:hint="eastAsia"/>
          <w:color w:val="FF0000"/>
          <w:sz w:val="20"/>
          <w:szCs w:val="20"/>
        </w:rPr>
        <w:t>供应商有下列情形之一的，属于隐瞒真实情况，提供虚假资料，按照采购条例第五十七</w:t>
      </w:r>
      <w:r>
        <w:rPr>
          <w:rFonts w:ascii="宋体" w:hAnsi="宋体" w:hint="eastAsia"/>
          <w:color w:val="FF0000"/>
          <w:sz w:val="20"/>
          <w:szCs w:val="20"/>
          <w:lang w:val="en-US" w:eastAsia="zh-CN"/>
        </w:rPr>
        <w:t>条</w:t>
      </w:r>
      <w:r>
        <w:rPr>
          <w:rFonts w:ascii="宋体" w:hAnsi="宋体" w:hint="eastAsia"/>
          <w:color w:val="FF0000"/>
          <w:sz w:val="20"/>
          <w:szCs w:val="20"/>
        </w:rPr>
        <w:t>的有关规定处理：（一）通过转让或者租借等方式从其他单位获取资格或者资质证书投标的</w:t>
      </w:r>
      <w:r>
        <w:rPr>
          <w:rFonts w:ascii="宋体" w:hAnsi="宋体" w:hint="eastAsia"/>
          <w:color w:val="FF0000"/>
          <w:sz w:val="20"/>
          <w:szCs w:val="20"/>
          <w:lang w:eastAsia="zh-CN"/>
        </w:rPr>
        <w:t>。</w:t>
      </w:r>
      <w:r>
        <w:rPr>
          <w:rFonts w:ascii="宋体" w:hAnsi="宋体" w:hint="eastAsia"/>
          <w:color w:val="FF0000"/>
          <w:sz w:val="20"/>
          <w:szCs w:val="20"/>
        </w:rPr>
        <w:t>（二）由其他单位或者其他单位负责人在投标供应商编制的投标文件上加盖印章或者签字的</w:t>
      </w:r>
      <w:r>
        <w:rPr>
          <w:rFonts w:ascii="宋体" w:hAnsi="宋体" w:hint="eastAsia"/>
          <w:color w:val="FF0000"/>
          <w:sz w:val="20"/>
          <w:szCs w:val="20"/>
          <w:lang w:eastAsia="zh-CN"/>
        </w:rPr>
        <w:t>。</w:t>
      </w:r>
      <w:r>
        <w:rPr>
          <w:rFonts w:ascii="宋体" w:hAnsi="宋体" w:hint="eastAsia"/>
          <w:color w:val="FF0000"/>
          <w:sz w:val="20"/>
          <w:szCs w:val="20"/>
        </w:rPr>
        <w:t>（三）项目负责人或者主要技术人员不是本单位人员的</w:t>
      </w:r>
      <w:r>
        <w:rPr>
          <w:rFonts w:ascii="宋体" w:hAnsi="宋体" w:hint="eastAsia"/>
          <w:color w:val="FF0000"/>
          <w:sz w:val="20"/>
          <w:szCs w:val="20"/>
          <w:lang w:eastAsia="zh-CN"/>
        </w:rPr>
        <w:t>。</w:t>
      </w:r>
      <w:r>
        <w:rPr>
          <w:rFonts w:ascii="宋体" w:hAnsi="宋体" w:hint="eastAsia"/>
          <w:color w:val="FF0000"/>
          <w:sz w:val="20"/>
          <w:szCs w:val="20"/>
        </w:rPr>
        <w:t>（四）投标保证金不是从投标供应商基本账户转出的</w:t>
      </w:r>
      <w:r>
        <w:rPr>
          <w:rFonts w:ascii="宋体" w:hAnsi="宋体" w:hint="eastAsia"/>
          <w:color w:val="FF0000"/>
          <w:sz w:val="20"/>
          <w:szCs w:val="20"/>
          <w:lang w:eastAsia="zh-CN"/>
        </w:rPr>
        <w:t>。</w:t>
      </w:r>
      <w:r>
        <w:rPr>
          <w:rFonts w:ascii="宋体" w:hAnsi="宋体" w:hint="eastAsia"/>
          <w:color w:val="FF0000"/>
          <w:sz w:val="20"/>
          <w:szCs w:val="20"/>
        </w:rPr>
        <w:t>（五）其他隐瞒真实情况、提供虚假资料的行为。</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ascii="Times New Roman" w:eastAsia="宋体" w:hint="eastAsia"/>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hint="eastAsia"/>
          <w:b w:val="0"/>
          <w:bCs/>
          <w:color w:val="FF0000"/>
          <w:sz w:val="20"/>
          <w:szCs w:val="20"/>
          <w:lang w:val="en-US" w:eastAsia="zh-CN"/>
        </w:rPr>
      </w:pPr>
      <w:r>
        <w:rPr>
          <w:rFonts w:ascii="Times New Roman" w:eastAsia="宋体" w:hint="eastAsia"/>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Times New Roman" w:eastAsia="宋体" w:hint="eastAsia"/>
          <w:b w:val="0"/>
          <w:bCs/>
          <w:color w:val="FF0000"/>
          <w:sz w:val="20"/>
          <w:szCs w:val="20"/>
          <w:lang w:val="en-US" w:eastAsia="zh-CN"/>
        </w:rPr>
      </w:pPr>
      <w:r>
        <w:rPr>
          <w:rFonts w:ascii="Times New Roman" w:eastAsia="宋体" w:hint="eastAsia"/>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hAnsi="宋体" w:hint="eastAsia"/>
          <w:color w:val="FF0000"/>
          <w:sz w:val="20"/>
          <w:szCs w:val="20"/>
        </w:rPr>
        <w:t>取消参与本市政府采购资格</w:t>
      </w:r>
      <w:r>
        <w:rPr>
          <w:rFonts w:hAnsi="宋体" w:hint="eastAsia"/>
          <w:color w:val="FF0000"/>
          <w:sz w:val="20"/>
          <w:szCs w:val="20"/>
          <w:lang w:eastAsia="zh-CN"/>
        </w:rPr>
        <w:t>、</w:t>
      </w:r>
      <w:r>
        <w:rPr>
          <w:rFonts w:ascii="宋体" w:hAnsi="宋体" w:hint="eastAsia"/>
          <w:color w:val="FF0000"/>
          <w:sz w:val="20"/>
          <w:szCs w:val="20"/>
        </w:rPr>
        <w:t>依法吊销其营业</w:t>
      </w:r>
      <w:r>
        <w:rPr>
          <w:rFonts w:hAnsi="宋体" w:hint="eastAsia"/>
          <w:color w:val="FF0000"/>
          <w:sz w:val="20"/>
          <w:szCs w:val="20"/>
          <w:lang w:val="en-US" w:eastAsia="zh-CN"/>
        </w:rPr>
        <w:t>执照等行政处罚，</w:t>
      </w:r>
      <w:r>
        <w:rPr>
          <w:rFonts w:ascii="宋体" w:hAnsi="宋体" w:hint="eastAsia"/>
          <w:color w:val="FF0000"/>
          <w:sz w:val="20"/>
          <w:szCs w:val="20"/>
        </w:rPr>
        <w:t>构成犯罪的，依法追究刑事责任</w:t>
      </w:r>
      <w:r>
        <w:rPr>
          <w:rFonts w:ascii="Times New Roman" w:eastAsia="宋体" w:hint="eastAsia"/>
          <w:b w:val="0"/>
          <w:bCs/>
          <w:color w:val="FF0000"/>
          <w:sz w:val="20"/>
          <w:szCs w:val="20"/>
          <w:lang w:val="en-US" w:eastAsia="zh-CN"/>
        </w:rPr>
        <w:t>，请各供应商独立编制、上传投标文件，妥善保管和使用电子秘钥。</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hint="eastAsia"/>
          <w:b/>
          <w:color w:val="FF0000"/>
        </w:rPr>
      </w:pPr>
      <w:r>
        <w:rPr>
          <w:rFonts w:hint="eastAsia"/>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并经各投标供应商负责人签字并加盖单位公章后，扫描上传至投标文件一并提交。</w:t>
      </w:r>
    </w:p>
    <w:p>
      <w:pPr>
        <w:pStyle w:val="NoSpacing"/>
        <w:outlineLvl w:val="9"/>
        <w:rPr>
          <w:rFonts w:hint="eastAsia"/>
          <w:lang w:val="en-US" w:eastAsia="zh-CN"/>
        </w:rPr>
      </w:pPr>
    </w:p>
    <w:p>
      <w:pPr>
        <w:pStyle w:val="NormalWeb"/>
        <w:keepNext w:val="0"/>
        <w:keepLines w:val="0"/>
        <w:pageBreakBefore w:val="0"/>
        <w:widowControl/>
        <w:pBdr>
          <w:top w:val="nil"/>
          <w:left w:val="nil"/>
          <w:bottom w:val="nil"/>
          <w:right w:val="nil"/>
          <w:between w:val="nil"/>
        </w:pBdr>
        <w:kinsoku/>
        <w:wordWrap/>
        <w:overflowPunct/>
        <w:topLinePunct w:val="0"/>
        <w:autoSpaceDE/>
        <w:autoSpaceDN/>
        <w:bidi w:val="0"/>
        <w:adjustRightInd/>
        <w:snapToGrid/>
        <w:jc w:val="both"/>
        <w:textAlignment w:val="auto"/>
        <w:outlineLvl w:val="9"/>
        <w:rPr>
          <w:rFonts w:ascii="Times New Roman" w:eastAsia="宋体" w:hAnsi="Times New Roman" w:cs="Times New Roman" w:hint="eastAsia"/>
          <w:b/>
          <w:color w:val="FF0000"/>
          <w:kern w:val="2"/>
          <w:sz w:val="21"/>
          <w:szCs w:val="24"/>
          <w:lang w:val="en-US" w:eastAsia="zh-CN" w:bidi="ar-SA"/>
        </w:rPr>
      </w:pPr>
      <w:r>
        <w:rPr>
          <w:rFonts w:ascii="Times New Roman" w:eastAsia="宋体" w:hAnsi="Times New Roman" w:cs="Times New Roman" w:hint="eastAsia"/>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Pr>
        <w:pStyle w:val="NormalWeb"/>
        <w:widowControl/>
        <w:jc w:val="center"/>
        <w:outlineLvl w:val="9"/>
        <w:rPr>
          <w:rFonts w:ascii="黑体" w:eastAsia="黑体" w:hAnsi="宋体" w:cs="黑体" w:hint="eastAsia"/>
          <w:sz w:val="40"/>
          <w:szCs w:val="40"/>
        </w:rPr>
      </w:pPr>
    </w:p>
    <w:p>
      <w:pPr>
        <w:pStyle w:val="NormalWeb"/>
        <w:widowControl/>
        <w:jc w:val="center"/>
        <w:outlineLvl w:val="9"/>
        <w:rPr>
          <w:rFonts w:ascii="黑体" w:eastAsia="黑体" w:hAnsi="宋体" w:cs="黑体" w:hint="eastAsia"/>
          <w:sz w:val="40"/>
          <w:szCs w:val="40"/>
        </w:rPr>
        <w:sectPr>
          <w:footerReference w:type="even" r:id="rId4"/>
          <w:footerReference w:type="default" r:id="rId5"/>
          <w:headerReference w:type="first" r:id="rId6"/>
          <w:pgSz w:w="11907" w:h="16840"/>
          <w:pgMar w:top="1440" w:right="1418" w:bottom="1440" w:left="1418" w:header="851" w:footer="992" w:gutter="0"/>
          <w:pgBorders>
            <w:top w:val="nil"/>
            <w:left w:val="nil"/>
            <w:bottom w:val="nil"/>
            <w:right w:val="nil"/>
          </w:pgBorders>
          <w:cols w:num="1" w:space="425"/>
          <w:titlePg/>
          <w:docGrid w:linePitch="462" w:charSpace="0"/>
        </w:sectPr>
      </w:pPr>
    </w:p>
    <w:p>
      <w:pPr>
        <w:pStyle w:val="NormalWeb"/>
        <w:widowControl/>
        <w:jc w:val="center"/>
        <w:outlineLvl w:val="1"/>
        <w:rPr>
          <w:rFonts w:ascii="黑体" w:eastAsia="黑体" w:hAnsi="宋体" w:cs="黑体"/>
          <w:sz w:val="40"/>
          <w:szCs w:val="40"/>
        </w:rPr>
      </w:pPr>
      <w:r>
        <w:rPr>
          <w:rFonts w:ascii="黑体" w:eastAsia="黑体" w:hAnsi="宋体" w:cs="黑体" w:hint="eastAsia"/>
          <w:sz w:val="40"/>
          <w:szCs w:val="40"/>
        </w:rPr>
        <w:t>招标文件信息</w:t>
      </w:r>
    </w:p>
    <w:tbl>
      <w:tblPr>
        <w:tblStyle w:val="TableNormal"/>
        <w:tblW w:w="7943" w:type="dxa"/>
        <w:jc w:val="center"/>
        <w:tblCellSpacing w:w="0" w:type="dxa"/>
        <w:tblLayout w:type="fixed"/>
        <w:tblCellMar>
          <w:top w:w="45" w:type="dxa"/>
          <w:left w:w="45" w:type="dxa"/>
          <w:bottom w:w="45" w:type="dxa"/>
          <w:right w:w="45" w:type="dxa"/>
        </w:tblCellMar>
      </w:tblPr>
      <w:tblGrid>
        <w:gridCol w:w="2723"/>
        <w:gridCol w:w="5220"/>
      </w:tblGrid>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pPr>
              <w:widowControl/>
              <w:jc w:val="left"/>
              <w:rPr>
                <w:sz w:val="30"/>
                <w:szCs w:val="30"/>
              </w:rPr>
            </w:pPr>
            <w:r>
              <w:rPr>
                <w:sz w:val="30"/>
                <w:szCs w:val="30"/>
              </w:rPr>
              <w:t>DPCG2025000053</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pPr>
              <w:widowControl/>
              <w:jc w:val="left"/>
              <w:rPr>
                <w:sz w:val="30"/>
                <w:szCs w:val="30"/>
              </w:rPr>
            </w:pPr>
            <w:bookmarkStart w:id="1" w:name="OLE_LINK3"/>
            <w:r>
              <w:rPr>
                <w:rFonts w:hint="default"/>
                <w:sz w:val="30"/>
                <w:szCs w:val="30"/>
                <w:lang w:val="en-US" w:eastAsia="zh-CN"/>
              </w:rPr>
              <w:t>康复治疗设备</w:t>
            </w:r>
            <w:r>
              <w:rPr>
                <w:rFonts w:hint="eastAsia"/>
                <w:sz w:val="30"/>
                <w:szCs w:val="30"/>
                <w:lang w:val="en-US" w:eastAsia="zh-CN"/>
              </w:rPr>
              <w:t>采购项目</w:t>
            </w:r>
            <w:bookmarkEnd w:id="1"/>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 xml:space="preserve">包 </w:t>
            </w:r>
            <w:r>
              <w:rPr>
                <w:rFonts w:ascii="宋体" w:hAnsi="宋体" w:cs="宋体" w:hint="eastAsia"/>
                <w:kern w:val="0"/>
                <w:sz w:val="30"/>
                <w:szCs w:val="30"/>
                <w:lang w:val="en-US" w:eastAsia="zh-CN"/>
              </w:rPr>
              <w:t xml:space="preserve">   </w:t>
            </w:r>
            <w:r>
              <w:rPr>
                <w:rFonts w:ascii="宋体" w:hAnsi="宋体" w:cs="宋体"/>
                <w:kern w:val="0"/>
                <w:sz w:val="30"/>
                <w:szCs w:val="30"/>
              </w:rPr>
              <w:t>号：</w:t>
            </w:r>
          </w:p>
        </w:tc>
        <w:tc>
          <w:tcPr>
            <w:tcW w:w="5220" w:type="dxa"/>
            <w:shd w:val="clear" w:color="auto" w:fill="auto"/>
            <w:vAlign w:val="center"/>
          </w:tcPr>
          <w:p>
            <w:pPr>
              <w:widowControl/>
              <w:jc w:val="left"/>
              <w:rPr>
                <w:sz w:val="30"/>
                <w:szCs w:val="30"/>
              </w:rPr>
            </w:pPr>
            <w:r>
              <w:rPr>
                <w:rFonts w:ascii="宋体" w:hAnsi="宋体" w:cs="宋体"/>
                <w:kern w:val="0"/>
                <w:sz w:val="30"/>
                <w:szCs w:val="30"/>
              </w:rPr>
              <w:t>A</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货物类</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rPr>
              <w:t>公开招标</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人民币</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rPr>
              <w:t>综合评分法</w:t>
            </w:r>
          </w:p>
        </w:tc>
      </w:tr>
    </w:tbl>
    <w:p>
      <w:pPr>
        <w:pStyle w:val="NormalWeb"/>
        <w:widowControl/>
        <w:jc w:val="center"/>
        <w:outlineLvl w:val="1"/>
        <w:rPr>
          <w:rFonts w:ascii="黑体" w:eastAsia="黑体" w:hAnsi="宋体" w:cs="黑体" w:hint="eastAsia"/>
          <w:sz w:val="40"/>
          <w:szCs w:val="40"/>
        </w:rPr>
        <w:sectPr>
          <w:pgSz w:w="11907" w:h="16840"/>
          <w:pgMar w:top="1497" w:right="1418" w:bottom="1440" w:left="1531" w:header="851" w:footer="992" w:gutter="0"/>
          <w:pgBorders>
            <w:top w:val="nil"/>
            <w:left w:val="nil"/>
            <w:bottom w:val="nil"/>
            <w:right w:val="nil"/>
          </w:pgBorders>
          <w:cols w:num="1" w:space="425"/>
          <w:titlePg/>
          <w:docGrid w:linePitch="462" w:charSpace="0"/>
        </w:sectPr>
      </w:pPr>
      <w:bookmarkEnd w:id="0"/>
    </w:p>
    <w:p>
      <w:pPr>
        <w:pStyle w:val="NormalWeb"/>
        <w:widowControl/>
        <w:jc w:val="center"/>
        <w:outlineLvl w:val="1"/>
        <w:rPr>
          <w:rFonts w:ascii="黑体" w:eastAsia="黑体" w:hAnsi="宋体" w:cs="黑体"/>
          <w:sz w:val="40"/>
          <w:szCs w:val="40"/>
        </w:rPr>
      </w:pPr>
      <w:r>
        <w:rPr>
          <w:rFonts w:ascii="黑体" w:eastAsia="黑体" w:hAnsi="宋体" w:cs="黑体" w:hint="eastAsia"/>
          <w:sz w:val="40"/>
          <w:szCs w:val="40"/>
        </w:rPr>
        <w:t>资格性审查表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资格要求，或未提交相应的资格证明资料（详见招标公告</w:t>
            </w:r>
            <w:r>
              <w:rPr>
                <w:rFonts w:ascii="宋体" w:hAnsi="宋体" w:hint="eastAsia"/>
                <w:szCs w:val="21"/>
              </w:rPr>
              <w:t>投标人资格要求，即申请人的资格要求</w:t>
            </w:r>
            <w:r>
              <w:rPr>
                <w:rFonts w:ascii="宋体" w:hAnsi="宋体" w:cs="宋体"/>
                <w:kern w:val="0"/>
                <w:szCs w:val="21"/>
              </w:rPr>
              <w:t>）</w:t>
            </w:r>
          </w:p>
        </w:tc>
      </w:tr>
    </w:tbl>
    <w:p>
      <w:pPr>
        <w:pStyle w:val="NormalWeb"/>
        <w:widowControl/>
        <w:spacing w:before="280" w:beforeAutospacing="0"/>
        <w:jc w:val="center"/>
        <w:outlineLvl w:val="1"/>
        <w:rPr>
          <w:rFonts w:ascii="黑体" w:eastAsia="黑体" w:hAnsi="宋体" w:cs="黑体"/>
          <w:sz w:val="40"/>
          <w:szCs w:val="40"/>
        </w:rPr>
      </w:pPr>
      <w:r>
        <w:rPr>
          <w:rFonts w:ascii="黑体" w:eastAsia="黑体" w:hAnsi="宋体" w:cs="黑体" w:hint="eastAsia"/>
          <w:sz w:val="40"/>
          <w:szCs w:val="40"/>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2" w:name="_Hlk71832186"/>
            <w:r>
              <w:rPr>
                <w:rFonts w:hint="eastAsia"/>
              </w:rPr>
              <w:t>相应预算金额（或设定的预算金额下的最高限价）</w:t>
            </w:r>
            <w:bookmarkEnd w:id="2"/>
            <w:r>
              <w:rPr>
                <w:rFonts w:hint="eastAsia"/>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投标文件存在列放位置错误，导致属于信息公开情形的没有被公开；</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投标文件用不属于本公司的电子密钥或电子营业执照进行加密的；</w:t>
            </w:r>
          </w:p>
        </w:tc>
      </w:tr>
      <w:tr>
        <w:tblPrEx>
          <w:tblW w:w="9078" w:type="dxa"/>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szCs w:val="24"/>
                <w:lang w:val="en-US" w:eastAsia="zh-CN"/>
              </w:rPr>
            </w:pPr>
            <w:r>
              <w:rPr>
                <w:rFonts w:ascii="宋体" w:eastAsia="宋体" w:hAnsi="宋体" w:cs="宋体" w:hint="eastAsia"/>
                <w:szCs w:val="24"/>
                <w:lang w:val="en-US" w:eastAsia="zh-CN"/>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hint="eastAsia"/>
                <w:szCs w:val="24"/>
                <w:lang w:eastAsia="zh-CN"/>
              </w:rPr>
            </w:pPr>
            <w:r>
              <w:rPr>
                <w:rFonts w:ascii="Times New Roman" w:eastAsia="宋体" w:hAnsi="Times New Roman" w:cs="Times New Roman" w:hint="eastAsia"/>
                <w:sz w:val="21"/>
                <w:szCs w:val="24"/>
              </w:rPr>
              <w:t>不同投标供应商投标文件“文件制作机器码”一致</w:t>
            </w:r>
            <w:r>
              <w:rPr>
                <w:rFonts w:ascii="Times New Roman" w:eastAsia="宋体" w:hAnsi="Times New Roman" w:cs="Times New Roman" w:hint="eastAsia"/>
                <w:sz w:val="21"/>
                <w:szCs w:val="24"/>
                <w:lang w:eastAsia="zh-CN"/>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szCs w:val="24"/>
                <w:lang w:val="en-US" w:eastAsia="zh-CN"/>
              </w:rPr>
            </w:pPr>
            <w:r>
              <w:rPr>
                <w:rFonts w:ascii="宋体" w:eastAsia="宋体" w:hAnsi="宋体" w:cs="宋体" w:hint="eastAsia"/>
                <w:szCs w:val="24"/>
                <w:lang w:val="en-US" w:eastAsia="zh-CN"/>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hint="eastAsia"/>
                <w:szCs w:val="24"/>
                <w:lang w:eastAsia="zh-CN"/>
              </w:rPr>
            </w:pPr>
            <w:r>
              <w:rPr>
                <w:rFonts w:ascii="Times New Roman" w:eastAsia="宋体" w:hAnsi="Times New Roman" w:cs="Times New Roman" w:hint="eastAsia"/>
                <w:sz w:val="21"/>
                <w:szCs w:val="24"/>
              </w:rPr>
              <w:t>不同投标供应商投标文件“文件创建标识码”一致</w:t>
            </w:r>
            <w:r>
              <w:rPr>
                <w:rFonts w:ascii="Times New Roman" w:eastAsia="宋体" w:hAnsi="Times New Roman" w:cs="Times New Roman" w:hint="eastAsia"/>
                <w:sz w:val="21"/>
                <w:szCs w:val="24"/>
                <w:lang w:eastAsia="zh-CN"/>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hint="default"/>
                <w:szCs w:val="21"/>
                <w:lang w:val="en-US" w:eastAsia="zh-CN"/>
              </w:rPr>
            </w:pPr>
            <w:r>
              <w:rPr>
                <w:rFonts w:ascii="宋体" w:hAnsi="宋体" w:cs="宋体" w:hint="eastAsia"/>
                <w:kern w:val="0"/>
                <w:szCs w:val="21"/>
                <w:lang w:val="en-US" w:eastAsia="zh-CN"/>
              </w:rPr>
              <w:t>13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法律、法规、规章、规范性文件规定的其他情形。</w:t>
            </w:r>
          </w:p>
        </w:tc>
      </w:tr>
    </w:tbl>
    <w:p>
      <w:pPr>
        <w:pStyle w:val="NormalWeb"/>
        <w:widowControl/>
        <w:jc w:val="center"/>
        <w:outlineLvl w:val="1"/>
        <w:rPr>
          <w:rFonts w:ascii="黑体" w:eastAsia="黑体" w:hAnsi="宋体" w:cs="黑体" w:hint="eastAsia"/>
          <w:sz w:val="40"/>
          <w:szCs w:val="40"/>
        </w:rPr>
        <w:sectPr>
          <w:pgSz w:w="11907" w:h="16840"/>
          <w:pgMar w:top="1440" w:right="1418" w:bottom="1440" w:left="1418" w:header="851" w:footer="992" w:gutter="0"/>
          <w:pgBorders>
            <w:top w:val="nil"/>
            <w:left w:val="nil"/>
            <w:bottom w:val="nil"/>
            <w:right w:val="nil"/>
          </w:pgBorders>
          <w:cols w:num="1" w:space="425"/>
          <w:titlePg/>
          <w:docGrid w:linePitch="462" w:charSpace="0"/>
        </w:sectPr>
      </w:pPr>
    </w:p>
    <w:p>
      <w:pPr>
        <w:pStyle w:val="NormalWeb"/>
        <w:widowControl/>
        <w:jc w:val="center"/>
        <w:outlineLvl w:val="1"/>
        <w:rPr>
          <w:rFonts w:ascii="黑体" w:eastAsia="黑体" w:hAnsi="宋体" w:cs="黑体"/>
          <w:sz w:val="40"/>
          <w:szCs w:val="40"/>
        </w:rPr>
      </w:pPr>
      <w:r>
        <w:rPr>
          <w:rFonts w:ascii="黑体" w:eastAsia="黑体" w:hAnsi="宋体" w:cs="黑体" w:hint="eastAsia"/>
          <w:sz w:val="40"/>
          <w:szCs w:val="40"/>
        </w:rPr>
        <w:t>评标信息</w:t>
      </w:r>
    </w:p>
    <w:tbl>
      <w:tblPr>
        <w:tblStyle w:val="TableNormal"/>
        <w:tblW w:w="9141" w:type="dxa"/>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9141" w:type="dxa"/>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W w:w="9141" w:type="dxa"/>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eastAsia="宋体" w:hint="eastAsia"/>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投标报价得分=(评标基准价／投标报价)×100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评标总得分＝F1×A1＋F2×A2＋……＋Fn×An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F1、F2……Fn分别为各项评审因素的得分；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A1、A2、……An 分别为各项评审因素所占的权重(A1＋A2＋……＋An＝1)。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b/>
                <w:bCs/>
                <w:sz w:val="21"/>
                <w:szCs w:val="21"/>
              </w:rPr>
            </w:pPr>
            <w:bookmarkStart w:id="3" w:name="_Hlk72360569"/>
            <w:r>
              <w:rPr>
                <w:rFonts w:ascii="宋体" w:hAnsi="宋体" w:cs="宋体"/>
                <w:b/>
                <w:bCs/>
                <w:kern w:val="0"/>
                <w:sz w:val="21"/>
                <w:szCs w:val="21"/>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b/>
                <w:bCs/>
                <w:sz w:val="21"/>
                <w:szCs w:val="21"/>
              </w:rPr>
            </w:pPr>
            <w:r>
              <w:rPr>
                <w:rFonts w:ascii="宋体" w:hAnsi="宋体" w:cs="宋体"/>
                <w:b/>
                <w:bCs/>
                <w:kern w:val="0"/>
                <w:sz w:val="21"/>
                <w:szCs w:val="21"/>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b/>
                <w:bCs/>
                <w:sz w:val="21"/>
                <w:szCs w:val="21"/>
              </w:rPr>
            </w:pPr>
            <w:r>
              <w:rPr>
                <w:rFonts w:ascii="宋体" w:hAnsi="宋体" w:cs="宋体"/>
                <w:b/>
                <w:bCs/>
                <w:kern w:val="0"/>
                <w:sz w:val="21"/>
                <w:szCs w:val="21"/>
              </w:rPr>
              <w:t>权重(%)</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30</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60</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jc w:val="center"/>
              <w:rPr>
                <w:rFonts w:ascii="宋体"/>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评分准则</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default"/>
                <w:kern w:val="0"/>
                <w:sz w:val="21"/>
                <w:szCs w:val="21"/>
                <w:lang w:val="en-US" w:eastAsia="zh-CN"/>
              </w:rPr>
            </w:pPr>
            <w:r>
              <w:rPr>
                <w:rFonts w:ascii="宋体" w:hAnsi="宋体" w:cs="宋体" w:hint="eastAsia"/>
                <w:kern w:val="0"/>
                <w:sz w:val="21"/>
                <w:szCs w:val="21"/>
                <w:lang w:val="en-US"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suppressLineNumbers w:val="0"/>
              <w:spacing w:before="0" w:beforeAutospacing="0" w:after="0" w:afterAutospacing="0" w:line="240" w:lineRule="exact"/>
              <w:ind w:left="0" w:right="0" w:leftChars="0" w:rightChars="0"/>
              <w:jc w:val="center"/>
              <w:rPr>
                <w:rFonts w:ascii="宋体" w:eastAsia="宋体" w:hAnsi="宋体" w:cs="宋体" w:hint="eastAsia"/>
                <w:kern w:val="2"/>
                <w:sz w:val="21"/>
                <w:szCs w:val="21"/>
                <w:lang w:val="en-US" w:eastAsia="zh-CN" w:bidi="ar-SA"/>
              </w:rPr>
            </w:pPr>
            <w:r>
              <w:rPr>
                <w:rFonts w:ascii="宋体" w:eastAsia="宋体" w:hAnsi="宋体" w:cs="宋体" w:hint="eastAsia"/>
                <w:kern w:val="0"/>
                <w:sz w:val="21"/>
                <w:szCs w:val="21"/>
                <w:highlight w:val="none"/>
              </w:rPr>
              <w:t>技术要求偏离情况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default"/>
                <w:kern w:val="2"/>
                <w:sz w:val="21"/>
                <w:szCs w:val="21"/>
                <w:lang w:val="en-US" w:eastAsia="zh-CN" w:bidi="ar-SA"/>
              </w:rPr>
            </w:pPr>
            <w:r>
              <w:rPr>
                <w:rFonts w:ascii="宋体" w:hAnsi="宋体" w:cs="宋体" w:hint="eastAsia"/>
                <w:kern w:val="2"/>
                <w:sz w:val="21"/>
                <w:szCs w:val="21"/>
                <w:lang w:val="en-US" w:eastAsia="zh-CN" w:bidi="ar-SA"/>
              </w:rPr>
              <w:t>40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left"/>
              <w:textAlignment w:val="top"/>
              <w:rPr>
                <w:rFonts w:ascii="宋体" w:eastAsia="宋体" w:hAnsi="宋体" w:cs="宋体" w:hint="eastAsia"/>
                <w:b/>
                <w:bCs/>
                <w:sz w:val="21"/>
                <w:szCs w:val="21"/>
              </w:rPr>
            </w:pPr>
            <w:r>
              <w:rPr>
                <w:rFonts w:ascii="宋体" w:eastAsia="宋体" w:hAnsi="宋体" w:cs="宋体" w:hint="eastAsia"/>
                <w:b/>
                <w:bCs/>
                <w:sz w:val="21"/>
                <w:szCs w:val="21"/>
              </w:rPr>
              <w:t>（一）评分内容</w:t>
            </w:r>
          </w:p>
          <w:p>
            <w:pPr>
              <w:widowControl/>
              <w:wordWrap w:val="0"/>
              <w:jc w:val="left"/>
              <w:textAlignment w:val="top"/>
              <w:rPr>
                <w:rFonts w:ascii="宋体" w:eastAsia="宋体" w:hAnsi="宋体" w:cs="宋体" w:hint="eastAsia"/>
                <w:sz w:val="21"/>
                <w:szCs w:val="21"/>
              </w:rPr>
            </w:pPr>
            <w:r>
              <w:rPr>
                <w:rFonts w:ascii="宋体" w:eastAsia="宋体" w:hAnsi="宋体" w:cs="宋体" w:hint="eastAsia"/>
                <w:sz w:val="21"/>
                <w:szCs w:val="21"/>
              </w:rPr>
              <w:t>投标人根据“第三章 用户需求书”“技术要求”如实填写《技术要求偏离表》，评审委员会根据投标人的参数响应情况进行评价，所投产品技术参数（非</w:t>
            </w:r>
            <w:r>
              <w:rPr>
                <w:rFonts w:ascii="宋体" w:eastAsia="宋体" w:hAnsi="宋体" w:cs="宋体" w:hint="eastAsia"/>
                <w:kern w:val="0"/>
                <w:sz w:val="21"/>
                <w:szCs w:val="21"/>
              </w:rPr>
              <w:t>“★”</w:t>
            </w:r>
            <w:r>
              <w:rPr>
                <w:rFonts w:ascii="宋体" w:eastAsia="宋体" w:hAnsi="宋体" w:cs="宋体" w:hint="eastAsia"/>
                <w:sz w:val="21"/>
                <w:szCs w:val="21"/>
              </w:rPr>
              <w:t>指标项技术参数）全部满足得100分；有负偏离的，每负偏离一项扣</w:t>
            </w:r>
            <w:r>
              <w:rPr>
                <w:rFonts w:ascii="宋体" w:hAnsi="宋体" w:cs="宋体" w:hint="eastAsia"/>
                <w:sz w:val="21"/>
                <w:szCs w:val="21"/>
                <w:lang w:val="en-US" w:eastAsia="zh-CN"/>
              </w:rPr>
              <w:t>1.25</w:t>
            </w:r>
            <w:r>
              <w:rPr>
                <w:rFonts w:ascii="宋体" w:eastAsia="宋体" w:hAnsi="宋体" w:cs="宋体" w:hint="eastAsia"/>
                <w:sz w:val="21"/>
                <w:szCs w:val="21"/>
              </w:rPr>
              <w:t>分，扣完为止。</w:t>
            </w:r>
          </w:p>
          <w:p>
            <w:pPr>
              <w:widowControl/>
              <w:wordWrap w:val="0"/>
              <w:jc w:val="left"/>
              <w:textAlignment w:val="top"/>
              <w:rPr>
                <w:rFonts w:ascii="宋体" w:eastAsia="宋体" w:hAnsi="宋体" w:cs="宋体" w:hint="eastAsia"/>
                <w:b/>
                <w:bCs/>
                <w:sz w:val="21"/>
                <w:szCs w:val="21"/>
              </w:rPr>
            </w:pPr>
            <w:r>
              <w:rPr>
                <w:rFonts w:ascii="宋体" w:eastAsia="宋体" w:hAnsi="宋体" w:cs="宋体" w:hint="eastAsia"/>
                <w:b/>
                <w:bCs/>
                <w:sz w:val="21"/>
                <w:szCs w:val="21"/>
              </w:rPr>
              <w:t>（二）评分依据</w:t>
            </w:r>
          </w:p>
          <w:p>
            <w:pPr>
              <w:widowControl/>
              <w:wordWrap w:val="0"/>
              <w:jc w:val="left"/>
              <w:textAlignment w:val="top"/>
              <w:rPr>
                <w:rFonts w:ascii="宋体" w:eastAsia="宋体" w:hAnsi="宋体" w:cs="宋体" w:hint="eastAsia"/>
                <w:kern w:val="2"/>
                <w:sz w:val="21"/>
                <w:szCs w:val="21"/>
                <w:lang w:val="en-US" w:eastAsia="zh-CN" w:bidi="ar-SA"/>
              </w:rPr>
            </w:pPr>
            <w:r>
              <w:rPr>
                <w:rFonts w:ascii="宋体" w:hAnsi="宋体" w:cs="宋体" w:hint="eastAsia"/>
                <w:szCs w:val="21"/>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default"/>
                <w:kern w:val="0"/>
                <w:sz w:val="21"/>
                <w:szCs w:val="21"/>
                <w:lang w:val="en-US" w:eastAsia="zh-CN"/>
              </w:rPr>
            </w:pPr>
            <w:r>
              <w:rPr>
                <w:rFonts w:ascii="宋体" w:hAnsi="宋体" w:cs="宋体" w:hint="eastAsia"/>
                <w:kern w:val="0"/>
                <w:sz w:val="21"/>
                <w:szCs w:val="21"/>
                <w:lang w:val="en-US" w:eastAsia="zh-CN"/>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suppressLineNumbers w:val="0"/>
              <w:spacing w:before="0" w:beforeAutospacing="0" w:after="0" w:afterAutospacing="0"/>
              <w:ind w:left="0" w:right="0" w:leftChars="0" w:rightChars="0"/>
              <w:jc w:val="center"/>
              <w:rPr>
                <w:rFonts w:eastAsia="宋体" w:hint="eastAsia"/>
                <w:sz w:val="21"/>
                <w:szCs w:val="21"/>
                <w:lang w:val="en-US" w:eastAsia="zh-CN"/>
              </w:rPr>
            </w:pPr>
            <w:r>
              <w:rPr>
                <w:rFonts w:ascii="宋体" w:eastAsia="宋体" w:hAnsi="宋体" w:cs="宋体" w:hint="eastAsia"/>
                <w:color w:val="auto"/>
                <w:sz w:val="21"/>
                <w:szCs w:val="21"/>
                <w:lang w:val="en-US" w:eastAsia="zh-CN"/>
              </w:rPr>
              <w:t>项目服务方案</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suppressLineNumbers w:val="0"/>
              <w:spacing w:before="0" w:beforeAutospacing="0" w:after="0" w:afterAutospacing="0"/>
              <w:ind w:left="0" w:right="0" w:leftChars="0" w:rightChars="0"/>
              <w:jc w:val="center"/>
              <w:rPr>
                <w:rFonts w:eastAsia="宋体" w:hint="default"/>
                <w:sz w:val="21"/>
                <w:szCs w:val="21"/>
                <w:lang w:val="en-US" w:eastAsia="zh-CN"/>
              </w:rPr>
            </w:pPr>
            <w:r>
              <w:rPr>
                <w:rFonts w:hint="eastAsia"/>
                <w:sz w:val="21"/>
                <w:szCs w:val="21"/>
                <w:lang w:val="en-US"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jc w:val="left"/>
              <w:rPr>
                <w:rFonts w:ascii="宋体" w:eastAsia="宋体" w:hAnsi="宋体" w:cs="宋体" w:hint="eastAsia"/>
                <w:b/>
                <w:bCs/>
                <w:sz w:val="21"/>
                <w:szCs w:val="21"/>
              </w:rPr>
            </w:pPr>
            <w:r>
              <w:rPr>
                <w:rFonts w:ascii="宋体" w:eastAsia="宋体" w:hAnsi="宋体" w:cs="宋体" w:hint="eastAsia"/>
                <w:b/>
                <w:bCs/>
                <w:sz w:val="21"/>
                <w:szCs w:val="21"/>
              </w:rPr>
              <w:t>（一）评分内容：</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color w:val="auto"/>
                <w:sz w:val="21"/>
                <w:szCs w:val="21"/>
              </w:rPr>
            </w:pPr>
            <w:r>
              <w:rPr>
                <w:rFonts w:ascii="宋体" w:eastAsia="宋体" w:hAnsi="宋体" w:cs="宋体" w:hint="eastAsia"/>
                <w:color w:val="auto"/>
                <w:sz w:val="21"/>
                <w:szCs w:val="21"/>
              </w:rPr>
              <w:t>投标人提供的</w:t>
            </w:r>
            <w:r>
              <w:rPr>
                <w:rFonts w:ascii="宋体" w:eastAsia="宋体" w:hAnsi="宋体" w:cs="宋体" w:hint="eastAsia"/>
                <w:color w:val="auto"/>
                <w:sz w:val="21"/>
                <w:szCs w:val="21"/>
                <w:lang w:val="en-US" w:eastAsia="zh-CN"/>
              </w:rPr>
              <w:t>项目服务方案</w:t>
            </w:r>
            <w:r>
              <w:rPr>
                <w:rFonts w:ascii="宋体" w:eastAsia="宋体" w:hAnsi="宋体" w:cs="宋体" w:hint="eastAsia"/>
                <w:color w:val="auto"/>
                <w:sz w:val="21"/>
                <w:szCs w:val="21"/>
              </w:rPr>
              <w:t>包括：</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color w:val="auto"/>
                <w:sz w:val="21"/>
                <w:szCs w:val="21"/>
                <w:lang w:eastAsia="zh-CN"/>
              </w:rPr>
            </w:pPr>
            <w:r>
              <w:rPr>
                <w:rFonts w:ascii="宋体" w:eastAsia="宋体" w:hAnsi="宋体" w:cs="宋体" w:hint="eastAsia"/>
                <w:color w:val="auto"/>
                <w:sz w:val="21"/>
                <w:szCs w:val="21"/>
              </w:rPr>
              <w:t>1.设备维护保养计划表</w:t>
            </w:r>
            <w:r>
              <w:rPr>
                <w:rFonts w:ascii="宋体" w:hAnsi="宋体" w:cs="宋体" w:hint="eastAsia"/>
                <w:color w:val="auto"/>
                <w:sz w:val="21"/>
                <w:szCs w:val="21"/>
                <w:lang w:eastAsia="zh-CN"/>
              </w:rPr>
              <w:t>；</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lang w:eastAsia="zh-CN"/>
              </w:rPr>
            </w:pPr>
            <w:r>
              <w:rPr>
                <w:rFonts w:ascii="宋体" w:eastAsia="宋体" w:hAnsi="宋体" w:cs="宋体" w:hint="eastAsia"/>
                <w:color w:val="auto"/>
                <w:sz w:val="21"/>
                <w:szCs w:val="21"/>
              </w:rPr>
              <w:t>2.设备的培训方案</w:t>
            </w:r>
            <w:r>
              <w:rPr>
                <w:rFonts w:ascii="宋体" w:hAnsi="宋体" w:cs="宋体" w:hint="eastAsia"/>
                <w:color w:val="auto"/>
                <w:sz w:val="21"/>
                <w:szCs w:val="21"/>
                <w:lang w:eastAsia="zh-CN"/>
              </w:rPr>
              <w:t>；</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lang w:eastAsia="zh-CN"/>
              </w:rPr>
            </w:pPr>
            <w:r>
              <w:rPr>
                <w:rFonts w:ascii="宋体" w:eastAsia="宋体" w:hAnsi="宋体" w:cs="宋体" w:hint="eastAsia"/>
                <w:color w:val="auto"/>
                <w:sz w:val="21"/>
                <w:szCs w:val="21"/>
              </w:rPr>
              <w:t>3.核心设备出现重大故障的解决方案</w:t>
            </w:r>
            <w:r>
              <w:rPr>
                <w:rFonts w:ascii="宋体" w:hAnsi="宋体" w:cs="宋体" w:hint="eastAsia"/>
                <w:color w:val="auto"/>
                <w:sz w:val="21"/>
                <w:szCs w:val="21"/>
                <w:lang w:eastAsia="zh-CN"/>
              </w:rPr>
              <w:t>。</w:t>
            </w:r>
          </w:p>
          <w:p>
            <w:pPr>
              <w:wordWrap w:val="0"/>
              <w:jc w:val="left"/>
              <w:rPr>
                <w:rFonts w:ascii="宋体" w:eastAsia="宋体" w:hAnsi="宋体" w:cs="宋体" w:hint="eastAsia"/>
                <w:b/>
                <w:bCs/>
                <w:sz w:val="21"/>
                <w:szCs w:val="21"/>
              </w:rPr>
            </w:pPr>
            <w:r>
              <w:rPr>
                <w:rFonts w:ascii="宋体" w:eastAsia="宋体" w:hAnsi="宋体" w:cs="宋体" w:hint="eastAsia"/>
                <w:b/>
                <w:bCs/>
                <w:sz w:val="21"/>
                <w:szCs w:val="21"/>
              </w:rPr>
              <w:t>（二）评分依据：</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rPr>
            </w:pPr>
            <w:r>
              <w:rPr>
                <w:rFonts w:ascii="宋体" w:hAnsi="宋体" w:cs="宋体" w:hint="eastAsia"/>
                <w:color w:val="auto"/>
                <w:sz w:val="21"/>
                <w:szCs w:val="21"/>
                <w:lang w:val="en-US" w:eastAsia="zh-CN"/>
              </w:rPr>
              <w:t>1.</w:t>
            </w:r>
            <w:r>
              <w:rPr>
                <w:rFonts w:ascii="宋体" w:eastAsia="宋体" w:hAnsi="宋体" w:cs="宋体" w:hint="eastAsia"/>
                <w:color w:val="auto"/>
                <w:sz w:val="21"/>
                <w:szCs w:val="21"/>
              </w:rPr>
              <w:t>方案内容每满足以上</w:t>
            </w:r>
            <w:r>
              <w:rPr>
                <w:rFonts w:ascii="宋体" w:eastAsia="宋体" w:hAnsi="宋体" w:cs="宋体" w:hint="eastAsia"/>
                <w:color w:val="auto"/>
                <w:sz w:val="21"/>
                <w:szCs w:val="21"/>
                <w:lang w:val="en-US" w:eastAsia="zh-CN"/>
              </w:rPr>
              <w:t>任意</w:t>
            </w:r>
            <w:r>
              <w:rPr>
                <w:rFonts w:ascii="宋体" w:eastAsia="宋体" w:hAnsi="宋体" w:cs="宋体" w:hint="eastAsia"/>
                <w:color w:val="auto"/>
                <w:sz w:val="21"/>
                <w:szCs w:val="21"/>
              </w:rPr>
              <w:t>一</w:t>
            </w:r>
            <w:r>
              <w:rPr>
                <w:rFonts w:ascii="宋体" w:eastAsia="宋体" w:hAnsi="宋体" w:cs="宋体" w:hint="eastAsia"/>
                <w:color w:val="auto"/>
                <w:sz w:val="21"/>
                <w:szCs w:val="21"/>
                <w:lang w:val="en-US" w:eastAsia="zh-CN"/>
              </w:rPr>
              <w:t>点</w:t>
            </w:r>
            <w:r>
              <w:rPr>
                <w:rFonts w:ascii="宋体" w:eastAsia="宋体" w:hAnsi="宋体" w:cs="宋体" w:hint="eastAsia"/>
                <w:color w:val="auto"/>
                <w:sz w:val="21"/>
                <w:szCs w:val="21"/>
              </w:rPr>
              <w:t>得</w:t>
            </w:r>
            <w:r>
              <w:rPr>
                <w:rFonts w:ascii="宋体" w:eastAsia="宋体" w:hAnsi="宋体" w:cs="宋体" w:hint="eastAsia"/>
                <w:color w:val="auto"/>
                <w:sz w:val="21"/>
                <w:szCs w:val="21"/>
                <w:lang w:val="en-US" w:eastAsia="zh-CN"/>
              </w:rPr>
              <w:t>20</w:t>
            </w:r>
            <w:r>
              <w:rPr>
                <w:rFonts w:ascii="宋体" w:eastAsia="宋体" w:hAnsi="宋体" w:cs="宋体" w:hint="eastAsia"/>
                <w:color w:val="auto"/>
                <w:sz w:val="21"/>
                <w:szCs w:val="21"/>
              </w:rPr>
              <w:t>分，最高得60分；</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rPr>
            </w:pPr>
            <w:r>
              <w:rPr>
                <w:rFonts w:ascii="宋体" w:hAnsi="宋体" w:cs="宋体" w:hint="eastAsia"/>
                <w:color w:val="auto"/>
                <w:sz w:val="21"/>
                <w:szCs w:val="21"/>
                <w:lang w:val="en-US" w:eastAsia="zh-CN"/>
              </w:rPr>
              <w:t>2.</w:t>
            </w:r>
            <w:r>
              <w:rPr>
                <w:rFonts w:ascii="宋体" w:eastAsia="宋体" w:hAnsi="宋体" w:cs="宋体" w:hint="eastAsia"/>
                <w:color w:val="auto"/>
                <w:sz w:val="21"/>
                <w:szCs w:val="21"/>
              </w:rPr>
              <w:t>在此基础上，由评审委员进行评价：</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rPr>
            </w:pPr>
            <w:r>
              <w:rPr>
                <w:rFonts w:ascii="宋体" w:hAnsi="宋体" w:cs="宋体" w:hint="eastAsia"/>
                <w:color w:val="auto"/>
                <w:sz w:val="21"/>
                <w:szCs w:val="21"/>
                <w:lang w:eastAsia="zh-CN"/>
              </w:rPr>
              <w:t>（</w:t>
            </w:r>
            <w:r>
              <w:rPr>
                <w:rFonts w:ascii="宋体" w:hAnsi="宋体" w:cs="宋体" w:hint="eastAsia"/>
                <w:color w:val="auto"/>
                <w:sz w:val="21"/>
                <w:szCs w:val="21"/>
                <w:lang w:val="en-US" w:eastAsia="zh-CN"/>
              </w:rPr>
              <w:t>1</w:t>
            </w:r>
            <w:r>
              <w:rPr>
                <w:rFonts w:ascii="宋体" w:hAnsi="宋体" w:cs="宋体" w:hint="eastAsia"/>
                <w:color w:val="auto"/>
                <w:sz w:val="21"/>
                <w:szCs w:val="21"/>
                <w:lang w:eastAsia="zh-CN"/>
              </w:rPr>
              <w:t>）</w:t>
            </w:r>
            <w:r>
              <w:rPr>
                <w:rFonts w:ascii="宋体" w:eastAsia="宋体" w:hAnsi="宋体" w:cs="宋体" w:hint="eastAsia"/>
                <w:color w:val="auto"/>
                <w:sz w:val="21"/>
                <w:szCs w:val="21"/>
              </w:rPr>
              <w:t>内容符合项目实际，可行性强，评价为优，</w:t>
            </w:r>
            <w:r>
              <w:rPr>
                <w:rFonts w:ascii="宋体" w:eastAsia="宋体" w:hAnsi="宋体" w:cs="宋体" w:hint="eastAsia"/>
                <w:color w:val="auto"/>
                <w:sz w:val="21"/>
                <w:szCs w:val="21"/>
                <w:lang w:val="en-US" w:eastAsia="zh-CN"/>
              </w:rPr>
              <w:t>加</w:t>
            </w:r>
            <w:r>
              <w:rPr>
                <w:rFonts w:ascii="宋体" w:eastAsia="宋体" w:hAnsi="宋体" w:cs="宋体" w:hint="eastAsia"/>
                <w:color w:val="auto"/>
                <w:sz w:val="21"/>
                <w:szCs w:val="21"/>
              </w:rPr>
              <w:t>40分；</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rPr>
            </w:pPr>
            <w:r>
              <w:rPr>
                <w:rFonts w:ascii="宋体" w:hAnsi="宋体" w:cs="宋体" w:hint="eastAsia"/>
                <w:color w:val="auto"/>
                <w:sz w:val="21"/>
                <w:szCs w:val="21"/>
                <w:lang w:eastAsia="zh-CN"/>
              </w:rPr>
              <w:t>（</w:t>
            </w:r>
            <w:r>
              <w:rPr>
                <w:rFonts w:ascii="宋体" w:hAnsi="宋体" w:cs="宋体" w:hint="eastAsia"/>
                <w:color w:val="auto"/>
                <w:sz w:val="21"/>
                <w:szCs w:val="21"/>
                <w:lang w:val="en-US" w:eastAsia="zh-CN"/>
              </w:rPr>
              <w:t>2</w:t>
            </w:r>
            <w:r>
              <w:rPr>
                <w:rFonts w:ascii="宋体" w:hAnsi="宋体" w:cs="宋体" w:hint="eastAsia"/>
                <w:color w:val="auto"/>
                <w:sz w:val="21"/>
                <w:szCs w:val="21"/>
                <w:lang w:eastAsia="zh-CN"/>
              </w:rPr>
              <w:t>）</w:t>
            </w:r>
            <w:r>
              <w:rPr>
                <w:rFonts w:ascii="宋体" w:eastAsia="宋体" w:hAnsi="宋体" w:cs="宋体" w:hint="eastAsia"/>
                <w:color w:val="auto"/>
                <w:sz w:val="21"/>
                <w:szCs w:val="21"/>
              </w:rPr>
              <w:t>内容较符合项目实际，可行性较好，评价为良，</w:t>
            </w:r>
            <w:r>
              <w:rPr>
                <w:rFonts w:ascii="宋体" w:eastAsia="宋体" w:hAnsi="宋体" w:cs="宋体" w:hint="eastAsia"/>
                <w:color w:val="auto"/>
                <w:sz w:val="21"/>
                <w:szCs w:val="21"/>
                <w:lang w:val="en-US" w:eastAsia="zh-CN"/>
              </w:rPr>
              <w:t>加</w:t>
            </w:r>
            <w:r>
              <w:rPr>
                <w:rFonts w:ascii="宋体" w:eastAsia="宋体" w:hAnsi="宋体" w:cs="宋体" w:hint="eastAsia"/>
                <w:color w:val="auto"/>
                <w:sz w:val="21"/>
                <w:szCs w:val="21"/>
              </w:rPr>
              <w:t>20分；</w:t>
            </w:r>
          </w:p>
          <w:p>
            <w:pPr>
              <w:keepNext w:val="0"/>
              <w:keepLines w:val="0"/>
              <w:suppressLineNumbers w:val="0"/>
              <w:spacing w:before="0" w:beforeAutospacing="0" w:after="0" w:afterAutospacing="0"/>
              <w:ind w:left="0" w:right="0"/>
              <w:rPr>
                <w:rFonts w:ascii="宋体" w:eastAsia="宋体" w:hAnsi="宋体" w:cs="宋体" w:hint="eastAsia"/>
                <w:color w:val="auto"/>
                <w:sz w:val="21"/>
                <w:szCs w:val="21"/>
              </w:rPr>
            </w:pPr>
            <w:r>
              <w:rPr>
                <w:rFonts w:ascii="宋体" w:hAnsi="宋体" w:cs="宋体" w:hint="eastAsia"/>
                <w:color w:val="auto"/>
                <w:sz w:val="21"/>
                <w:szCs w:val="21"/>
                <w:lang w:eastAsia="zh-CN"/>
              </w:rPr>
              <w:t>（</w:t>
            </w:r>
            <w:r>
              <w:rPr>
                <w:rFonts w:ascii="宋体" w:hAnsi="宋体" w:cs="宋体" w:hint="eastAsia"/>
                <w:color w:val="auto"/>
                <w:sz w:val="21"/>
                <w:szCs w:val="21"/>
                <w:lang w:val="en-US" w:eastAsia="zh-CN"/>
              </w:rPr>
              <w:t>3</w:t>
            </w:r>
            <w:r>
              <w:rPr>
                <w:rFonts w:ascii="宋体" w:hAnsi="宋体" w:cs="宋体" w:hint="eastAsia"/>
                <w:color w:val="auto"/>
                <w:sz w:val="21"/>
                <w:szCs w:val="21"/>
                <w:lang w:eastAsia="zh-CN"/>
              </w:rPr>
              <w:t>）</w:t>
            </w:r>
            <w:r>
              <w:rPr>
                <w:rFonts w:ascii="宋体" w:eastAsia="宋体" w:hAnsi="宋体" w:cs="宋体" w:hint="eastAsia"/>
                <w:color w:val="auto"/>
                <w:sz w:val="21"/>
                <w:szCs w:val="21"/>
              </w:rPr>
              <w:t>内容</w:t>
            </w:r>
            <w:r>
              <w:rPr>
                <w:rFonts w:ascii="宋体" w:eastAsia="宋体" w:hAnsi="宋体" w:cs="宋体" w:hint="eastAsia"/>
                <w:color w:val="auto"/>
                <w:sz w:val="21"/>
                <w:szCs w:val="21"/>
                <w:lang w:val="en-US" w:eastAsia="zh-CN"/>
              </w:rPr>
              <w:t>一般</w:t>
            </w:r>
            <w:r>
              <w:rPr>
                <w:rFonts w:ascii="宋体" w:eastAsia="宋体" w:hAnsi="宋体" w:cs="宋体" w:hint="eastAsia"/>
                <w:color w:val="auto"/>
                <w:sz w:val="21"/>
                <w:szCs w:val="21"/>
              </w:rPr>
              <w:t>符合项目实际</w:t>
            </w:r>
            <w:r>
              <w:rPr>
                <w:rFonts w:ascii="宋体" w:eastAsia="宋体" w:hAnsi="宋体" w:cs="宋体" w:hint="eastAsia"/>
                <w:color w:val="auto"/>
                <w:sz w:val="21"/>
                <w:szCs w:val="21"/>
                <w:lang w:eastAsia="zh-CN"/>
              </w:rPr>
              <w:t>，</w:t>
            </w:r>
            <w:r>
              <w:rPr>
                <w:rFonts w:ascii="宋体" w:eastAsia="宋体" w:hAnsi="宋体" w:cs="宋体" w:hint="eastAsia"/>
                <w:color w:val="auto"/>
                <w:sz w:val="21"/>
                <w:szCs w:val="21"/>
              </w:rPr>
              <w:t>可行性一般，评价为中，</w:t>
            </w:r>
            <w:r>
              <w:rPr>
                <w:rFonts w:ascii="宋体" w:eastAsia="宋体" w:hAnsi="宋体" w:cs="宋体" w:hint="eastAsia"/>
                <w:color w:val="auto"/>
                <w:sz w:val="21"/>
                <w:szCs w:val="21"/>
                <w:lang w:val="en-US" w:eastAsia="zh-CN"/>
              </w:rPr>
              <w:t>加</w:t>
            </w:r>
            <w:r>
              <w:rPr>
                <w:rFonts w:ascii="宋体" w:eastAsia="宋体" w:hAnsi="宋体" w:cs="宋体" w:hint="eastAsia"/>
                <w:color w:val="auto"/>
                <w:sz w:val="21"/>
                <w:szCs w:val="21"/>
              </w:rPr>
              <w:t>10分；</w:t>
            </w:r>
          </w:p>
          <w:p>
            <w:pPr>
              <w:keepNext w:val="0"/>
              <w:keepLines w:val="0"/>
              <w:suppressLineNumbers w:val="0"/>
              <w:spacing w:before="0" w:beforeAutospacing="0" w:after="0" w:afterAutospacing="0"/>
              <w:ind w:left="0" w:right="0" w:leftChars="0" w:rightChars="0"/>
              <w:rPr>
                <w:sz w:val="21"/>
                <w:szCs w:val="21"/>
              </w:rPr>
            </w:pPr>
            <w:r>
              <w:rPr>
                <w:rFonts w:ascii="宋体" w:hAnsi="宋体" w:cs="宋体" w:hint="eastAsia"/>
                <w:color w:val="auto"/>
                <w:sz w:val="21"/>
                <w:szCs w:val="21"/>
                <w:lang w:eastAsia="zh-CN"/>
              </w:rPr>
              <w:t>（</w:t>
            </w:r>
            <w:r>
              <w:rPr>
                <w:rFonts w:ascii="宋体" w:hAnsi="宋体" w:cs="宋体" w:hint="eastAsia"/>
                <w:color w:val="auto"/>
                <w:sz w:val="21"/>
                <w:szCs w:val="21"/>
                <w:lang w:val="en-US" w:eastAsia="zh-CN"/>
              </w:rPr>
              <w:t>4</w:t>
            </w:r>
            <w:r>
              <w:rPr>
                <w:rFonts w:ascii="宋体" w:hAnsi="宋体" w:cs="宋体" w:hint="eastAsia"/>
                <w:color w:val="auto"/>
                <w:sz w:val="21"/>
                <w:szCs w:val="21"/>
                <w:lang w:eastAsia="zh-CN"/>
              </w:rPr>
              <w:t>）</w:t>
            </w:r>
            <w:r>
              <w:rPr>
                <w:rFonts w:ascii="宋体" w:eastAsia="宋体" w:hAnsi="宋体" w:cs="宋体" w:hint="eastAsia"/>
                <w:color w:val="auto"/>
                <w:sz w:val="21"/>
                <w:szCs w:val="21"/>
              </w:rPr>
              <w:t>内容</w:t>
            </w:r>
            <w:r>
              <w:rPr>
                <w:rFonts w:ascii="宋体" w:eastAsia="宋体" w:hAnsi="宋体" w:cs="宋体" w:hint="eastAsia"/>
                <w:color w:val="auto"/>
                <w:sz w:val="21"/>
                <w:szCs w:val="21"/>
                <w:lang w:val="en-US" w:eastAsia="zh-CN"/>
              </w:rPr>
              <w:t>不</w:t>
            </w:r>
            <w:r>
              <w:rPr>
                <w:rFonts w:ascii="宋体" w:eastAsia="宋体" w:hAnsi="宋体" w:cs="宋体" w:hint="eastAsia"/>
                <w:color w:val="auto"/>
                <w:sz w:val="21"/>
                <w:szCs w:val="21"/>
              </w:rPr>
              <w:t>符合项目实际</w:t>
            </w:r>
            <w:r>
              <w:rPr>
                <w:rFonts w:ascii="宋体" w:eastAsia="宋体" w:hAnsi="宋体" w:cs="宋体" w:hint="eastAsia"/>
                <w:color w:val="auto"/>
                <w:sz w:val="21"/>
                <w:szCs w:val="21"/>
                <w:lang w:eastAsia="zh-CN"/>
              </w:rPr>
              <w:t>，</w:t>
            </w:r>
            <w:r>
              <w:rPr>
                <w:rFonts w:ascii="宋体" w:eastAsia="宋体" w:hAnsi="宋体" w:cs="宋体" w:hint="eastAsia"/>
                <w:color w:val="auto"/>
                <w:sz w:val="21"/>
                <w:szCs w:val="21"/>
                <w:lang w:val="en-US" w:eastAsia="zh-CN"/>
              </w:rPr>
              <w:t>没有</w:t>
            </w:r>
            <w:r>
              <w:rPr>
                <w:rFonts w:ascii="宋体" w:eastAsia="宋体" w:hAnsi="宋体" w:cs="宋体" w:hint="eastAsia"/>
                <w:color w:val="auto"/>
                <w:sz w:val="21"/>
                <w:szCs w:val="21"/>
              </w:rPr>
              <w:t>可行性，评价为差，</w:t>
            </w:r>
            <w:r>
              <w:rPr>
                <w:rFonts w:ascii="宋体" w:eastAsia="宋体" w:hAnsi="宋体" w:cs="宋体" w:hint="eastAsia"/>
                <w:color w:val="auto"/>
                <w:sz w:val="21"/>
                <w:szCs w:val="21"/>
                <w:lang w:val="en-US" w:eastAsia="zh-CN"/>
              </w:rPr>
              <w:t>不加</w:t>
            </w:r>
            <w:r>
              <w:rPr>
                <w:rFonts w:ascii="宋体" w:eastAsia="宋体" w:hAnsi="宋体" w:cs="宋体" w:hint="eastAsia"/>
                <w:color w:val="auto"/>
                <w:sz w:val="21"/>
                <w:szCs w:val="21"/>
              </w:rPr>
              <w:t>分</w:t>
            </w:r>
            <w:r>
              <w:rPr>
                <w:rFonts w:ascii="宋体" w:hAnsi="宋体" w:cs="宋体" w:hint="eastAsia"/>
                <w:color w:val="auto"/>
                <w:sz w:val="21"/>
                <w:szCs w:val="21"/>
                <w:lang w:eastAsia="zh-CN"/>
              </w:rPr>
              <w:t>。</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hAnsi="宋体" w:cs="宋体" w:hint="default"/>
                <w:kern w:val="0"/>
                <w:sz w:val="21"/>
                <w:szCs w:val="21"/>
                <w:lang w:val="en-US" w:eastAsia="zh-CN"/>
              </w:rPr>
            </w:pPr>
            <w:r>
              <w:rPr>
                <w:rFonts w:ascii="宋体" w:hAnsi="宋体" w:cs="宋体" w:hint="eastAsia"/>
                <w:kern w:val="0"/>
                <w:sz w:val="21"/>
                <w:szCs w:val="21"/>
                <w:lang w:val="en-US" w:eastAsia="zh-CN"/>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hint="eastAsia"/>
                <w:sz w:val="21"/>
                <w:szCs w:val="21"/>
                <w:lang w:val="en-US" w:eastAsia="zh-CN"/>
              </w:rPr>
            </w:pPr>
            <w:r>
              <w:rPr>
                <w:rFonts w:asciiTheme="minorEastAsia" w:eastAsiaTheme="minorEastAsia" w:hAnsiTheme="minorEastAsia" w:hint="eastAsia"/>
                <w:szCs w:val="21"/>
              </w:rPr>
              <w:t>技术保障措施</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hint="default"/>
                <w:sz w:val="21"/>
                <w:szCs w:val="21"/>
                <w:lang w:val="en-US" w:eastAsia="zh-CN"/>
              </w:rPr>
            </w:pPr>
            <w:r>
              <w:rPr>
                <w:rFonts w:hint="eastAsia"/>
                <w:sz w:val="21"/>
                <w:szCs w:val="21"/>
                <w:lang w:val="en-US"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autoSpaceDE w:val="0"/>
              <w:autoSpaceDN w:val="0"/>
              <w:adjustRightInd w:val="0"/>
              <w:snapToGrid w:val="0"/>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（一）评分内容：</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根据投标人对本项目需求制定技术保障措施，内容包括：</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①供货进度安排；②安装调试方案；③质量控制措施；</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④安全保障措施</w:t>
            </w:r>
            <w:r>
              <w:rPr>
                <w:rFonts w:asciiTheme="minorEastAsia" w:eastAsiaTheme="minorEastAsia" w:hAnsiTheme="minorEastAsia" w:cs="宋体" w:hint="eastAsia"/>
                <w:kern w:val="0"/>
                <w:szCs w:val="21"/>
                <w:lang w:eastAsia="zh-CN"/>
              </w:rPr>
              <w:t>（</w:t>
            </w:r>
            <w:r>
              <w:rPr>
                <w:rFonts w:asciiTheme="minorEastAsia" w:eastAsiaTheme="minorEastAsia" w:hAnsiTheme="minorEastAsia" w:cs="宋体" w:hint="eastAsia"/>
                <w:kern w:val="0"/>
                <w:szCs w:val="21"/>
                <w:lang w:val="en-US" w:eastAsia="zh-CN"/>
              </w:rPr>
              <w:t>包括但不限于交货安全、设备安全、信息化安全等</w:t>
            </w:r>
            <w:r>
              <w:rPr>
                <w:rFonts w:asciiTheme="minorEastAsia" w:eastAsiaTheme="minorEastAsia" w:hAnsiTheme="minorEastAsia" w:cs="宋体" w:hint="eastAsia"/>
                <w:kern w:val="0"/>
                <w:szCs w:val="21"/>
                <w:lang w:eastAsia="zh-CN"/>
              </w:rPr>
              <w:t>）</w:t>
            </w:r>
            <w:r>
              <w:rPr>
                <w:rFonts w:asciiTheme="minorEastAsia" w:eastAsiaTheme="minorEastAsia" w:hAnsiTheme="minorEastAsia" w:cs="宋体" w:hint="eastAsia"/>
                <w:kern w:val="0"/>
                <w:szCs w:val="21"/>
              </w:rPr>
              <w:t>；⑤技术团队情况</w:t>
            </w:r>
            <w:r>
              <w:rPr>
                <w:rFonts w:asciiTheme="minorEastAsia" w:eastAsiaTheme="minorEastAsia" w:hAnsiTheme="minorEastAsia" w:cs="宋体" w:hint="eastAsia"/>
                <w:kern w:val="0"/>
                <w:szCs w:val="21"/>
                <w:lang w:eastAsia="zh-CN"/>
              </w:rPr>
              <w:t>（</w:t>
            </w:r>
            <w:r>
              <w:rPr>
                <w:rFonts w:asciiTheme="minorEastAsia" w:eastAsiaTheme="minorEastAsia" w:hAnsiTheme="minorEastAsia" w:cs="宋体" w:hint="eastAsia"/>
                <w:kern w:val="0"/>
                <w:szCs w:val="21"/>
                <w:lang w:val="en-US" w:eastAsia="zh-CN"/>
              </w:rPr>
              <w:t>包括但不限于交货人员、验收人员、维修保养人员、培训人员等</w:t>
            </w:r>
            <w:r>
              <w:rPr>
                <w:rFonts w:asciiTheme="minorEastAsia" w:eastAsiaTheme="minorEastAsia" w:hAnsiTheme="minorEastAsia" w:cs="宋体" w:hint="eastAsia"/>
                <w:kern w:val="0"/>
                <w:szCs w:val="21"/>
                <w:lang w:eastAsia="zh-CN"/>
              </w:rPr>
              <w:t>）</w:t>
            </w:r>
            <w:r>
              <w:rPr>
                <w:rFonts w:asciiTheme="minorEastAsia" w:eastAsiaTheme="minorEastAsia" w:hAnsiTheme="minorEastAsia" w:cs="宋体" w:hint="eastAsia"/>
                <w:kern w:val="0"/>
                <w:szCs w:val="21"/>
              </w:rPr>
              <w:t>；</w:t>
            </w:r>
          </w:p>
          <w:p>
            <w:pPr>
              <w:autoSpaceDE w:val="0"/>
              <w:autoSpaceDN w:val="0"/>
              <w:adjustRightInd w:val="0"/>
              <w:snapToGrid w:val="0"/>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（二）评分依据：</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方案包含以上任意一项内容得12分；最高60分。</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在此基础上，根据方案响应情况进一步评审：</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（1）项目技术保障措施全面具体、针对性强、可操作性强，评价为优，加40分；</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（2）项目技术保障措施比较全面具体、针对性、可操作性较好，评价为良，加30分；</w:t>
            </w:r>
          </w:p>
          <w:p>
            <w:pPr>
              <w:autoSpaceDE w:val="0"/>
              <w:autoSpaceDN w:val="0"/>
              <w:adjustRightInd w:val="0"/>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（3）项目技术保障措施基本全面具体，针对性、可操作性一般。评价为中，加20分；</w:t>
            </w:r>
          </w:p>
          <w:p>
            <w:pPr>
              <w:jc w:val="left"/>
              <w:rPr>
                <w:rFonts w:hint="eastAsia"/>
                <w:sz w:val="21"/>
                <w:szCs w:val="21"/>
              </w:rPr>
            </w:pPr>
            <w:r>
              <w:rPr>
                <w:rFonts w:asciiTheme="minorEastAsia" w:eastAsiaTheme="minorEastAsia" w:hAnsiTheme="minorEastAsia" w:cs="宋体" w:hint="eastAsia"/>
                <w:kern w:val="0"/>
                <w:szCs w:val="21"/>
              </w:rPr>
              <w:t>（4）项目技术保障措施不全不具体、无针对性、无可操作性，或未按采购文件要求提供实施方案的。评价为差，不</w:t>
            </w:r>
            <w:r>
              <w:rPr>
                <w:rFonts w:asciiTheme="minorEastAsia" w:eastAsiaTheme="minorEastAsia" w:hAnsiTheme="minorEastAsia" w:cs="宋体" w:hint="eastAsia"/>
                <w:kern w:val="0"/>
                <w:szCs w:val="21"/>
                <w:lang w:val="en-US" w:eastAsia="zh-CN"/>
              </w:rPr>
              <w:t>加</w:t>
            </w:r>
            <w:r>
              <w:rPr>
                <w:rFonts w:asciiTheme="minorEastAsia" w:eastAsiaTheme="minorEastAsia" w:hAnsiTheme="minorEastAsia" w:cs="宋体" w:hint="eastAsia"/>
                <w:kern w:val="0"/>
                <w:szCs w:val="21"/>
              </w:rPr>
              <w:t>分。</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商务</w:t>
            </w:r>
            <w:r>
              <w:rPr>
                <w:rFonts w:ascii="宋体" w:hAnsi="宋体" w:cs="宋体" w:hint="eastAsia"/>
                <w:b/>
                <w:bCs/>
                <w:color w:val="0000FF"/>
                <w:kern w:val="0"/>
                <w:sz w:val="21"/>
                <w:szCs w:val="21"/>
              </w:rPr>
              <w:t>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eastAsia"/>
                <w:b/>
                <w:bCs/>
                <w:color w:val="0000FF"/>
                <w:sz w:val="21"/>
                <w:szCs w:val="21"/>
                <w:lang w:val="en-US" w:eastAsia="zh-CN"/>
              </w:rPr>
            </w:pPr>
            <w:r>
              <w:rPr>
                <w:rFonts w:hint="eastAsia"/>
                <w:b/>
                <w:bCs/>
                <w:color w:val="0000FF"/>
                <w:sz w:val="21"/>
                <w:szCs w:val="21"/>
                <w:lang w:val="en-US" w:eastAsia="zh-CN"/>
              </w:rPr>
              <w:t>5</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评分准则</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sz w:val="21"/>
                <w:szCs w:val="21"/>
                <w:lang w:val="en-US" w:eastAsia="zh-CN"/>
              </w:rPr>
            </w:pPr>
            <w:r>
              <w:rPr>
                <w:rFonts w:hint="eastAsia"/>
                <w:sz w:val="21"/>
                <w:szCs w:val="21"/>
                <w:lang w:val="en-US"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center"/>
              <w:textAlignment w:val="auto"/>
              <w:rPr>
                <w:sz w:val="21"/>
                <w:szCs w:val="21"/>
              </w:rPr>
            </w:pPr>
            <w:r>
              <w:rPr>
                <w:rFonts w:asciiTheme="minorEastAsia" w:eastAsiaTheme="minorEastAsia" w:hAnsiTheme="minorEastAsia" w:cstheme="minorEastAsia" w:hint="eastAsia"/>
                <w:color w:val="auto"/>
                <w:kern w:val="2"/>
                <w:sz w:val="21"/>
                <w:szCs w:val="21"/>
                <w:lang w:val="en-US" w:eastAsia="zh-CN"/>
              </w:rPr>
              <w:t>同类业绩</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leftChars="0" w:rightChars="0"/>
              <w:jc w:val="center"/>
              <w:textAlignment w:val="auto"/>
              <w:rPr>
                <w:rFonts w:eastAsia="宋体" w:hint="eastAsia"/>
                <w:sz w:val="21"/>
                <w:szCs w:val="21"/>
                <w:lang w:val="en-US" w:eastAsia="zh-CN"/>
              </w:rPr>
            </w:pPr>
            <w:r>
              <w:rPr>
                <w:rFonts w:hint="eastAsia"/>
                <w:sz w:val="21"/>
                <w:szCs w:val="21"/>
                <w:lang w:val="en-US"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kinsoku/>
              <w:wordWrap w:val="0"/>
              <w:overflowPunct/>
              <w:topLinePunct w:val="0"/>
              <w:bidi w:val="0"/>
              <w:adjustRightInd/>
              <w:snapToGrid/>
              <w:jc w:val="left"/>
              <w:textAlignment w:val="auto"/>
              <w:rPr>
                <w:rFonts w:asciiTheme="minorEastAsia" w:eastAsiaTheme="minorEastAsia" w:hAnsiTheme="minorEastAsia" w:cstheme="minorEastAsia" w:hint="eastAsia"/>
                <w:b/>
                <w:bCs/>
                <w:sz w:val="21"/>
                <w:szCs w:val="21"/>
              </w:rPr>
            </w:pPr>
            <w:r>
              <w:rPr>
                <w:rFonts w:asciiTheme="minorEastAsia" w:eastAsiaTheme="minorEastAsia" w:hAnsiTheme="minorEastAsia" w:cstheme="minorEastAsia" w:hint="eastAsia"/>
                <w:b/>
                <w:bCs/>
                <w:sz w:val="21"/>
                <w:szCs w:val="21"/>
              </w:rPr>
              <w:t>（一）评分内容：</w:t>
            </w:r>
          </w:p>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left"/>
              <w:textAlignment w:val="auto"/>
              <w:rPr>
                <w:rFonts w:asciiTheme="minorEastAsia" w:eastAsiaTheme="minorEastAsia" w:hAnsiTheme="minorEastAsia" w:cstheme="minorEastAsia" w:hint="eastAsia"/>
                <w:color w:val="auto"/>
                <w:kern w:val="2"/>
                <w:sz w:val="21"/>
                <w:szCs w:val="21"/>
                <w:lang w:val="zh-CN" w:eastAsia="zh-CN" w:bidi="ar-SA"/>
              </w:rPr>
            </w:pPr>
            <w:r>
              <w:rPr>
                <w:rFonts w:asciiTheme="minorEastAsia" w:eastAsiaTheme="minorEastAsia" w:hAnsiTheme="minorEastAsia" w:cstheme="minorEastAsia" w:hint="eastAsia"/>
                <w:color w:val="auto"/>
                <w:kern w:val="2"/>
                <w:sz w:val="21"/>
                <w:szCs w:val="21"/>
                <w:lang w:val="zh-CN" w:eastAsia="zh-CN" w:bidi="ar-SA"/>
              </w:rPr>
              <w:t>自2019年1月1日至本项目投标截止日前（以合同</w:t>
            </w:r>
            <w:r>
              <w:rPr>
                <w:rFonts w:asciiTheme="minorEastAsia" w:eastAsiaTheme="minorEastAsia" w:hAnsiTheme="minorEastAsia" w:cstheme="minorEastAsia" w:hint="eastAsia"/>
                <w:color w:val="auto"/>
                <w:kern w:val="2"/>
                <w:sz w:val="21"/>
                <w:szCs w:val="21"/>
                <w:lang w:val="en-US" w:eastAsia="zh-CN" w:bidi="ar-SA"/>
              </w:rPr>
              <w:t>签订</w:t>
            </w:r>
            <w:r>
              <w:rPr>
                <w:rFonts w:asciiTheme="minorEastAsia" w:eastAsiaTheme="minorEastAsia" w:hAnsiTheme="minorEastAsia" w:cstheme="minorEastAsia" w:hint="eastAsia"/>
                <w:color w:val="auto"/>
                <w:kern w:val="2"/>
                <w:sz w:val="21"/>
                <w:szCs w:val="21"/>
                <w:lang w:val="zh-CN" w:eastAsia="zh-CN" w:bidi="ar-SA"/>
              </w:rPr>
              <w:t>日期为准），投标人</w:t>
            </w:r>
            <w:r>
              <w:rPr>
                <w:rFonts w:asciiTheme="minorEastAsia" w:eastAsiaTheme="minorEastAsia" w:hAnsiTheme="minorEastAsia" w:cstheme="minorEastAsia" w:hint="eastAsia"/>
                <w:color w:val="auto"/>
                <w:kern w:val="2"/>
                <w:sz w:val="21"/>
                <w:szCs w:val="21"/>
                <w:lang w:val="en-US" w:eastAsia="zh-CN" w:bidi="ar-SA"/>
              </w:rPr>
              <w:t>承担过医疗设备康复治疗设备类</w:t>
            </w:r>
            <w:r>
              <w:rPr>
                <w:rFonts w:asciiTheme="minorEastAsia" w:eastAsiaTheme="minorEastAsia" w:hAnsiTheme="minorEastAsia" w:cstheme="minorEastAsia" w:hint="eastAsia"/>
                <w:color w:val="auto"/>
                <w:kern w:val="2"/>
                <w:sz w:val="21"/>
                <w:szCs w:val="21"/>
                <w:lang w:val="zh-CN" w:eastAsia="zh-CN" w:bidi="ar-SA"/>
              </w:rPr>
              <w:t>销售业绩，每提供1份</w:t>
            </w:r>
            <w:r>
              <w:rPr>
                <w:rFonts w:asciiTheme="minorEastAsia" w:eastAsiaTheme="minorEastAsia" w:hAnsiTheme="minorEastAsia" w:cstheme="minorEastAsia" w:hint="eastAsia"/>
                <w:color w:val="auto"/>
                <w:kern w:val="2"/>
                <w:sz w:val="21"/>
                <w:szCs w:val="21"/>
                <w:lang w:val="en-US" w:eastAsia="zh-CN" w:bidi="ar-SA"/>
              </w:rPr>
              <w:t>同类项目业绩</w:t>
            </w:r>
            <w:r>
              <w:rPr>
                <w:rFonts w:asciiTheme="minorEastAsia" w:eastAsiaTheme="minorEastAsia" w:hAnsiTheme="minorEastAsia" w:cstheme="minorEastAsia" w:hint="eastAsia"/>
                <w:color w:val="auto"/>
                <w:kern w:val="2"/>
                <w:sz w:val="21"/>
                <w:szCs w:val="21"/>
                <w:lang w:val="zh-CN" w:eastAsia="zh-CN" w:bidi="ar-SA"/>
              </w:rPr>
              <w:t>得</w:t>
            </w:r>
            <w:r>
              <w:rPr>
                <w:rFonts w:asciiTheme="minorEastAsia" w:eastAsiaTheme="minorEastAsia" w:hAnsiTheme="minorEastAsia" w:cstheme="minorEastAsia" w:hint="eastAsia"/>
                <w:color w:val="auto"/>
                <w:kern w:val="2"/>
                <w:sz w:val="21"/>
                <w:szCs w:val="21"/>
                <w:lang w:val="en-US" w:eastAsia="zh-CN" w:bidi="ar-SA"/>
              </w:rPr>
              <w:t>20</w:t>
            </w:r>
            <w:r>
              <w:rPr>
                <w:rFonts w:asciiTheme="minorEastAsia" w:eastAsiaTheme="minorEastAsia" w:hAnsiTheme="minorEastAsia" w:cstheme="minorEastAsia" w:hint="eastAsia"/>
                <w:color w:val="auto"/>
                <w:kern w:val="2"/>
                <w:sz w:val="21"/>
                <w:szCs w:val="21"/>
                <w:lang w:val="zh-CN" w:eastAsia="zh-CN" w:bidi="ar-SA"/>
              </w:rPr>
              <w:t>分，本项累计最高得100分。</w:t>
            </w:r>
          </w:p>
          <w:p>
            <w:pPr>
              <w:keepNext w:val="0"/>
              <w:keepLines w:val="0"/>
              <w:pageBreakBefore w:val="0"/>
              <w:suppressLineNumbers w:val="0"/>
              <w:kinsoku/>
              <w:overflowPunct/>
              <w:topLinePunct w:val="0"/>
              <w:bidi w:val="0"/>
              <w:adjustRightInd/>
              <w:snapToGrid/>
              <w:spacing w:before="0" w:beforeAutospacing="0" w:after="0" w:afterAutospacing="0"/>
              <w:ind w:left="0" w:right="0"/>
              <w:textAlignment w:val="auto"/>
              <w:rPr>
                <w:rFonts w:asciiTheme="minorEastAsia" w:eastAsiaTheme="minorEastAsia" w:hAnsiTheme="minorEastAsia" w:cstheme="minorEastAsia" w:hint="eastAsia"/>
                <w:color w:val="auto"/>
                <w:szCs w:val="21"/>
              </w:rPr>
            </w:pPr>
            <w:r>
              <w:rPr>
                <w:rFonts w:asciiTheme="minorEastAsia" w:eastAsiaTheme="minorEastAsia" w:hAnsiTheme="minorEastAsia" w:cstheme="minorEastAsia" w:hint="eastAsia"/>
                <w:b/>
                <w:bCs/>
                <w:color w:val="auto"/>
                <w:sz w:val="21"/>
                <w:szCs w:val="21"/>
                <w:lang w:val="en-US" w:eastAsia="zh-CN"/>
              </w:rPr>
              <w:t>（二）评分依据：</w:t>
            </w:r>
          </w:p>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jc w:val="left"/>
              <w:textAlignment w:val="auto"/>
              <w:rPr>
                <w:rFonts w:asciiTheme="minorEastAsia" w:eastAsiaTheme="minorEastAsia" w:hAnsiTheme="minorEastAsia" w:cstheme="minorEastAsia" w:hint="eastAsia"/>
                <w:color w:val="auto"/>
                <w:kern w:val="2"/>
                <w:sz w:val="21"/>
                <w:szCs w:val="21"/>
                <w:lang w:val="zh-CN" w:eastAsia="zh-CN" w:bidi="ar-SA"/>
              </w:rPr>
            </w:pPr>
            <w:r>
              <w:rPr>
                <w:rFonts w:asciiTheme="minorEastAsia" w:eastAsiaTheme="minorEastAsia" w:hAnsiTheme="minorEastAsia" w:cstheme="minorEastAsia" w:hint="eastAsia"/>
                <w:color w:val="auto"/>
                <w:kern w:val="2"/>
                <w:sz w:val="21"/>
                <w:szCs w:val="21"/>
                <w:lang w:val="en-US" w:eastAsia="zh-CN" w:bidi="ar-SA"/>
              </w:rPr>
              <w:t>1.</w:t>
            </w:r>
            <w:r>
              <w:rPr>
                <w:rFonts w:asciiTheme="minorEastAsia" w:eastAsiaTheme="minorEastAsia" w:hAnsiTheme="minorEastAsia" w:cstheme="minorEastAsia" w:hint="eastAsia"/>
                <w:color w:val="auto"/>
                <w:kern w:val="2"/>
                <w:sz w:val="21"/>
                <w:szCs w:val="21"/>
                <w:lang w:val="zh-CN" w:eastAsia="zh-CN" w:bidi="ar-SA"/>
              </w:rPr>
              <w:t>提供销售合同关键页【包括但不限于</w:t>
            </w:r>
            <w:r>
              <w:rPr>
                <w:rFonts w:asciiTheme="minorEastAsia" w:eastAsiaTheme="minorEastAsia" w:hAnsiTheme="minorEastAsia" w:cstheme="minorEastAsia" w:hint="eastAsia"/>
                <w:color w:val="auto"/>
                <w:kern w:val="2"/>
                <w:sz w:val="21"/>
                <w:szCs w:val="21"/>
                <w:lang w:val="en-US" w:eastAsia="zh-CN" w:bidi="ar-SA"/>
              </w:rPr>
              <w:t>合同（项目）名称、采购</w:t>
            </w:r>
            <w:r>
              <w:rPr>
                <w:rFonts w:asciiTheme="minorEastAsia" w:eastAsiaTheme="minorEastAsia" w:hAnsiTheme="minorEastAsia" w:cstheme="minorEastAsia" w:hint="eastAsia"/>
                <w:color w:val="auto"/>
                <w:kern w:val="2"/>
                <w:sz w:val="21"/>
                <w:szCs w:val="21"/>
                <w:lang w:val="zh-CN" w:eastAsia="zh-CN" w:bidi="ar-SA"/>
              </w:rPr>
              <w:t>货物内容、签订日期、合同双方签字盖章页】</w:t>
            </w:r>
            <w:r>
              <w:rPr>
                <w:rFonts w:asciiTheme="minorEastAsia" w:eastAsiaTheme="minorEastAsia" w:hAnsiTheme="minorEastAsia" w:cstheme="minorEastAsia" w:hint="eastAsia"/>
                <w:color w:val="auto"/>
                <w:kern w:val="2"/>
                <w:sz w:val="21"/>
                <w:szCs w:val="21"/>
                <w:lang w:val="en-US" w:eastAsia="zh-CN" w:bidi="ar-SA"/>
              </w:rPr>
              <w:t>扫描件</w:t>
            </w:r>
            <w:r>
              <w:rPr>
                <w:rFonts w:asciiTheme="minorEastAsia" w:eastAsiaTheme="minorEastAsia" w:hAnsiTheme="minorEastAsia" w:cstheme="minorEastAsia" w:hint="eastAsia"/>
                <w:color w:val="auto"/>
                <w:kern w:val="2"/>
                <w:sz w:val="21"/>
                <w:szCs w:val="21"/>
                <w:lang w:val="zh-CN" w:eastAsia="zh-CN" w:bidi="ar-SA"/>
              </w:rPr>
              <w:t>，原件备查；</w:t>
            </w:r>
          </w:p>
          <w:p>
            <w:pPr>
              <w:keepNext w:val="0"/>
              <w:keepLines w:val="0"/>
              <w:pageBreakBefore w:val="0"/>
              <w:kinsoku/>
              <w:overflowPunct/>
              <w:topLinePunct w:val="0"/>
              <w:bidi w:val="0"/>
              <w:adjustRightInd/>
              <w:snapToGrid/>
              <w:textAlignment w:val="auto"/>
              <w:rPr>
                <w:sz w:val="21"/>
                <w:szCs w:val="21"/>
              </w:rPr>
            </w:pPr>
            <w:r>
              <w:rPr>
                <w:rFonts w:asciiTheme="minorEastAsia" w:eastAsiaTheme="minorEastAsia" w:hAnsiTheme="minorEastAsia" w:cstheme="minorEastAsia" w:hint="eastAsia"/>
                <w:color w:val="auto"/>
                <w:kern w:val="2"/>
                <w:sz w:val="21"/>
                <w:szCs w:val="21"/>
                <w:lang w:val="en-US" w:eastAsia="zh-CN" w:bidi="ar-SA"/>
              </w:rPr>
              <w:t>2.</w:t>
            </w:r>
            <w:r>
              <w:rPr>
                <w:rFonts w:ascii="宋体" w:eastAsia="宋体" w:hAnsi="宋体" w:cs="宋体" w:hint="eastAsia"/>
                <w:kern w:val="2"/>
                <w:sz w:val="21"/>
                <w:szCs w:val="21"/>
                <w:highlight w:val="none"/>
                <w:lang w:val="en-US" w:eastAsia="zh-CN" w:bidi="ar-SA"/>
              </w:rPr>
              <w:t>以上证明材料原件备查，</w:t>
            </w:r>
            <w:r>
              <w:rPr>
                <w:rFonts w:ascii="宋体" w:eastAsia="宋体" w:hAnsi="宋体" w:cs="宋体" w:hint="eastAsia"/>
                <w:b w:val="0"/>
                <w:bCs w:val="0"/>
                <w:kern w:val="2"/>
                <w:sz w:val="21"/>
                <w:szCs w:val="21"/>
                <w:lang w:val="zh-CN" w:eastAsia="zh-CN" w:bidi="ar-SA"/>
              </w:rPr>
              <w:t>未提供证明材料或者提供的证明材料不符合要求或评审专家无法凭所提供资料判断是否得分的，一律做不得分处理。</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hint="eastAsia"/>
                <w:b/>
                <w:bCs/>
                <w:color w:val="0000FF"/>
                <w:kern w:val="0"/>
                <w:sz w:val="21"/>
                <w:szCs w:val="21"/>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5</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评分准则</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pStyle w:val="BodyText"/>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b w:val="0"/>
                <w:bCs w:val="0"/>
                <w:sz w:val="21"/>
                <w:szCs w:val="21"/>
              </w:rPr>
            </w:pPr>
            <w:r>
              <w:rPr>
                <w:rFonts w:asciiTheme="minorEastAsia" w:eastAsiaTheme="minorEastAsia" w:hAnsiTheme="minorEastAsia" w:cstheme="minorEastAsia" w:hint="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Theme="minorEastAsia" w:eastAsiaTheme="minorEastAsia" w:hAnsiTheme="minorEastAsia" w:cstheme="minorEastAsia" w:hint="eastAsia"/>
                <w:b w:val="0"/>
                <w:bCs w:val="0"/>
                <w:sz w:val="21"/>
                <w:szCs w:val="21"/>
                <w:lang w:val="en-US" w:eastAsia="zh-CN"/>
              </w:rPr>
              <w:t>有关</w:t>
            </w:r>
            <w:r>
              <w:rPr>
                <w:rFonts w:asciiTheme="minorEastAsia" w:eastAsiaTheme="minorEastAsia" w:hAnsiTheme="minorEastAsia" w:cstheme="minorEastAsia" w:hint="eastAsia"/>
                <w:b w:val="0"/>
                <w:bCs w:val="0"/>
                <w:sz w:val="21"/>
                <w:szCs w:val="21"/>
              </w:rPr>
              <w:t>供应商诚信查询结果。</w:t>
            </w:r>
          </w:p>
          <w:p>
            <w:pPr>
              <w:pStyle w:val="BodyText"/>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asciiTheme="minorEastAsia" w:eastAsiaTheme="minorEastAsia" w:hAnsiTheme="minorEastAsia" w:cstheme="minorEastAsia" w:hint="eastAsia"/>
                <w:b w:val="0"/>
                <w:bCs w:val="0"/>
                <w:sz w:val="21"/>
                <w:szCs w:val="21"/>
                <w:lang w:val="en-US" w:eastAsia="zh-CN"/>
              </w:rPr>
              <w:t>查询渠道：通过“信用中国”（www.creditchina.gov.cn，下载信用信息报告）、“中国政府采购网”（www.ccgp.gov.cn）“深圳市政府采购监管网”（http://zfcg.sz.gov.cn）、以及“深圳政府采购智慧平台信用库”查询供应商信用信息，信用信息以开标当日的查询结果为准。</w:t>
            </w:r>
          </w:p>
        </w:tc>
      </w:tr>
    </w:tbl>
    <w:p>
      <w:pPr>
        <w:sectPr>
          <w:pgSz w:w="11907" w:h="16840"/>
          <w:pgMar w:top="1440" w:right="1418" w:bottom="1440" w:left="1418" w:header="851" w:footer="992" w:gutter="0"/>
          <w:pgBorders>
            <w:top w:val="nil"/>
            <w:left w:val="nil"/>
            <w:bottom w:val="nil"/>
            <w:right w:val="nil"/>
          </w:pgBorders>
          <w:cols w:num="1" w:space="425"/>
          <w:titlePg/>
          <w:docGrid w:linePitch="462" w:charSpace="0"/>
        </w:sectPr>
      </w:pPr>
      <w:bookmarkEnd w:id="3"/>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4"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p>
      <w:pPr>
        <w:widowControl/>
        <w:jc w:val="center"/>
      </w:pPr>
      <w:bookmarkEnd w:id="4"/>
    </w:p>
    <w:p>
      <w:pPr>
        <w:widowControl/>
        <w:jc w:val="center"/>
      </w:pPr>
      <w: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sz w:val="28"/>
          <w:szCs w:val="36"/>
        </w:rPr>
      </w:pPr>
      <w:bookmarkStart w:id="5" w:name="_Hlk72218009"/>
      <w:r>
        <w:rPr>
          <w:rFonts w:ascii="黑体" w:eastAsia="黑体" w:hAnsi="黑体" w:cs="黑体" w:hint="eastAsia"/>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840" w:firstLineChars="400"/>
        <w:rPr>
          <w:sz w:val="24"/>
        </w:rPr>
      </w:pPr>
      <w:r>
        <w:rPr>
          <w:rFonts w:hint="eastAsia"/>
          <w:sz w:val="24"/>
        </w:rPr>
        <w:t>关键信息</w:t>
      </w:r>
    </w:p>
    <w:p>
      <w:pPr>
        <w:ind w:left="630" w:firstLine="630" w:leftChars="300" w:firstLineChars="300"/>
        <w:rPr>
          <w:rFonts w:ascii="宋体" w:hAnsi="宋体"/>
          <w:szCs w:val="21"/>
        </w:rPr>
      </w:pPr>
      <w:r>
        <w:rPr>
          <w:rFonts w:ascii="宋体" w:hAnsi="宋体" w:hint="eastAsia"/>
          <w:szCs w:val="21"/>
        </w:rPr>
        <w:t>第一章  招标公告</w:t>
      </w:r>
    </w:p>
    <w:p>
      <w:pPr>
        <w:ind w:left="630" w:firstLine="630" w:leftChars="300" w:firstLineChars="300"/>
        <w:rPr>
          <w:rFonts w:ascii="宋体" w:hAnsi="宋体"/>
          <w:szCs w:val="21"/>
        </w:rPr>
      </w:pPr>
      <w:r>
        <w:rPr>
          <w:rFonts w:ascii="宋体" w:hAnsi="宋体" w:hint="eastAsia"/>
          <w:szCs w:val="21"/>
        </w:rPr>
        <w:t xml:space="preserve">第二章  </w:t>
      </w:r>
      <w:bookmarkStart w:id="6" w:name="_Hlk71994379"/>
      <w:r>
        <w:rPr>
          <w:rFonts w:ascii="宋体" w:hAnsi="宋体" w:hint="eastAsia"/>
          <w:szCs w:val="21"/>
        </w:rPr>
        <w:t>对通用条款的补充内容及其他关键信息</w:t>
      </w:r>
      <w:bookmarkEnd w:id="6"/>
    </w:p>
    <w:p>
      <w:pPr>
        <w:ind w:left="630" w:firstLine="630" w:leftChars="300" w:firstLineChars="300"/>
        <w:rPr>
          <w:rFonts w:ascii="宋体" w:hAnsi="宋体"/>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pPr>
        <w:ind w:left="630" w:firstLine="630" w:leftChars="300" w:firstLineChars="300"/>
        <w:rPr>
          <w:rFonts w:ascii="宋体" w:hAnsi="宋体"/>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pPr>
        <w:ind w:left="630" w:firstLine="630" w:leftChars="300" w:firstLineChars="300"/>
        <w:rPr>
          <w:rFonts w:ascii="宋体" w:hAnsi="宋体"/>
          <w:szCs w:val="21"/>
        </w:rPr>
      </w:pPr>
      <w:r>
        <w:rPr>
          <w:rFonts w:ascii="宋体" w:hAnsi="宋体" w:hint="eastAsia"/>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firstLine="412" w:leftChars="300" w:firstLineChars="196"/>
        <w:rPr>
          <w:rFonts w:ascii="宋体" w:hAnsi="宋体"/>
          <w:szCs w:val="21"/>
        </w:rPr>
      </w:pPr>
      <w:r>
        <w:rPr>
          <w:rFonts w:ascii="宋体" w:hAnsi="宋体" w:hint="eastAsia"/>
          <w:szCs w:val="21"/>
        </w:rPr>
        <w:t>第一章  总则</w:t>
      </w:r>
    </w:p>
    <w:p>
      <w:pPr>
        <w:ind w:left="630" w:firstLine="412" w:leftChars="300" w:firstLineChars="196"/>
        <w:rPr>
          <w:rFonts w:ascii="宋体" w:hAnsi="宋体"/>
          <w:szCs w:val="21"/>
        </w:rPr>
      </w:pPr>
      <w:r>
        <w:rPr>
          <w:rFonts w:ascii="宋体" w:hAnsi="宋体" w:hint="eastAsia"/>
          <w:szCs w:val="21"/>
        </w:rPr>
        <w:t>第二章  招标文件</w:t>
      </w:r>
    </w:p>
    <w:p>
      <w:pPr>
        <w:ind w:left="630" w:firstLine="412" w:leftChars="300" w:firstLineChars="196"/>
        <w:rPr>
          <w:rFonts w:ascii="宋体" w:hAnsi="宋体"/>
          <w:szCs w:val="21"/>
        </w:rPr>
      </w:pPr>
      <w:r>
        <w:rPr>
          <w:rFonts w:ascii="宋体" w:hAnsi="宋体" w:hint="eastAsia"/>
          <w:szCs w:val="21"/>
        </w:rPr>
        <w:t>第三章  投标文件的编制</w:t>
      </w:r>
    </w:p>
    <w:p>
      <w:pPr>
        <w:ind w:left="630" w:firstLine="412" w:leftChars="300" w:firstLineChars="196"/>
        <w:rPr>
          <w:rFonts w:ascii="宋体" w:hAnsi="宋体"/>
          <w:szCs w:val="21"/>
        </w:rPr>
      </w:pPr>
      <w:r>
        <w:rPr>
          <w:rFonts w:ascii="宋体" w:hAnsi="宋体" w:hint="eastAsia"/>
          <w:szCs w:val="21"/>
        </w:rPr>
        <w:t>第四章  投标文件的递交</w:t>
      </w:r>
    </w:p>
    <w:p>
      <w:pPr>
        <w:ind w:left="630" w:firstLine="412" w:leftChars="300" w:firstLineChars="196"/>
        <w:rPr>
          <w:rFonts w:ascii="宋体" w:hAnsi="宋体"/>
          <w:szCs w:val="21"/>
        </w:rPr>
      </w:pPr>
      <w:r>
        <w:rPr>
          <w:rFonts w:ascii="宋体" w:hAnsi="宋体" w:hint="eastAsia"/>
          <w:szCs w:val="21"/>
        </w:rPr>
        <w:t>第五章  开标</w:t>
      </w:r>
    </w:p>
    <w:p>
      <w:pPr>
        <w:ind w:left="630" w:firstLine="412" w:leftChars="300" w:firstLineChars="196"/>
        <w:rPr>
          <w:rFonts w:ascii="宋体" w:hAnsi="宋体"/>
          <w:szCs w:val="21"/>
        </w:rPr>
      </w:pPr>
      <w:r>
        <w:rPr>
          <w:rFonts w:ascii="宋体" w:hAnsi="宋体" w:hint="eastAsia"/>
          <w:szCs w:val="21"/>
        </w:rPr>
        <w:t>第六章  评审要求</w:t>
      </w:r>
    </w:p>
    <w:p>
      <w:pPr>
        <w:ind w:left="630" w:firstLine="412" w:leftChars="300" w:firstLineChars="196"/>
        <w:rPr>
          <w:rFonts w:ascii="宋体" w:hAnsi="宋体"/>
          <w:szCs w:val="21"/>
        </w:rPr>
      </w:pPr>
      <w:r>
        <w:rPr>
          <w:rFonts w:ascii="宋体" w:hAnsi="宋体" w:hint="eastAsia"/>
          <w:szCs w:val="21"/>
        </w:rPr>
        <w:t>第七章  评审程序及评审方法</w:t>
      </w:r>
    </w:p>
    <w:p>
      <w:pPr>
        <w:ind w:left="630" w:firstLine="412" w:leftChars="300" w:firstLineChars="196"/>
        <w:rPr>
          <w:rFonts w:ascii="宋体" w:hAnsi="宋体"/>
          <w:szCs w:val="21"/>
        </w:rPr>
      </w:pPr>
      <w:r>
        <w:rPr>
          <w:rFonts w:ascii="宋体" w:hAnsi="宋体" w:hint="eastAsia"/>
          <w:szCs w:val="21"/>
        </w:rPr>
        <w:t>第八章  定标及公示</w:t>
      </w:r>
    </w:p>
    <w:p>
      <w:pPr>
        <w:ind w:left="630" w:firstLine="412" w:leftChars="300" w:firstLineChars="196"/>
        <w:rPr>
          <w:rFonts w:ascii="宋体" w:hAnsi="宋体"/>
          <w:szCs w:val="21"/>
        </w:rPr>
      </w:pPr>
      <w:r>
        <w:rPr>
          <w:rFonts w:ascii="宋体" w:hAnsi="宋体" w:hint="eastAsia"/>
          <w:szCs w:val="21"/>
        </w:rPr>
        <w:t>第九章  公开招标失败的后续处理</w:t>
      </w:r>
    </w:p>
    <w:p>
      <w:pPr>
        <w:ind w:left="630" w:firstLine="412" w:leftChars="300" w:firstLineChars="196"/>
        <w:rPr>
          <w:rFonts w:ascii="宋体" w:hAnsi="宋体"/>
          <w:szCs w:val="21"/>
        </w:rPr>
      </w:pPr>
      <w:r>
        <w:rPr>
          <w:rFonts w:ascii="宋体" w:hAnsi="宋体" w:hint="eastAsia"/>
          <w:szCs w:val="21"/>
        </w:rPr>
        <w:t>第十章  合同的授予与备案</w:t>
      </w:r>
    </w:p>
    <w:p>
      <w:pPr>
        <w:ind w:firstLine="1050" w:firstLineChars="500"/>
        <w:rPr>
          <w:rFonts w:hint="eastAsia"/>
        </w:rPr>
      </w:pPr>
      <w:r>
        <w:rPr>
          <w:rFonts w:hint="eastAsia"/>
        </w:rPr>
        <w:t>第十一章  质疑处理</w:t>
      </w:r>
    </w:p>
    <w:p>
      <w:pPr>
        <w:pStyle w:val="BodyText"/>
        <w:rPr>
          <w:rFonts w:hint="eastAsia"/>
        </w:rPr>
      </w:pPr>
    </w:p>
    <w:p>
      <w:pPr>
        <w:pStyle w:val="BodyText2"/>
        <w:rPr>
          <w:rFonts w:hint="eastAsia"/>
        </w:rPr>
      </w:pPr>
    </w:p>
    <w:p>
      <w:pPr>
        <w:pStyle w:val="BodyText2"/>
        <w:rPr>
          <w:rFonts w:hint="eastAsia"/>
        </w:rPr>
      </w:pPr>
    </w:p>
    <w:p>
      <w:pPr>
        <w:pStyle w:val="BodyText"/>
        <w:rPr>
          <w:rFonts w:hint="eastAsia"/>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1"/>
        <w:rPr>
          <w:color w:val="FF0000"/>
          <w:sz w:val="24"/>
        </w:rPr>
      </w:pPr>
      <w:bookmarkEnd w:id="5"/>
      <w:bookmarkStart w:id="7" w:name="bt合同格式"/>
      <w:bookmarkEnd w:id="7"/>
      <w:bookmarkStart w:id="8" w:name="bt投标文件签署授权委托书"/>
      <w:bookmarkEnd w:id="8"/>
      <w:bookmarkStart w:id="9" w:name="bt其他资料由投标人自定"/>
      <w:bookmarkEnd w:id="9"/>
      <w:bookmarkStart w:id="10" w:name="合同格式"/>
      <w:bookmarkEnd w:id="10"/>
      <w:bookmarkStart w:id="11" w:name="bt投标人须知"/>
      <w:bookmarkEnd w:id="11"/>
      <w:bookmarkStart w:id="12" w:name="bt其他资料2"/>
      <w:bookmarkEnd w:id="12"/>
      <w:bookmarkStart w:id="13" w:name="bt合同条款"/>
      <w:bookmarkEnd w:id="13"/>
      <w:bookmarkStart w:id="14" w:name="bt项目管理班子配备情况"/>
      <w:bookmarkEnd w:id="14"/>
      <w:bookmarkStart w:id="15" w:name="bt合同条款及格式"/>
      <w:bookmarkEnd w:id="15"/>
      <w:bookmarkStart w:id="16" w:name="bt商务标投标文件格式"/>
      <w:bookmarkEnd w:id="16"/>
      <w:bookmarkStart w:id="17" w:name="bt开标一览表"/>
      <w:bookmarkEnd w:id="17"/>
      <w:bookmarkStart w:id="18" w:name="bt投标人情况介绍"/>
      <w:bookmarkEnd w:id="18"/>
      <w:bookmarkStart w:id="19" w:name="bt说明"/>
      <w:bookmarkEnd w:id="19"/>
      <w:bookmarkStart w:id="20" w:name="bt投标函"/>
      <w:bookmarkEnd w:id="20"/>
      <w:bookmarkStart w:id="21" w:name="bt技术标投标文件格式"/>
      <w:bookmarkEnd w:id="21"/>
      <w:bookmarkStart w:id="22" w:name="bt本工程承诺书"/>
      <w:bookmarkEnd w:id="22"/>
      <w:bookmarkStart w:id="23" w:name="bt投标报价汇总表"/>
      <w:bookmarkEnd w:id="23"/>
      <w:r>
        <w:rPr>
          <w:rFonts w:hint="eastAsia"/>
        </w:rPr>
        <w:t>第一册  专用条款</w:t>
      </w:r>
    </w:p>
    <w:p>
      <w:pPr>
        <w:pStyle w:val="Heading2"/>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ascii="宋体" w:hAnsi="宋体" w:cs="宋体" w:hint="eastAsia"/>
          <w:b/>
          <w:bCs/>
          <w:kern w:val="0"/>
          <w:szCs w:val="21"/>
        </w:rPr>
        <w:t>申请人的资格要求：</w:t>
      </w:r>
    </w:p>
    <w:p>
      <w:pPr>
        <w:ind w:firstLine="420" w:firstLineChars="200"/>
        <w:rPr>
          <w:rFonts w:ascii="宋体" w:eastAsia="宋体" w:hAnsi="宋体" w:cs="宋体" w:hint="eastAsia"/>
          <w:kern w:val="0"/>
          <w:szCs w:val="21"/>
          <w:lang w:eastAsia="zh-CN"/>
        </w:rPr>
      </w:pPr>
      <w:r>
        <w:rPr>
          <w:rFonts w:ascii="宋体" w:hAnsi="宋体" w:cs="宋体" w:hint="eastAsia"/>
          <w:kern w:val="0"/>
          <w:szCs w:val="21"/>
        </w:rPr>
        <w:t>1</w:t>
      </w:r>
      <w:r>
        <w:rPr>
          <w:rFonts w:ascii="宋体" w:hAnsi="宋体" w:cs="宋体"/>
          <w:kern w:val="0"/>
          <w:szCs w:val="21"/>
        </w:rPr>
        <w:t>.</w:t>
      </w:r>
      <w:bookmarkStart w:id="24" w:name="_Hlk72162904"/>
      <w:r>
        <w:rPr>
          <w:rFonts w:ascii="宋体" w:hAnsi="宋体" w:cs="宋体" w:hint="eastAsia"/>
          <w:kern w:val="0"/>
          <w:szCs w:val="21"/>
        </w:rPr>
        <w:t>具有独立承担民事责任的能力（提供营业执照或事业单位法人证书等证明资料扫描件，原件备查）</w:t>
      </w:r>
      <w:bookmarkEnd w:id="24"/>
      <w:r>
        <w:rPr>
          <w:rFonts w:hint="eastAsia"/>
          <w:lang w:eastAsia="zh-CN"/>
        </w:rPr>
        <w:t>；</w:t>
      </w:r>
    </w:p>
    <w:p>
      <w:pPr>
        <w:ind w:firstLine="420" w:firstLineChars="200"/>
        <w:rPr>
          <w:rFonts w:ascii="宋体" w:eastAsia="宋体" w:hAnsi="宋体" w:cs="宋体" w:hint="default"/>
          <w:kern w:val="0"/>
          <w:szCs w:val="21"/>
          <w:lang w:val="en-US" w:eastAsia="zh-CN"/>
        </w:rPr>
      </w:pPr>
      <w:r>
        <w:rPr>
          <w:rFonts w:ascii="宋体" w:hAnsi="宋体" w:cs="宋体" w:hint="eastAsia"/>
          <w:color w:val="FF0000"/>
          <w:kern w:val="0"/>
          <w:szCs w:val="21"/>
        </w:rPr>
        <w:t>2.本项目不接受联合体投标</w:t>
      </w:r>
      <w:r>
        <w:rPr>
          <w:rFonts w:ascii="宋体" w:hAnsi="宋体" w:cs="宋体" w:hint="eastAsia"/>
          <w:color w:val="FF0000"/>
          <w:kern w:val="0"/>
          <w:szCs w:val="21"/>
          <w:lang w:val="en-US" w:eastAsia="zh-CN"/>
        </w:rPr>
        <w:t>，</w:t>
      </w:r>
      <w:r>
        <w:rPr>
          <w:rFonts w:ascii="宋体" w:hAnsi="宋体" w:cs="宋体" w:hint="eastAsia"/>
          <w:color w:val="FF0000"/>
          <w:kern w:val="0"/>
          <w:szCs w:val="21"/>
        </w:rPr>
        <w:t>不接受投标人选用进口产品参与投标，详见招标文件</w:t>
      </w:r>
      <w:r>
        <w:rPr>
          <w:rFonts w:ascii="宋体" w:hAnsi="宋体" w:cs="宋体" w:hint="eastAsia"/>
          <w:color w:val="FF0000"/>
          <w:kern w:val="0"/>
          <w:szCs w:val="21"/>
          <w:lang w:eastAsia="zh-CN"/>
        </w:rPr>
        <w:t>“</w:t>
      </w:r>
      <w:r>
        <w:rPr>
          <w:rFonts w:ascii="宋体" w:hAnsi="宋体" w:cs="宋体" w:hint="eastAsia"/>
          <w:color w:val="FF0000"/>
          <w:kern w:val="0"/>
          <w:szCs w:val="21"/>
          <w:lang w:val="en-US" w:eastAsia="zh-CN"/>
        </w:rPr>
        <w:t>第三章 用户需求书</w:t>
      </w:r>
      <w:r>
        <w:rPr>
          <w:rFonts w:ascii="宋体" w:hAnsi="宋体" w:cs="宋体" w:hint="eastAsia"/>
          <w:color w:val="FF0000"/>
          <w:kern w:val="0"/>
          <w:szCs w:val="21"/>
        </w:rPr>
        <w:t>”；</w:t>
      </w:r>
      <w:r>
        <w:rPr>
          <w:rFonts w:ascii="宋体" w:hAnsi="宋体" w:cs="宋体" w:hint="eastAsia"/>
          <w:color w:val="FF0000"/>
          <w:kern w:val="0"/>
          <w:szCs w:val="21"/>
          <w:lang w:val="en-US" w:eastAsia="zh-CN"/>
        </w:rPr>
        <w:t>不接受分包；</w:t>
      </w:r>
    </w:p>
    <w:p>
      <w:pPr>
        <w:ind w:firstLine="420" w:firstLineChars="200"/>
        <w:rPr>
          <w:rFonts w:ascii="宋体" w:hAnsi="宋体" w:cs="宋体"/>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参与本项目政府采购活动时不存在被有关部门禁止参与政府采购活动且在有效期内的情况（由供应商在《政府采购投标及履约承诺函》中作出声明）；</w:t>
      </w:r>
    </w:p>
    <w:p>
      <w:pPr>
        <w:ind w:firstLine="420" w:firstLineChars="200"/>
        <w:rPr>
          <w:rFonts w:ascii="宋体" w:hAnsi="宋体" w:cs="宋体"/>
          <w:kern w:val="0"/>
          <w:szCs w:val="21"/>
        </w:rPr>
      </w:pPr>
      <w:r>
        <w:rPr>
          <w:rFonts w:ascii="宋体" w:hAnsi="宋体" w:cs="宋体" w:hint="eastAsia"/>
          <w:kern w:val="0"/>
          <w:szCs w:val="21"/>
          <w:lang w:val="en-US" w:eastAsia="zh-CN"/>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具备《中华人民共和国政府采购法》第二十二条第一款的条件（由供应商在《政府采购投标及履约承诺函》中作出声明）；</w:t>
      </w:r>
    </w:p>
    <w:p>
      <w:pPr>
        <w:ind w:firstLine="420" w:firstLineChars="200"/>
        <w:rPr>
          <w:rFonts w:ascii="宋体" w:hAnsi="宋体" w:cs="宋体" w:hint="eastAsia"/>
          <w:kern w:val="0"/>
          <w:szCs w:val="21"/>
          <w:lang w:val="en-US" w:eastAsia="zh-CN"/>
        </w:rPr>
      </w:pPr>
      <w:r>
        <w:rPr>
          <w:rFonts w:ascii="宋体" w:hAnsi="宋体" w:cs="宋体" w:hint="eastAsia"/>
          <w:kern w:val="0"/>
          <w:szCs w:val="21"/>
          <w:lang w:val="en-US" w:eastAsia="zh-CN"/>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未被列入失信被执行人、重大税收违法案件当事人名单、政府采购严重违法失信行为记录名单（由供应商在《政府采购投标及履约承诺函》中作出声明）</w:t>
      </w:r>
      <w:r>
        <w:rPr>
          <w:rFonts w:ascii="宋体" w:hAnsi="宋体" w:cs="宋体" w:hint="eastAsia"/>
          <w:kern w:val="0"/>
          <w:szCs w:val="21"/>
          <w:lang w:val="en-US" w:eastAsia="zh-CN"/>
        </w:rPr>
        <w:t>；</w:t>
      </w:r>
    </w:p>
    <w:p>
      <w:pPr>
        <w:ind w:firstLine="420" w:firstLineChars="200"/>
        <w:rPr>
          <w:rFonts w:ascii="宋体" w:hAnsi="宋体" w:cs="宋体" w:hint="default"/>
          <w:color w:val="FF0000"/>
          <w:kern w:val="0"/>
          <w:szCs w:val="21"/>
          <w:lang w:val="en-US" w:eastAsia="zh-CN"/>
        </w:rPr>
      </w:pPr>
      <w:r>
        <w:rPr>
          <w:rFonts w:ascii="宋体" w:hAnsi="宋体" w:cs="宋体" w:hint="eastAsia"/>
          <w:color w:val="FF0000"/>
          <w:kern w:val="0"/>
          <w:szCs w:val="21"/>
          <w:lang w:val="en-US" w:eastAsia="zh-CN"/>
        </w:rPr>
        <w:t>6.不存在《深圳市财政局政府采购供应商信用信息管理办法》（深财规〔2023〕3号）列明的严重违法失信行为</w:t>
      </w:r>
      <w:r>
        <w:rPr>
          <w:rFonts w:ascii="宋体" w:hAnsi="宋体" w:cs="宋体" w:hint="eastAsia"/>
          <w:color w:val="FF0000"/>
          <w:kern w:val="0"/>
          <w:szCs w:val="21"/>
        </w:rPr>
        <w:t>（由供应商在《政府采购投标及履约承诺函》中作出声明）</w:t>
      </w:r>
      <w:r>
        <w:rPr>
          <w:rFonts w:ascii="宋体" w:hAnsi="宋体" w:cs="宋体" w:hint="eastAsia"/>
          <w:color w:val="FF0000"/>
          <w:kern w:val="0"/>
          <w:szCs w:val="21"/>
          <w:lang w:val="en-US" w:eastAsia="zh-CN"/>
        </w:rPr>
        <w:t>；</w:t>
      </w:r>
    </w:p>
    <w:p>
      <w:pPr>
        <w:ind w:firstLine="420" w:firstLineChars="200"/>
        <w:rPr>
          <w:rFonts w:ascii="宋体" w:hAnsi="宋体" w:cs="宋体" w:hint="eastAsia"/>
          <w:kern w:val="0"/>
          <w:szCs w:val="21"/>
          <w:lang w:val="en-US" w:eastAsia="zh-CN"/>
        </w:rPr>
      </w:pPr>
      <w:r>
        <w:rPr>
          <w:rFonts w:ascii="宋体" w:hAnsi="宋体" w:cs="宋体" w:hint="eastAsia"/>
          <w:kern w:val="0"/>
          <w:szCs w:val="21"/>
          <w:lang w:val="en-US" w:eastAsia="zh-CN"/>
        </w:rPr>
        <w:t>7</w:t>
      </w:r>
      <w:r>
        <w:rPr>
          <w:rFonts w:ascii="宋体" w:hAnsi="宋体" w:cs="宋体" w:hint="eastAsia"/>
          <w:kern w:val="0"/>
          <w:szCs w:val="21"/>
        </w:rPr>
        <w:t>.为采购项目提供整体设计、规范编制或者项目管理、监理、检测等服务的供应商，不得再参加该采购项目的其他采购活动（由供应商在《政府采购投标及履约承诺函》中作出声明）</w:t>
      </w:r>
      <w:r>
        <w:rPr>
          <w:rFonts w:ascii="宋体" w:hAnsi="宋体" w:cs="宋体" w:hint="eastAsia"/>
          <w:kern w:val="0"/>
          <w:szCs w:val="21"/>
          <w:lang w:val="en-US" w:eastAsia="zh-CN"/>
        </w:rPr>
        <w:t>；</w:t>
      </w:r>
    </w:p>
    <w:p>
      <w:pPr>
        <w:pStyle w:val="NoSpacing"/>
        <w:ind w:firstLine="420" w:firstLineChars="200"/>
        <w:rPr>
          <w:rFonts w:ascii="宋体" w:eastAsia="宋体" w:hAnsi="宋体" w:cs="宋体" w:hint="default"/>
          <w:color w:val="FF0000"/>
          <w:kern w:val="0"/>
          <w:sz w:val="21"/>
          <w:szCs w:val="21"/>
          <w:lang w:val="en-US" w:eastAsia="zh-CN" w:bidi="ar-SA"/>
        </w:rPr>
      </w:pPr>
      <w:r>
        <w:rPr>
          <w:rFonts w:ascii="宋体" w:eastAsia="宋体" w:hAnsi="宋体" w:cs="宋体" w:hint="eastAsia"/>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ascii="宋体" w:eastAsia="宋体" w:hAnsi="宋体" w:cs="宋体" w:hint="eastAsia"/>
          <w:kern w:val="0"/>
          <w:szCs w:val="21"/>
          <w:lang w:eastAsia="zh-CN"/>
        </w:rPr>
      </w:pPr>
      <w:r>
        <w:rPr>
          <w:rFonts w:ascii="宋体" w:hAnsi="宋体" w:cs="宋体" w:hint="eastAsia"/>
          <w:kern w:val="0"/>
          <w:szCs w:val="21"/>
          <w:lang w:val="en-US" w:eastAsia="zh-CN"/>
        </w:rPr>
        <w:t>9</w:t>
      </w:r>
      <w:r>
        <w:rPr>
          <w:rFonts w:ascii="宋体" w:hAnsi="宋体" w:cs="宋体" w:hint="eastAsia"/>
          <w:kern w:val="0"/>
          <w:szCs w:val="21"/>
        </w:rPr>
        <w:t>.本项目</w:t>
      </w:r>
      <w:r>
        <w:rPr>
          <w:rFonts w:ascii="宋体" w:hAnsi="宋体" w:cs="宋体" w:hint="eastAsia"/>
          <w:kern w:val="0"/>
          <w:szCs w:val="21"/>
          <w:lang w:val="en-US" w:eastAsia="zh-CN"/>
        </w:rPr>
        <w:t>全部</w:t>
      </w:r>
      <w:r>
        <w:rPr>
          <w:rFonts w:ascii="宋体" w:hAnsi="宋体" w:cs="宋体" w:hint="eastAsia"/>
          <w:kern w:val="0"/>
          <w:szCs w:val="21"/>
        </w:rPr>
        <w:t>专门面向中小企业采购：</w:t>
      </w:r>
      <w:r>
        <w:rPr>
          <w:rFonts w:ascii="宋体" w:hAnsi="宋体" w:cs="宋体" w:hint="eastAsia"/>
          <w:kern w:val="0"/>
          <w:szCs w:val="21"/>
          <w:lang w:val="en-US" w:eastAsia="zh-CN"/>
        </w:rPr>
        <w:t>是，</w:t>
      </w:r>
      <w:r>
        <w:rPr>
          <w:rFonts w:ascii="宋体" w:hAnsi="宋体" w:cs="宋体" w:hint="eastAsia"/>
          <w:kern w:val="0"/>
          <w:szCs w:val="21"/>
        </w:rPr>
        <w:t>供应商提供的货物全部由符合政策要求的中小微企业、残疾人福利性</w:t>
      </w:r>
      <w:r>
        <w:rPr>
          <w:rFonts w:ascii="宋体" w:hAnsi="宋体" w:cs="宋体" w:hint="eastAsia"/>
          <w:kern w:val="0"/>
          <w:szCs w:val="21"/>
          <w:lang w:val="en-US" w:eastAsia="zh-CN"/>
        </w:rPr>
        <w:t>单位或</w:t>
      </w:r>
      <w:r>
        <w:rPr>
          <w:rFonts w:ascii="宋体" w:hAnsi="宋体" w:cs="宋体" w:hint="eastAsia"/>
          <w:kern w:val="0"/>
          <w:szCs w:val="21"/>
        </w:rPr>
        <w:t>监狱企业制造（由供应商在《中小企业声明函、残疾人福利性单位声明函及监狱企业声明函》中作出声明</w:t>
      </w:r>
      <w:r>
        <w:rPr>
          <w:rFonts w:ascii="宋体" w:hAnsi="宋体" w:cs="宋体" w:hint="eastAsia"/>
          <w:kern w:val="0"/>
          <w:szCs w:val="21"/>
          <w:lang w:eastAsia="zh-CN"/>
        </w:rPr>
        <w:t>；</w:t>
      </w:r>
      <w:r>
        <w:rPr>
          <w:rFonts w:ascii="宋体" w:hAnsi="宋体" w:cs="宋体" w:hint="eastAsia"/>
          <w:kern w:val="0"/>
          <w:szCs w:val="21"/>
          <w:lang w:val="en-US" w:eastAsia="zh-CN"/>
        </w:rPr>
        <w:t>未提供声明函或声明函不符合政策要求的，按资格审查不通过处理</w:t>
      </w:r>
      <w:r>
        <w:rPr>
          <w:rFonts w:ascii="宋体" w:hAnsi="宋体" w:cs="宋体" w:hint="eastAsia"/>
          <w:kern w:val="0"/>
          <w:szCs w:val="21"/>
        </w:rPr>
        <w:t>）</w:t>
      </w:r>
      <w:r>
        <w:rPr>
          <w:rFonts w:ascii="宋体" w:hAnsi="宋体" w:cs="宋体" w:hint="eastAsia"/>
          <w:kern w:val="0"/>
          <w:szCs w:val="21"/>
          <w:lang w:eastAsia="zh-CN"/>
        </w:rPr>
        <w:t>；</w:t>
      </w:r>
    </w:p>
    <w:p>
      <w:pPr>
        <w:ind w:firstLine="420" w:firstLineChars="200"/>
        <w:rPr>
          <w:rFonts w:ascii="宋体" w:hAnsi="宋体" w:cs="宋体" w:hint="eastAsia"/>
          <w:kern w:val="0"/>
          <w:szCs w:val="21"/>
          <w:lang w:val="en-US" w:eastAsia="zh-CN"/>
        </w:rPr>
      </w:pPr>
      <w:r>
        <w:rPr>
          <w:rFonts w:ascii="宋体" w:hAnsi="宋体" w:cs="宋体" w:hint="eastAsia"/>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ind w:firstLine="420" w:firstLineChars="200"/>
        <w:rPr>
          <w:rFonts w:eastAsia="宋体" w:hint="eastAsia"/>
          <w:lang w:val="en-US" w:eastAsia="zh-CN"/>
        </w:rPr>
      </w:pPr>
      <w:r>
        <w:rPr>
          <w:rFonts w:ascii="宋体" w:hAnsi="宋体" w:cs="宋体" w:hint="eastAsia"/>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ascii="宋体" w:hAnsi="宋体" w:cs="宋体" w:hint="eastAsia"/>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ascii="宋体" w:hAnsi="宋体" w:cs="宋体" w:hint="eastAsia"/>
          <w:kern w:val="0"/>
          <w:szCs w:val="21"/>
        </w:rPr>
        <w:t>注：（1）“信用中国”（www.creditchina.gov.cn</w:t>
      </w:r>
      <w:r>
        <w:rPr>
          <w:rFonts w:ascii="宋体" w:hAnsi="宋体" w:cs="宋体" w:hint="eastAsia"/>
          <w:kern w:val="0"/>
          <w:szCs w:val="21"/>
          <w:lang w:eastAsia="zh-CN"/>
        </w:rPr>
        <w:t>，</w:t>
      </w:r>
      <w:r>
        <w:rPr>
          <w:rFonts w:ascii="宋体" w:hAnsi="宋体" w:cs="宋体" w:hint="eastAsia"/>
          <w:kern w:val="0"/>
          <w:szCs w:val="21"/>
          <w:lang w:val="en-US" w:eastAsia="zh-CN"/>
        </w:rPr>
        <w:t>查询</w:t>
      </w:r>
      <w:r>
        <w:rPr>
          <w:rFonts w:ascii="宋体" w:hAnsi="宋体" w:cs="宋体" w:hint="eastAsia"/>
          <w:kern w:val="0"/>
          <w:szCs w:val="21"/>
        </w:rPr>
        <w:t>“信用服务”栏的“重大税收违法失信主体”“失信被执行人”</w:t>
      </w:r>
      <w:r>
        <w:rPr>
          <w:rFonts w:ascii="宋体" w:hAnsi="宋体" w:cs="宋体" w:hint="eastAsia"/>
          <w:kern w:val="0"/>
          <w:szCs w:val="21"/>
          <w:lang w:val="en-US" w:eastAsia="zh-CN"/>
        </w:rPr>
        <w:t>或者下载信用信息报告）</w:t>
      </w:r>
      <w:r>
        <w:rPr>
          <w:rFonts w:ascii="宋体" w:hAnsi="宋体" w:cs="宋体" w:hint="eastAsia"/>
          <w:kern w:val="0"/>
          <w:szCs w:val="21"/>
        </w:rPr>
        <w:t>，“中国政府采购网”（www.ccgp.gov.cn）中的“政府采购严重违法失信行为记录名单”，“深圳市政府采购监管网”（http://zfcg.sz.gov.cn）以及</w:t>
      </w:r>
      <w:r>
        <w:rPr>
          <w:rFonts w:ascii="宋体" w:hAnsi="宋体" w:cs="宋体" w:hint="eastAsia"/>
          <w:kern w:val="0"/>
          <w:szCs w:val="21"/>
          <w:lang w:eastAsia="zh-CN"/>
        </w:rPr>
        <w:t>“</w:t>
      </w:r>
      <w:r>
        <w:rPr>
          <w:rFonts w:ascii="宋体" w:hAnsi="宋体" w:cs="宋体" w:hint="eastAsia"/>
          <w:kern w:val="0"/>
          <w:szCs w:val="21"/>
        </w:rPr>
        <w:t>深圳政府采购智慧平台信用库</w:t>
      </w:r>
      <w:r>
        <w:rPr>
          <w:rFonts w:ascii="宋体" w:hAnsi="宋体" w:cs="宋体" w:hint="eastAsia"/>
          <w:kern w:val="0"/>
          <w:szCs w:val="21"/>
          <w:lang w:eastAsia="zh-CN"/>
        </w:rPr>
        <w:t>”</w:t>
      </w:r>
      <w:r>
        <w:rPr>
          <w:rFonts w:ascii="宋体" w:hAnsi="宋体" w:cs="宋体" w:hint="eastAsia"/>
          <w:kern w:val="0"/>
          <w:szCs w:val="21"/>
          <w:lang w:val="en-US" w:eastAsia="zh-CN"/>
        </w:rPr>
        <w:t>中“严重违法失信信息”</w:t>
      </w:r>
      <w:r>
        <w:rPr>
          <w:rFonts w:ascii="宋体" w:hAnsi="宋体" w:cs="宋体" w:hint="eastAsia"/>
          <w:kern w:val="0"/>
          <w:szCs w:val="21"/>
        </w:rPr>
        <w:t>为供应商信用信息的查询渠道，相关信息以开标当日的查询结果为准；</w:t>
      </w:r>
    </w:p>
    <w:p>
      <w:pPr>
        <w:ind w:firstLine="420" w:firstLineChars="200"/>
        <w:rPr>
          <w:rFonts w:ascii="宋体" w:hAnsi="宋体"/>
        </w:rPr>
      </w:pPr>
      <w:r>
        <w:rPr>
          <w:rFonts w:ascii="宋体" w:hAnsi="宋体" w:hint="eastAsia"/>
        </w:rPr>
        <w:t>（2）供应商投标（上传投标文件）必须先行办理注册手续，具体请按照本公告“六、其他补充事宜</w:t>
      </w:r>
      <w:r>
        <w:rPr>
          <w:rFonts w:ascii="宋体" w:hAnsi="宋体"/>
        </w:rPr>
        <w:t>”</w:t>
      </w:r>
      <w:r>
        <w:rPr>
          <w:rFonts w:ascii="宋体" w:hAnsi="宋体" w:hint="eastAsia"/>
        </w:rPr>
        <w:t>相关内容指引办理。</w:t>
      </w:r>
    </w:p>
    <w:p>
      <w:pPr>
        <w:ind w:firstLine="420" w:firstLineChars="200"/>
        <w:rPr>
          <w:rFonts w:ascii="宋体" w:hAnsi="宋体"/>
        </w:rPr>
      </w:pPr>
    </w:p>
    <w:p>
      <w:pPr>
        <w:ind w:firstLine="420" w:firstLineChars="200"/>
        <w:rPr>
          <w:b/>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p>
      <w:pPr>
        <w:ind w:firstLine="420" w:firstLineChars="200"/>
        <w:rPr>
          <w:b/>
        </w:rPr>
      </w:pPr>
    </w:p>
    <w:p>
      <w:pPr>
        <w:rPr>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2"/>
        <w:rPr>
          <w:sz w:val="28"/>
          <w:szCs w:val="28"/>
        </w:rPr>
      </w:pPr>
      <w:r>
        <w:rPr>
          <w:rFonts w:hint="eastAsia"/>
          <w:sz w:val="28"/>
          <w:szCs w:val="28"/>
        </w:rPr>
        <w:t xml:space="preserve">第二章 </w:t>
      </w:r>
      <w:bookmarkStart w:id="25" w:name="_Hlk71926094"/>
      <w:r>
        <w:rPr>
          <w:rFonts w:hint="eastAsia"/>
          <w:sz w:val="28"/>
          <w:szCs w:val="28"/>
        </w:rPr>
        <w:t>对通用条款的补充内容及其他关键信息</w:t>
      </w:r>
      <w:bookmarkEnd w:id="25"/>
    </w:p>
    <w:p>
      <w:pPr>
        <w:pStyle w:val="Heading2"/>
        <w:spacing w:before="120" w:beforeLines="50" w:after="120" w:afterLines="50"/>
        <w:rPr>
          <w:szCs w:val="24"/>
        </w:rPr>
      </w:pPr>
      <w:bookmarkStart w:id="26" w:name="_Toc73521635"/>
      <w:bookmarkStart w:id="27" w:name="_Toc60560625"/>
      <w:bookmarkStart w:id="28" w:name="_Toc100052364"/>
      <w:bookmarkStart w:id="29" w:name="_Toc60631620"/>
      <w:bookmarkStart w:id="30" w:name="_Toc101074876"/>
      <w:bookmarkStart w:id="31" w:name="_Toc73517639"/>
      <w:bookmarkStart w:id="32" w:name="_Toc73521547"/>
      <w:bookmarkStart w:id="33" w:name="_Toc73518117"/>
      <w:r>
        <w:rPr>
          <w:rFonts w:hint="eastAsia"/>
          <w:szCs w:val="24"/>
        </w:rPr>
        <w:t>一、对通用条款的补充内容</w:t>
      </w:r>
    </w:p>
    <w:tbl>
      <w:tblPr>
        <w:tblStyle w:val="TableNormal"/>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78"/>
        <w:gridCol w:w="2409"/>
        <w:gridCol w:w="4980"/>
      </w:tblGrid>
      <w:tr>
        <w:tblPrEx>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b/>
                <w:bCs/>
              </w:rPr>
            </w:pPr>
            <w:bookmarkEnd w:id="26"/>
            <w:bookmarkEnd w:id="27"/>
            <w:bookmarkEnd w:id="28"/>
            <w:bookmarkEnd w:id="29"/>
            <w:bookmarkEnd w:id="30"/>
            <w:bookmarkEnd w:id="31"/>
            <w:bookmarkEnd w:id="32"/>
            <w:bookmarkEnd w:id="33"/>
            <w:bookmarkStart w:id="34" w:name="_Hlk72218097"/>
            <w:r>
              <w:rPr>
                <w:rFonts w:ascii="宋体" w:hAnsi="宋体" w:hint="eastAsia"/>
                <w:b/>
                <w:bCs/>
              </w:rPr>
              <w:t>通用条款序号</w:t>
            </w:r>
          </w:p>
        </w:tc>
        <w:tc>
          <w:tcPr>
            <w:tcW w:w="2409" w:type="dxa"/>
            <w:vAlign w:val="center"/>
          </w:tcPr>
          <w:p>
            <w:pPr>
              <w:jc w:val="center"/>
              <w:rPr>
                <w:rFonts w:ascii="宋体" w:hAnsi="宋体"/>
                <w:b/>
                <w:bCs/>
              </w:rPr>
            </w:pPr>
            <w:r>
              <w:rPr>
                <w:rFonts w:ascii="宋体" w:hAnsi="宋体" w:hint="eastAsia"/>
                <w:b/>
                <w:bCs/>
              </w:rPr>
              <w:t>涉及事项</w:t>
            </w:r>
          </w:p>
        </w:tc>
        <w:tc>
          <w:tcPr>
            <w:tcW w:w="4980" w:type="dxa"/>
            <w:vAlign w:val="center"/>
          </w:tcPr>
          <w:p>
            <w:pPr>
              <w:jc w:val="center"/>
              <w:rPr>
                <w:rFonts w:ascii="宋体" w:hAnsi="宋体"/>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ascii="宋体" w:hAnsi="宋体" w:hint="eastAsia"/>
                <w:lang w:val="en-US" w:eastAsia="zh-CN"/>
              </w:rPr>
              <w:t>深圳市大鹏新区南澳人民医院</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.2</w:t>
            </w:r>
          </w:p>
        </w:tc>
        <w:tc>
          <w:tcPr>
            <w:tcW w:w="2409" w:type="dxa"/>
            <w:vAlign w:val="center"/>
          </w:tcPr>
          <w:p>
            <w:pPr>
              <w:jc w:val="center"/>
              <w:rPr>
                <w:rFonts w:ascii="宋体" w:hAnsi="宋体"/>
              </w:rPr>
            </w:pPr>
            <w:r>
              <w:rPr>
                <w:rFonts w:ascii="宋体" w:hAnsi="宋体" w:hint="eastAsia"/>
              </w:rPr>
              <w:t>政府集中采购机构</w:t>
            </w:r>
          </w:p>
        </w:tc>
        <w:tc>
          <w:tcPr>
            <w:tcW w:w="4980" w:type="dxa"/>
            <w:vAlign w:val="center"/>
          </w:tcPr>
          <w:p>
            <w:pPr>
              <w:jc w:val="center"/>
              <w:rPr>
                <w:rFonts w:ascii="宋体" w:eastAsia="宋体" w:hAnsi="宋体" w:hint="eastAsia"/>
              </w:rPr>
            </w:pPr>
            <w:r>
              <w:rPr>
                <w:rFonts w:ascii="宋体" w:eastAsia="宋体" w:hAnsi="宋体" w:hint="eastAsia"/>
              </w:rPr>
              <w:t>深圳公共资源交易中心</w:t>
            </w:r>
          </w:p>
          <w:p>
            <w:pPr>
              <w:jc w:val="center"/>
              <w:rPr>
                <w:rFonts w:ascii="宋体" w:hAnsi="宋体"/>
              </w:rPr>
            </w:pPr>
            <w:r>
              <w:rPr>
                <w:rFonts w:ascii="宋体" w:eastAsia="宋体" w:hAnsi="宋体" w:hint="eastAsia"/>
              </w:rPr>
              <w:t>（深圳交易集团有限公司</w:t>
            </w:r>
            <w:r>
              <w:rPr>
                <w:rFonts w:ascii="宋体" w:hAnsi="宋体" w:cs="宋体" w:hint="eastAsia"/>
                <w:kern w:val="0"/>
                <w:lang w:val="en-US" w:eastAsia="zh-CN"/>
              </w:rPr>
              <w:t>大鹏分公司</w:t>
            </w:r>
            <w:r>
              <w:rPr>
                <w:rFonts w:ascii="宋体" w:eastAsia="宋体" w:hAnsi="宋体" w:hint="eastAsia"/>
              </w:rPr>
              <w:t>）</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9</w:t>
            </w:r>
          </w:p>
        </w:tc>
        <w:tc>
          <w:tcPr>
            <w:tcW w:w="2409" w:type="dxa"/>
            <w:vAlign w:val="center"/>
          </w:tcPr>
          <w:p>
            <w:pPr>
              <w:jc w:val="center"/>
              <w:rPr>
                <w:rFonts w:ascii="宋体" w:hAnsi="宋体"/>
              </w:rPr>
            </w:pPr>
            <w:r>
              <w:rPr>
                <w:rFonts w:ascii="宋体" w:hAnsi="宋体" w:hint="eastAsia"/>
              </w:rPr>
              <w:t>踏勘现场</w:t>
            </w:r>
          </w:p>
        </w:tc>
        <w:tc>
          <w:tcPr>
            <w:tcW w:w="4980" w:type="dxa"/>
            <w:vAlign w:val="center"/>
          </w:tcPr>
          <w:p>
            <w:pPr>
              <w:jc w:val="center"/>
              <w:rPr>
                <w:rFonts w:ascii="宋体" w:hAnsi="宋体"/>
              </w:rPr>
            </w:pPr>
            <w:r>
              <w:rPr>
                <w:rFonts w:ascii="宋体" w:eastAsia="宋体" w:hAnsi="宋体" w:hint="eastAsia"/>
              </w:rPr>
              <w:t>不组织</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1</w:t>
            </w:r>
            <w:r>
              <w:rPr>
                <w:rFonts w:ascii="宋体" w:hAnsi="宋体"/>
              </w:rPr>
              <w:t>0</w:t>
            </w:r>
          </w:p>
        </w:tc>
        <w:tc>
          <w:tcPr>
            <w:tcW w:w="2409" w:type="dxa"/>
            <w:vAlign w:val="center"/>
          </w:tcPr>
          <w:p>
            <w:pPr>
              <w:jc w:val="center"/>
              <w:rPr>
                <w:rFonts w:ascii="宋体" w:hAnsi="宋体"/>
              </w:rPr>
            </w:pPr>
            <w:r>
              <w:rPr>
                <w:rFonts w:ascii="宋体" w:hAnsi="宋体" w:hint="eastAsia"/>
              </w:rPr>
              <w:t>标前会议</w:t>
            </w:r>
          </w:p>
        </w:tc>
        <w:tc>
          <w:tcPr>
            <w:tcW w:w="4980" w:type="dxa"/>
            <w:vAlign w:val="center"/>
          </w:tcPr>
          <w:p>
            <w:pPr>
              <w:jc w:val="center"/>
              <w:rPr>
                <w:rFonts w:ascii="宋体" w:hAnsi="宋体"/>
              </w:rPr>
            </w:pPr>
            <w:r>
              <w:rPr>
                <w:rFonts w:ascii="宋体" w:hAnsi="宋体" w:hint="eastAsia"/>
              </w:rPr>
              <w:t>不组织</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409" w:type="dxa"/>
            <w:vAlign w:val="center"/>
          </w:tcPr>
          <w:p>
            <w:pPr>
              <w:jc w:val="center"/>
              <w:rPr>
                <w:rFonts w:ascii="宋体" w:hAnsi="宋体"/>
              </w:rPr>
            </w:pPr>
            <w:r>
              <w:rPr>
                <w:rFonts w:ascii="宋体" w:hAnsi="宋体" w:hint="eastAsia"/>
              </w:rPr>
              <w:t>招标文件的澄清和修改</w:t>
            </w:r>
          </w:p>
        </w:tc>
        <w:tc>
          <w:tcPr>
            <w:tcW w:w="4980" w:type="dxa"/>
            <w:vAlign w:val="center"/>
          </w:tcPr>
          <w:p>
            <w:pPr>
              <w:jc w:val="center"/>
              <w:rPr>
                <w:rFonts w:ascii="宋体" w:hAnsi="宋体"/>
              </w:rPr>
            </w:pPr>
            <w:r>
              <w:rPr>
                <w:rFonts w:ascii="宋体" w:hAnsi="宋体" w:hint="eastAsia"/>
              </w:rPr>
              <w:t>不晚于投标截止日三日前，投标人有义务在招标期间在政府集中采购机构网站浏览与本项目有关的澄清和修改信息</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0</w:t>
            </w:r>
          </w:p>
        </w:tc>
        <w:tc>
          <w:tcPr>
            <w:tcW w:w="2409" w:type="dxa"/>
            <w:vAlign w:val="center"/>
          </w:tcPr>
          <w:p>
            <w:pPr>
              <w:jc w:val="center"/>
              <w:rPr>
                <w:rFonts w:ascii="宋体" w:hAnsi="宋体"/>
              </w:rPr>
            </w:pPr>
            <w:r>
              <w:rPr>
                <w:rFonts w:ascii="宋体" w:hAnsi="宋体" w:hint="eastAsia"/>
              </w:rPr>
              <w:t>投标有效期</w:t>
            </w:r>
          </w:p>
        </w:tc>
        <w:tc>
          <w:tcPr>
            <w:tcW w:w="4980" w:type="dxa"/>
            <w:vAlign w:val="center"/>
          </w:tcPr>
          <w:p>
            <w:pPr>
              <w:jc w:val="center"/>
              <w:rPr>
                <w:rFonts w:ascii="宋体" w:hAnsi="宋体"/>
              </w:rPr>
            </w:pPr>
            <w:r>
              <w:rPr>
                <w:rFonts w:ascii="宋体" w:hAnsi="宋体" w:hint="eastAsia"/>
              </w:rPr>
              <w:t>120个日历日</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2</w:t>
            </w:r>
          </w:p>
        </w:tc>
        <w:tc>
          <w:tcPr>
            <w:tcW w:w="2409" w:type="dxa"/>
            <w:vAlign w:val="center"/>
          </w:tcPr>
          <w:p>
            <w:pPr>
              <w:jc w:val="center"/>
              <w:rPr>
                <w:rFonts w:ascii="宋体" w:hAnsi="宋体"/>
              </w:rPr>
            </w:pPr>
            <w:r>
              <w:rPr>
                <w:rFonts w:ascii="宋体" w:hAnsi="宋体" w:hint="eastAsia"/>
              </w:rPr>
              <w:t>投标人的替代方案</w:t>
            </w:r>
          </w:p>
        </w:tc>
        <w:tc>
          <w:tcPr>
            <w:tcW w:w="4980" w:type="dxa"/>
            <w:vAlign w:val="center"/>
          </w:tcPr>
          <w:p>
            <w:pPr>
              <w:jc w:val="center"/>
              <w:rPr>
                <w:rFonts w:ascii="宋体" w:hAnsi="宋体"/>
              </w:rPr>
            </w:pPr>
            <w:r>
              <w:rPr>
                <w:rFonts w:ascii="宋体" w:hAnsi="宋体" w:hint="eastAsia"/>
              </w:rPr>
              <w:t>不接受</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5</w:t>
            </w:r>
          </w:p>
        </w:tc>
        <w:tc>
          <w:tcPr>
            <w:tcW w:w="2409" w:type="dxa"/>
            <w:vAlign w:val="center"/>
          </w:tcPr>
          <w:p>
            <w:pPr>
              <w:jc w:val="center"/>
              <w:rPr>
                <w:rFonts w:ascii="宋体" w:hAnsi="宋体"/>
              </w:rPr>
            </w:pPr>
            <w:r>
              <w:rPr>
                <w:rFonts w:ascii="宋体" w:hAnsi="宋体" w:hint="eastAsia"/>
              </w:rPr>
              <w:t>投标文件的大小</w:t>
            </w:r>
          </w:p>
        </w:tc>
        <w:tc>
          <w:tcPr>
            <w:tcW w:w="4980" w:type="dxa"/>
            <w:vAlign w:val="center"/>
          </w:tcPr>
          <w:p>
            <w:pPr>
              <w:jc w:val="center"/>
              <w:rPr>
                <w:rFonts w:ascii="宋体" w:hAnsi="宋体"/>
              </w:rPr>
            </w:pPr>
            <w:r>
              <w:rPr>
                <w:rFonts w:ascii="宋体" w:hAnsi="宋体" w:hint="eastAsia"/>
              </w:rPr>
              <w:t>投标文件大小不得超过100MB</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6</w:t>
            </w:r>
          </w:p>
        </w:tc>
        <w:tc>
          <w:tcPr>
            <w:tcW w:w="2409" w:type="dxa"/>
            <w:vAlign w:val="center"/>
          </w:tcPr>
          <w:p>
            <w:pPr>
              <w:jc w:val="center"/>
              <w:rPr>
                <w:rFonts w:ascii="宋体" w:hAnsi="宋体"/>
              </w:rPr>
            </w:pPr>
            <w:bookmarkStart w:id="35" w:name="_Hlk71664860"/>
            <w:r>
              <w:rPr>
                <w:rFonts w:ascii="宋体" w:hAnsi="宋体" w:hint="eastAsia"/>
              </w:rPr>
              <w:t>样品、现场演示、方案讲解</w:t>
            </w:r>
            <w:bookmarkEnd w:id="35"/>
          </w:p>
        </w:tc>
        <w:tc>
          <w:tcPr>
            <w:tcW w:w="4980" w:type="dxa"/>
            <w:vAlign w:val="center"/>
          </w:tcPr>
          <w:p>
            <w:pPr>
              <w:jc w:val="center"/>
              <w:rPr>
                <w:rFonts w:ascii="宋体" w:hAnsi="宋体"/>
              </w:rPr>
            </w:pPr>
            <w:r>
              <w:rPr>
                <w:rFonts w:ascii="宋体" w:hAnsi="宋体" w:hint="eastAsia"/>
              </w:rPr>
              <w:t>无</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7</w:t>
            </w:r>
          </w:p>
        </w:tc>
        <w:tc>
          <w:tcPr>
            <w:tcW w:w="2409" w:type="dxa"/>
            <w:vAlign w:val="center"/>
          </w:tcPr>
          <w:p>
            <w:pPr>
              <w:jc w:val="center"/>
              <w:rPr>
                <w:rFonts w:ascii="宋体" w:hAnsi="宋体"/>
              </w:rPr>
            </w:pPr>
            <w:r>
              <w:rPr>
                <w:rFonts w:ascii="宋体" w:hAnsi="宋体" w:hint="eastAsia"/>
              </w:rPr>
              <w:t>评审方法</w:t>
            </w:r>
          </w:p>
        </w:tc>
        <w:tc>
          <w:tcPr>
            <w:tcW w:w="4980" w:type="dxa"/>
            <w:vAlign w:val="center"/>
          </w:tcPr>
          <w:p>
            <w:pPr>
              <w:jc w:val="center"/>
              <w:rPr>
                <w:rFonts w:ascii="宋体" w:hAnsi="宋体"/>
              </w:rPr>
            </w:pPr>
            <w:r>
              <w:rPr>
                <w:rFonts w:ascii="宋体" w:hAnsi="宋体" w:hint="eastAsia"/>
              </w:rPr>
              <w:t>综合评分法</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8</w:t>
            </w:r>
          </w:p>
        </w:tc>
        <w:tc>
          <w:tcPr>
            <w:tcW w:w="2409" w:type="dxa"/>
            <w:vAlign w:val="center"/>
          </w:tcPr>
          <w:p>
            <w:pPr>
              <w:jc w:val="center"/>
              <w:rPr>
                <w:rFonts w:ascii="宋体" w:hAnsi="宋体"/>
              </w:rPr>
            </w:pPr>
            <w:r>
              <w:rPr>
                <w:rFonts w:ascii="宋体" w:hAnsi="宋体" w:hint="eastAsia"/>
              </w:rPr>
              <w:t>定标方法</w:t>
            </w:r>
          </w:p>
        </w:tc>
        <w:tc>
          <w:tcPr>
            <w:tcW w:w="4980" w:type="dxa"/>
            <w:vAlign w:val="center"/>
          </w:tcPr>
          <w:p>
            <w:pPr>
              <w:jc w:val="center"/>
              <w:rPr>
                <w:rFonts w:ascii="宋体" w:hAnsi="宋体"/>
              </w:rPr>
            </w:pPr>
            <w:r>
              <w:rPr>
                <w:rFonts w:ascii="宋体" w:hAnsi="宋体" w:hint="eastAsia"/>
              </w:rPr>
              <w:t>非评定分离</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4</w:t>
            </w:r>
            <w:r>
              <w:rPr>
                <w:rFonts w:ascii="宋体" w:hAnsi="宋体"/>
              </w:rPr>
              <w:t>6</w:t>
            </w:r>
          </w:p>
        </w:tc>
        <w:tc>
          <w:tcPr>
            <w:tcW w:w="2409" w:type="dxa"/>
            <w:vAlign w:val="center"/>
          </w:tcPr>
          <w:p>
            <w:pPr>
              <w:jc w:val="center"/>
              <w:rPr>
                <w:rFonts w:ascii="宋体" w:hAnsi="宋体"/>
              </w:rPr>
            </w:pPr>
            <w:r>
              <w:rPr>
                <w:rFonts w:ascii="宋体" w:hAnsi="宋体" w:hint="eastAsia"/>
              </w:rPr>
              <w:t>履约担保</w:t>
            </w:r>
          </w:p>
        </w:tc>
        <w:tc>
          <w:tcPr>
            <w:tcW w:w="4980" w:type="dxa"/>
            <w:vAlign w:val="center"/>
          </w:tcPr>
          <w:p>
            <w:pPr>
              <w:jc w:val="center"/>
              <w:rPr>
                <w:rFonts w:ascii="宋体" w:eastAsia="宋体" w:hAnsi="宋体" w:hint="default"/>
                <w:lang w:val="en-US" w:eastAsia="zh-CN"/>
              </w:rPr>
            </w:pPr>
            <w:r>
              <w:rPr>
                <w:rFonts w:ascii="宋体" w:hAnsi="宋体" w:hint="eastAsia"/>
                <w:lang w:val="en-US" w:eastAsia="zh-CN"/>
              </w:rPr>
              <w:t>需要，详见第三章 用户需求书</w:t>
            </w:r>
          </w:p>
        </w:tc>
      </w:tr>
    </w:tbl>
    <w:p>
      <w:pPr>
        <w:rPr>
          <w:b/>
        </w:rPr>
      </w:pPr>
      <w:r>
        <w:rPr>
          <w:rFonts w:hint="eastAsia"/>
          <w:szCs w:val="21"/>
        </w:rPr>
        <w:t>备注：本表是通用条款相关条款的补充和明确，如与通用条款内容相冲突的，以本表为准。</w:t>
      </w:r>
    </w:p>
    <w:p>
      <w:pPr>
        <w:pStyle w:val="Heading2"/>
        <w:spacing w:before="120" w:beforeLines="50" w:after="120" w:afterLines="50"/>
        <w:rPr>
          <w:szCs w:val="24"/>
        </w:rPr>
      </w:pPr>
      <w:bookmarkEnd w:id="34"/>
      <w:bookmarkStart w:id="36" w:name="_Hlk72218117"/>
      <w:r>
        <w:rPr>
          <w:rFonts w:hint="eastAsia"/>
          <w:szCs w:val="24"/>
        </w:rPr>
        <w:t>二、其他关键信息</w:t>
      </w:r>
    </w:p>
    <w:p>
      <w:pPr>
        <w:ind w:firstLine="420" w:firstLineChars="200"/>
        <w:rPr>
          <w:b/>
          <w:bCs/>
        </w:rPr>
      </w:pPr>
      <w:bookmarkStart w:id="37" w:name="_Hlk72579427"/>
      <w:r>
        <w:rPr>
          <w:rFonts w:hint="eastAsia"/>
          <w:b/>
          <w:bCs/>
        </w:rPr>
        <w:t>（一）与“对通用条款的补充内容”章节相关的事项</w:t>
      </w:r>
    </w:p>
    <w:p>
      <w:pPr>
        <w:spacing w:line="276" w:lineRule="auto"/>
        <w:jc w:val="left"/>
        <w:rPr>
          <w:rFonts w:asciiTheme="minorEastAsia" w:eastAsiaTheme="minorEastAsia" w:hAnsiTheme="minorEastAsia"/>
          <w:b/>
          <w:kern w:val="0"/>
          <w:szCs w:val="20"/>
        </w:rPr>
      </w:pPr>
      <w:r>
        <w:rPr>
          <w:rFonts w:asciiTheme="minorEastAsia" w:eastAsiaTheme="minorEastAsia" w:hAnsiTheme="minorEastAsia" w:hint="eastAsia"/>
          <w:b/>
          <w:kern w:val="0"/>
          <w:szCs w:val="20"/>
        </w:rPr>
        <w:t>1、评标定标信息</w:t>
      </w:r>
    </w:p>
    <w:p>
      <w:pPr>
        <w:jc w:val="center"/>
      </w:pPr>
      <w:r>
        <w:rPr>
          <w:rFonts w:hint="eastAsia"/>
          <w:b/>
        </w:rPr>
        <w:t>非评定分离项目</w:t>
      </w:r>
    </w:p>
    <w:tbl>
      <w:tblPr>
        <w:tblStyle w:val="TableGrid"/>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990"/>
        <w:gridCol w:w="4537"/>
      </w:tblGrid>
      <w:tr>
        <w:tblPrEx>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rPr>
                <w:rFonts w:eastAsia="宋体" w:hint="default"/>
                <w:lang w:val="en-US" w:eastAsia="zh-CN"/>
              </w:rPr>
            </w:pPr>
            <w:r>
              <w:rPr>
                <w:rFonts w:hint="eastAsia"/>
              </w:rPr>
              <w:t>综合评分法</w:t>
            </w:r>
          </w:p>
        </w:tc>
      </w:tr>
      <w:tr>
        <w:tblPrEx>
          <w:tblW w:w="4999" w:type="pct"/>
          <w:tblInd w:w="0" w:type="dxa"/>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eastAsia="宋体" w:hint="eastAsia"/>
                <w:lang w:val="en-US" w:eastAsia="zh-CN"/>
              </w:rPr>
            </w:pPr>
            <w:r>
              <w:rPr>
                <w:rFonts w:hint="eastAsia"/>
                <w:lang w:val="en-US" w:eastAsia="zh-CN"/>
              </w:rPr>
              <w:t>3</w:t>
            </w:r>
          </w:p>
        </w:tc>
      </w:tr>
      <w:tr>
        <w:tblPrEx>
          <w:tblW w:w="4999" w:type="pct"/>
          <w:tblInd w:w="0" w:type="dxa"/>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rPr>
          <w:rFonts w:hint="eastAsia"/>
          <w:b/>
        </w:rPr>
      </w:pPr>
    </w:p>
    <w:p>
      <w:pPr>
        <w:ind w:firstLine="420" w:firstLineChars="200"/>
        <w:rPr>
          <w:b/>
        </w:rPr>
      </w:pPr>
      <w:r>
        <w:rPr>
          <w:rFonts w:hint="eastAsia"/>
          <w:b/>
        </w:rPr>
        <w:t>（二）其他事项</w:t>
      </w:r>
      <w:bookmarkEnd w:id="37"/>
    </w:p>
    <w:p>
      <w:pPr>
        <w:ind w:firstLine="420" w:firstLineChars="200"/>
        <w:rPr>
          <w:rFonts w:eastAsia="宋体" w:hint="default"/>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eastAsia="宋体" w:hint="default"/>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ascii="Times New Roman" w:eastAsia="宋体" w:hint="eastAsia"/>
          <w:lang w:val="en-US" w:eastAsia="zh-CN"/>
        </w:rPr>
        <w:t>专门面向中小企业采购的项目，</w:t>
      </w:r>
      <w:r>
        <w:rPr>
          <w:rFonts w:hint="eastAsia"/>
          <w:lang w:val="en-US" w:eastAsia="zh-CN"/>
        </w:rPr>
        <w:t>应</w:t>
      </w:r>
      <w:r>
        <w:rPr>
          <w:rFonts w:ascii="Times New Roman" w:eastAsia="宋体" w:hint="eastAsia"/>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0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lang w:val="en-US" w:eastAsia="zh-CN"/>
        </w:rPr>
        <w:t>3</w:t>
      </w:r>
      <w:r>
        <w:rPr>
          <w:rFonts w:asciiTheme="minorEastAsia" w:eastAsiaTheme="minorEastAsia" w:hAnsiTheme="minorEastAsia" w:cstheme="minorEastAsia" w:hint="eastAsia"/>
          <w:sz w:val="21"/>
          <w:szCs w:val="21"/>
        </w:rPr>
        <w:t>）</w:t>
      </w:r>
      <w:bookmarkStart w:id="38" w:name="_Hlk71970739"/>
      <w:r>
        <w:rPr>
          <w:rFonts w:asciiTheme="minorEastAsia" w:eastAsiaTheme="minorEastAsia" w:hAnsiTheme="minorEastAsia" w:cstheme="minorEastAsia" w:hint="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Theme="minorEastAsia" w:eastAsiaTheme="minorEastAsia" w:hAnsiTheme="minorEastAsia" w:cstheme="minorEastAsia" w:hint="eastAsia"/>
          <w:b/>
          <w:bCs/>
          <w:color w:val="FF0000"/>
          <w:sz w:val="21"/>
          <w:szCs w:val="21"/>
        </w:rPr>
        <w:t>《中小企业声明函》中相关企业</w:t>
      </w:r>
      <w:r>
        <w:rPr>
          <w:rFonts w:asciiTheme="minorEastAsia" w:eastAsiaTheme="minorEastAsia" w:hAnsiTheme="minorEastAsia" w:cstheme="minorEastAsia" w:hint="eastAsia"/>
          <w:b/>
          <w:bCs/>
          <w:color w:val="FF0000"/>
          <w:sz w:val="21"/>
          <w:szCs w:val="21"/>
          <w:lang w:eastAsia="zh-CN"/>
        </w:rPr>
        <w:t>（</w:t>
      </w:r>
      <w:r>
        <w:rPr>
          <w:rFonts w:asciiTheme="minorEastAsia" w:eastAsiaTheme="minorEastAsia" w:hAnsiTheme="minorEastAsia" w:cstheme="minorEastAsia" w:hint="eastAsia"/>
          <w:b/>
          <w:bCs/>
          <w:color w:val="FF0000"/>
          <w:sz w:val="21"/>
          <w:szCs w:val="21"/>
          <w:lang w:val="en-US" w:eastAsia="zh-CN"/>
        </w:rPr>
        <w:t>货物制造商</w:t>
      </w:r>
      <w:r>
        <w:rPr>
          <w:rFonts w:asciiTheme="minorEastAsia" w:eastAsiaTheme="minorEastAsia" w:hAnsiTheme="minorEastAsia" w:cstheme="minorEastAsia" w:hint="eastAsia"/>
          <w:b/>
          <w:bCs/>
          <w:color w:val="FF0000"/>
          <w:sz w:val="21"/>
          <w:szCs w:val="21"/>
          <w:lang w:eastAsia="zh-CN"/>
        </w:rPr>
        <w:t>）</w:t>
      </w:r>
      <w:r>
        <w:rPr>
          <w:rFonts w:asciiTheme="minorEastAsia" w:eastAsiaTheme="minorEastAsia" w:hAnsiTheme="minorEastAsia" w:cstheme="minorEastAsia" w:hint="eastAsia"/>
          <w:b/>
          <w:bCs/>
          <w:color w:val="FF0000"/>
          <w:sz w:val="21"/>
          <w:szCs w:val="21"/>
        </w:rPr>
        <w:t>所属行业应当与采购标的所属行业相一致</w:t>
      </w:r>
      <w:r>
        <w:rPr>
          <w:rFonts w:asciiTheme="minorEastAsia" w:eastAsiaTheme="minorEastAsia" w:hAnsiTheme="minorEastAsia" w:cstheme="minorEastAsia" w:hint="eastAsia"/>
          <w:b/>
          <w:bCs/>
          <w:color w:val="FF0000"/>
          <w:sz w:val="21"/>
          <w:szCs w:val="21"/>
          <w:lang w:eastAsia="zh-CN"/>
        </w:rPr>
        <w:t>，</w:t>
      </w:r>
      <w:r>
        <w:rPr>
          <w:rFonts w:hint="eastAsia"/>
          <w:b/>
          <w:bCs/>
          <w:color w:val="FF0000"/>
        </w:rPr>
        <w:t>标的所属行业</w:t>
      </w:r>
      <w:r>
        <w:rPr>
          <w:rFonts w:ascii="Times New Roman" w:eastAsia="宋体" w:hint="eastAsia"/>
          <w:b/>
          <w:bCs/>
          <w:color w:val="FF0000"/>
          <w:lang w:val="en-US" w:eastAsia="zh-CN"/>
        </w:rPr>
        <w:t>以招标文件第一册第三章用户需求书“货物</w:t>
      </w:r>
      <w:r>
        <w:rPr>
          <w:rFonts w:hint="eastAsia"/>
          <w:b/>
          <w:bCs/>
          <w:color w:val="FF0000"/>
          <w:lang w:val="en-US" w:eastAsia="zh-CN"/>
        </w:rPr>
        <w:t>清单</w:t>
      </w:r>
      <w:r>
        <w:rPr>
          <w:rFonts w:ascii="Times New Roman" w:eastAsia="宋体" w:hint="eastAsia"/>
          <w:b/>
          <w:bCs/>
          <w:color w:val="FF0000"/>
          <w:lang w:val="en-US" w:eastAsia="zh-CN"/>
        </w:rPr>
        <w:t>明细”的“标的所属行业”一栏为准</w:t>
      </w:r>
      <w:r>
        <w:rPr>
          <w:rFonts w:asciiTheme="minorEastAsia" w:eastAsiaTheme="minorEastAsia" w:hAnsiTheme="minorEastAsia" w:cstheme="minorEastAsia" w:hint="eastAsia"/>
          <w:b/>
          <w:bCs/>
          <w:color w:val="FF0000"/>
          <w:sz w:val="21"/>
          <w:szCs w:val="21"/>
        </w:rPr>
        <w:t>。</w:t>
      </w:r>
      <w:bookmarkEnd w:id="38"/>
    </w:p>
    <w:p>
      <w:pPr>
        <w:ind w:firstLine="420" w:firstLineChars="200"/>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lang w:val="en-US" w:eastAsia="zh-CN"/>
        </w:rPr>
        <w:t>4</w:t>
      </w:r>
      <w:r>
        <w:rPr>
          <w:rFonts w:asciiTheme="minorEastAsia" w:eastAsiaTheme="minorEastAsia" w:hAnsiTheme="minorEastAsia" w:cstheme="minorEastAsia" w:hint="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ascii="Times New Roman" w:eastAsia="宋体" w:hint="eastAsia"/>
          <w:lang w:val="en-US" w:eastAsia="zh-CN"/>
        </w:rPr>
        <w:t>四</w:t>
      </w:r>
      <w:r>
        <w:rPr>
          <w:rFonts w:hint="eastAsia"/>
        </w:rPr>
        <w:t>章“投标文件组成要求及格式”中“</w:t>
      </w:r>
      <w:r>
        <w:rPr>
          <w:rFonts w:ascii="Times New Roman" w:eastAsia="宋体" w:hint="eastAsia"/>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）享受价格扣除获得政府采购合同的，小微企业不得将合同分包给大中型企业。</w:t>
      </w:r>
    </w:p>
    <w:p>
      <w:pPr>
        <w:spacing w:line="360" w:lineRule="auto"/>
        <w:ind w:firstLine="420" w:firstLineChars="200"/>
        <w:rPr>
          <w:rFonts w:ascii="宋体" w:eastAsia="宋体" w:hAnsi="宋体" w:cs="宋体" w:hint="eastAsia"/>
          <w:b/>
          <w:bCs/>
        </w:rPr>
      </w:pPr>
    </w:p>
    <w:p>
      <w:pPr>
        <w:spacing w:line="360" w:lineRule="auto"/>
        <w:ind w:firstLine="420" w:firstLineChars="200"/>
        <w:rPr>
          <w:rFonts w:ascii="宋体" w:eastAsia="宋体" w:hAnsi="宋体" w:cs="宋体" w:hint="eastAsia"/>
          <w:b/>
          <w:bCs/>
        </w:rPr>
      </w:pPr>
      <w:r>
        <w:rPr>
          <w:rFonts w:ascii="宋体" w:eastAsia="宋体" w:hAnsi="宋体" w:cs="宋体" w:hint="eastAsia"/>
          <w:b/>
          <w:bCs/>
        </w:rPr>
        <w:t>2</w:t>
      </w:r>
      <w:r>
        <w:rPr>
          <w:rFonts w:ascii="宋体" w:eastAsia="宋体" w:hAnsi="宋体" w:cs="宋体" w:hint="eastAsia"/>
          <w:b/>
          <w:bCs/>
          <w:lang w:eastAsia="zh-CN"/>
        </w:rPr>
        <w:t>、</w:t>
      </w:r>
      <w:r>
        <w:rPr>
          <w:rFonts w:ascii="宋体" w:eastAsia="宋体" w:hAnsi="宋体" w:cs="宋体" w:hint="eastAsia"/>
          <w:b/>
          <w:bCs/>
        </w:rPr>
        <w:t>关于政府采购订单融资政策</w:t>
      </w:r>
    </w:p>
    <w:p>
      <w:pPr>
        <w:wordWrap w:val="0"/>
        <w:ind w:firstLine="420" w:firstLineChars="200"/>
        <w:rPr>
          <w:rFonts w:ascii="宋体" w:eastAsia="宋体" w:hAnsi="宋体" w:cs="Times New Roman" w:hint="eastAsia"/>
          <w:b/>
          <w:color w:val="auto"/>
        </w:rPr>
      </w:pPr>
      <w:r>
        <w:rPr>
          <w:rFonts w:ascii="Times New Roman" w:eastAsia="宋体" w:hAnsi="Times New Roman" w:cs="Times New Roman" w:hint="eastAsia"/>
          <w:color w:val="auto"/>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0" w:firstLineChars="200"/>
        <w:rPr>
          <w:rFonts w:ascii="Times New Roman" w:eastAsia="宋体" w:hAnsi="Times New Roman" w:cs="Times New Roman" w:hint="eastAsia"/>
          <w:b/>
          <w:bCs/>
        </w:rPr>
      </w:pPr>
    </w:p>
    <w:p>
      <w:pPr>
        <w:ind w:firstLine="420" w:firstLineChars="200"/>
        <w:rPr>
          <w:rFonts w:ascii="Times New Roman" w:eastAsia="宋体" w:hAnsi="Times New Roman" w:cs="Times New Roman" w:hint="eastAsia"/>
          <w:b/>
          <w:bCs/>
          <w:lang w:val="en-US" w:eastAsia="zh-CN"/>
        </w:rPr>
      </w:pPr>
      <w:r>
        <w:rPr>
          <w:rFonts w:cs="Times New Roman" w:hint="eastAsia"/>
          <w:b/>
          <w:bCs/>
          <w:lang w:val="en-US" w:eastAsia="zh-CN"/>
        </w:rPr>
        <w:t>3</w:t>
      </w:r>
      <w:r>
        <w:rPr>
          <w:rFonts w:ascii="Times New Roman" w:eastAsia="宋体" w:hAnsi="Times New Roman" w:cs="Times New Roman" w:hint="eastAsia"/>
          <w:b/>
          <w:bCs/>
          <w:lang w:val="en-US" w:eastAsia="zh-CN"/>
        </w:rPr>
        <w:t>、本项目不向中标（成交）供应商收取代理服务费。</w:t>
      </w:r>
    </w:p>
    <w:p>
      <w:pPr>
        <w:ind w:firstLine="420" w:firstLineChars="200"/>
        <w:rPr>
          <w:rFonts w:ascii="Times New Roman" w:eastAsia="宋体" w:hAnsi="Times New Roman" w:cs="Times New Roman"/>
          <w:b/>
        </w:rPr>
      </w:pPr>
    </w:p>
    <w:p>
      <w:pPr>
        <w:pStyle w:val="BodyText2"/>
        <w:rPr>
          <w:b/>
        </w:rPr>
      </w:pPr>
    </w:p>
    <w:p>
      <w:pPr>
        <w:pStyle w:val="BodyText2"/>
        <w:rPr>
          <w:b/>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cs="Times New Roman"/>
          <w:b/>
          <w:bCs/>
          <w:kern w:val="0"/>
          <w:sz w:val="28"/>
          <w:szCs w:val="28"/>
          <w:lang w:val="en-US" w:eastAsia="zh-CN" w:bidi="ar-SA"/>
        </w:rPr>
      </w:pPr>
      <w:bookmarkEnd w:id="36"/>
      <w:r>
        <w:rPr>
          <w:rFonts w:ascii="宋体" w:eastAsia="宋体" w:hAnsi="宋体" w:cs="Times New Roman" w:hint="eastAsia"/>
          <w:b/>
          <w:bCs/>
          <w:kern w:val="0"/>
          <w:sz w:val="28"/>
          <w:szCs w:val="28"/>
          <w:lang w:val="en-US" w:eastAsia="zh-CN" w:bidi="ar-SA"/>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4"/>
          <w:szCs w:val="24"/>
          <w:lang w:val="en-US" w:eastAsia="zh-CN" w:bidi="ar-SA"/>
        </w:rPr>
      </w:pPr>
      <w:r>
        <w:rPr>
          <w:rFonts w:ascii="宋体" w:eastAsia="宋体" w:hAnsi="宋体" w:cs="Times New Roman" w:hint="eastAsia"/>
          <w:b/>
          <w:bCs/>
          <w:kern w:val="0"/>
          <w:sz w:val="24"/>
          <w:szCs w:val="24"/>
          <w:lang w:val="en-US" w:eastAsia="zh-CN" w:bidi="ar-SA"/>
        </w:rPr>
        <w:t>一、项目基本信息</w:t>
      </w:r>
    </w:p>
    <w:p>
      <w:pPr>
        <w:rPr>
          <w:rFonts w:ascii="宋体" w:eastAsia="宋体" w:hAnsi="宋体" w:cs="Times New Roman"/>
          <w:b/>
          <w:color w:val="FF0000"/>
          <w:szCs w:val="21"/>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
        <w:gridCol w:w="2592"/>
        <w:gridCol w:w="3160"/>
        <w:gridCol w:w="235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jc w:val="center"/>
        </w:trPr>
        <w:tc>
          <w:tcPr>
            <w:tcW w:w="249"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序号</w:t>
            </w:r>
          </w:p>
        </w:tc>
        <w:tc>
          <w:tcPr>
            <w:tcW w:w="1519"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采购计划编号</w:t>
            </w:r>
          </w:p>
        </w:tc>
        <w:tc>
          <w:tcPr>
            <w:tcW w:w="1852"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采购项目名称</w:t>
            </w:r>
          </w:p>
        </w:tc>
        <w:tc>
          <w:tcPr>
            <w:tcW w:w="1378" w:type="pct"/>
            <w:vAlign w:val="center"/>
          </w:tcPr>
          <w:p>
            <w:pPr>
              <w:jc w:val="center"/>
              <w:rPr>
                <w:rFonts w:ascii="Times New Roman" w:eastAsia="宋体" w:hAnsi="Times New Roman" w:cs="Times New Roman"/>
                <w:b/>
                <w:bCs/>
                <w:color w:val="FF0000"/>
                <w:szCs w:val="21"/>
              </w:rPr>
            </w:pPr>
            <w:r>
              <w:rPr>
                <w:rFonts w:ascii="Times New Roman" w:eastAsia="宋体" w:hAnsi="Times New Roman" w:cs="Times New Roman" w:hint="eastAsia"/>
                <w:b/>
                <w:bCs/>
                <w:color w:val="FF0000"/>
                <w:szCs w:val="21"/>
              </w:rPr>
              <w:t>财政预算限额（元）</w:t>
            </w:r>
          </w:p>
        </w:tc>
      </w:tr>
      <w:tr>
        <w:tblPrEx>
          <w:tblW w:w="5000" w:type="pct"/>
          <w:jc w:val="center"/>
          <w:tblCellMar>
            <w:top w:w="0" w:type="dxa"/>
            <w:left w:w="108" w:type="dxa"/>
            <w:bottom w:w="0" w:type="dxa"/>
            <w:right w:w="108" w:type="dxa"/>
          </w:tblCellMar>
        </w:tblPrEx>
        <w:trPr>
          <w:trHeight w:val="503"/>
          <w:jc w:val="center"/>
        </w:trPr>
        <w:tc>
          <w:tcPr>
            <w:tcW w:w="249" w:type="pct"/>
            <w:vAlign w:val="center"/>
          </w:tcPr>
          <w:p>
            <w:pPr>
              <w:jc w:val="center"/>
              <w:rPr>
                <w:rFonts w:ascii="Times New Roman" w:eastAsia="宋体" w:hAnsi="Times New Roman" w:cs="Times New Roman"/>
                <w:bCs/>
                <w:color w:val="FF0000"/>
                <w:szCs w:val="21"/>
              </w:rPr>
            </w:pPr>
            <w:r>
              <w:rPr>
                <w:rFonts w:ascii="Times New Roman" w:eastAsia="宋体" w:hAnsi="Times New Roman" w:cs="Times New Roman" w:hint="eastAsia"/>
                <w:bCs/>
                <w:color w:val="FF0000"/>
                <w:szCs w:val="21"/>
              </w:rPr>
              <w:t>1</w:t>
            </w:r>
          </w:p>
        </w:tc>
        <w:tc>
          <w:tcPr>
            <w:tcW w:w="1519" w:type="pct"/>
            <w:vAlign w:val="center"/>
          </w:tcPr>
          <w:p>
            <w:pPr>
              <w:jc w:val="center"/>
              <w:rPr>
                <w:rFonts w:ascii="Times New Roman" w:eastAsia="宋体" w:hAnsi="Times New Roman" w:cs="Times New Roman"/>
                <w:bCs/>
                <w:color w:val="FF0000"/>
                <w:szCs w:val="21"/>
              </w:rPr>
            </w:pPr>
            <w:r>
              <w:rPr>
                <w:rFonts w:ascii="Times New Roman" w:eastAsia="宋体" w:hAnsi="Times New Roman" w:cs="Times New Roman"/>
                <w:bCs/>
                <w:color w:val="FF0000"/>
                <w:szCs w:val="21"/>
              </w:rPr>
              <w:t>PLAN-2025-440312000-021004-05986</w:t>
            </w:r>
          </w:p>
        </w:tc>
        <w:tc>
          <w:tcPr>
            <w:tcW w:w="1852" w:type="pct"/>
            <w:vAlign w:val="center"/>
          </w:tcPr>
          <w:p>
            <w:pPr>
              <w:jc w:val="center"/>
              <w:rPr>
                <w:rFonts w:ascii="Times New Roman" w:eastAsia="宋体" w:hAnsi="Times New Roman" w:cs="Times New Roman"/>
                <w:b/>
                <w:bCs/>
                <w:color w:val="FF0000"/>
                <w:szCs w:val="21"/>
              </w:rPr>
            </w:pPr>
            <w:r>
              <w:rPr>
                <w:rFonts w:ascii="Times New Roman" w:eastAsia="宋体" w:hAnsi="Times New Roman" w:cs="Times New Roman" w:hint="default"/>
                <w:b/>
                <w:bCs/>
                <w:color w:val="FF0000"/>
                <w:szCs w:val="21"/>
                <w:lang w:val="en-US" w:eastAsia="zh-CN"/>
              </w:rPr>
              <w:t>康复治疗设备</w:t>
            </w:r>
            <w:r>
              <w:rPr>
                <w:rFonts w:ascii="Times New Roman" w:eastAsia="宋体" w:hAnsi="Times New Roman" w:cs="Times New Roman" w:hint="eastAsia"/>
                <w:b/>
                <w:bCs/>
                <w:color w:val="FF0000"/>
                <w:szCs w:val="21"/>
                <w:lang w:val="en-US" w:eastAsia="zh-CN"/>
              </w:rPr>
              <w:t>采购项目</w:t>
            </w:r>
          </w:p>
        </w:tc>
        <w:tc>
          <w:tcPr>
            <w:tcW w:w="1378" w:type="pct"/>
            <w:vAlign w:val="center"/>
          </w:tcPr>
          <w:p>
            <w:pPr>
              <w:jc w:val="center"/>
              <w:rPr>
                <w:rFonts w:ascii="Times New Roman" w:eastAsia="宋体" w:hAnsi="Times New Roman" w:cs="Times New Roman"/>
                <w:bCs/>
                <w:color w:val="FF0000"/>
                <w:szCs w:val="21"/>
              </w:rPr>
            </w:pPr>
            <w:r>
              <w:rPr>
                <w:rFonts w:cs="Times New Roman" w:hint="eastAsia"/>
                <w:bCs/>
                <w:color w:val="FF0000"/>
                <w:szCs w:val="21"/>
                <w:lang w:val="en-US" w:eastAsia="zh-CN"/>
              </w:rPr>
              <w:t>1090500.00</w:t>
            </w:r>
          </w:p>
        </w:tc>
      </w:tr>
    </w:tbl>
    <w:p>
      <w:pPr>
        <w:rPr>
          <w:rFonts w:ascii="宋体" w:eastAsia="宋体" w:hAnsi="宋体" w:cs="Times New Roman"/>
          <w:b/>
          <w:color w:val="FF0000"/>
          <w:szCs w:val="21"/>
        </w:rPr>
      </w:pPr>
    </w:p>
    <w:p>
      <w:pPr>
        <w:rPr>
          <w:rFonts w:ascii="宋体" w:eastAsia="宋体" w:hAnsi="宋体" w:cs="Times New Roman"/>
          <w:b/>
          <w:color w:val="FF0000"/>
          <w:szCs w:val="21"/>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4"/>
          <w:szCs w:val="24"/>
          <w:lang w:val="en-US" w:eastAsia="zh-CN" w:bidi="ar-SA"/>
        </w:rPr>
      </w:pPr>
      <w:bookmarkStart w:id="39" w:name="_Hlk72258617"/>
      <w:r>
        <w:rPr>
          <w:rFonts w:ascii="宋体" w:eastAsia="宋体" w:hAnsi="宋体" w:cs="Times New Roman" w:hint="eastAsia"/>
          <w:b/>
          <w:bCs/>
          <w:kern w:val="0"/>
          <w:sz w:val="24"/>
          <w:szCs w:val="24"/>
          <w:lang w:val="en-US" w:eastAsia="zh-CN" w:bidi="ar-SA"/>
        </w:rPr>
        <w:t>二、</w:t>
      </w:r>
      <w:bookmarkStart w:id="40" w:name="_Hlk72073432"/>
      <w:r>
        <w:rPr>
          <w:rFonts w:ascii="宋体" w:eastAsia="宋体" w:hAnsi="宋体" w:cs="Times New Roman" w:hint="eastAsia"/>
          <w:b/>
          <w:bCs/>
          <w:kern w:val="0"/>
          <w:sz w:val="24"/>
          <w:szCs w:val="24"/>
          <w:lang w:val="en-US" w:eastAsia="zh-CN" w:bidi="ar-SA"/>
        </w:rPr>
        <w:t>货物清单明细</w:t>
      </w:r>
      <w:bookmarkEnd w:id="40"/>
    </w:p>
    <w:tbl>
      <w:tblPr>
        <w:tblStyle w:val="TableNormal"/>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
        <w:gridCol w:w="1231"/>
        <w:gridCol w:w="1547"/>
        <w:gridCol w:w="426"/>
        <w:gridCol w:w="426"/>
        <w:gridCol w:w="1075"/>
        <w:gridCol w:w="1076"/>
        <w:gridCol w:w="1081"/>
        <w:gridCol w:w="1234"/>
      </w:tblGrid>
      <w:tr>
        <w:tblPrEx>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jc w:val="center"/>
        </w:trPr>
        <w:tc>
          <w:tcPr>
            <w:tcW w:w="234"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序号</w:t>
            </w:r>
          </w:p>
        </w:tc>
        <w:tc>
          <w:tcPr>
            <w:tcW w:w="626"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采购计划编号</w:t>
            </w:r>
          </w:p>
        </w:tc>
        <w:tc>
          <w:tcPr>
            <w:tcW w:w="938"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货物名称（标的名称）</w:t>
            </w:r>
          </w:p>
        </w:tc>
        <w:tc>
          <w:tcPr>
            <w:tcW w:w="242"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数量</w:t>
            </w:r>
          </w:p>
        </w:tc>
        <w:tc>
          <w:tcPr>
            <w:tcW w:w="216"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单位</w:t>
            </w:r>
          </w:p>
        </w:tc>
        <w:tc>
          <w:tcPr>
            <w:tcW w:w="661"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单价最高限价（元）</w:t>
            </w:r>
          </w:p>
        </w:tc>
        <w:tc>
          <w:tcPr>
            <w:tcW w:w="661" w:type="pct"/>
            <w:vAlign w:val="center"/>
          </w:tcPr>
          <w:p>
            <w:pPr>
              <w:jc w:val="center"/>
              <w:rPr>
                <w:rFonts w:ascii="Times New Roman" w:eastAsia="宋体" w:hAnsi="Times New Roman" w:cs="Times New Roman" w:hint="default"/>
                <w:b/>
                <w:bCs/>
                <w:color w:val="FF0000"/>
                <w:szCs w:val="21"/>
                <w:lang w:val="en-US" w:eastAsia="zh-CN"/>
              </w:rPr>
            </w:pPr>
            <w:r>
              <w:rPr>
                <w:rFonts w:ascii="Times New Roman" w:eastAsia="宋体" w:hAnsi="Times New Roman" w:cs="Times New Roman" w:hint="eastAsia"/>
                <w:b/>
                <w:bCs/>
                <w:color w:val="FF0000"/>
                <w:szCs w:val="21"/>
                <w:lang w:val="en-US" w:eastAsia="zh-CN"/>
              </w:rPr>
              <w:t>是否接受进口</w:t>
            </w:r>
          </w:p>
        </w:tc>
        <w:tc>
          <w:tcPr>
            <w:tcW w:w="664" w:type="pct"/>
            <w:vAlign w:val="center"/>
          </w:tcPr>
          <w:p>
            <w:pPr>
              <w:jc w:val="center"/>
              <w:rPr>
                <w:rFonts w:ascii="Times New Roman" w:eastAsia="宋体" w:hAnsi="Times New Roman" w:cs="Times New Roman" w:hint="default"/>
                <w:b/>
                <w:bCs/>
                <w:color w:val="FF0000"/>
                <w:szCs w:val="21"/>
                <w:lang w:val="en-US" w:eastAsia="zh-CN"/>
              </w:rPr>
            </w:pPr>
            <w:r>
              <w:rPr>
                <w:rFonts w:ascii="Times New Roman" w:eastAsia="宋体" w:hAnsi="Times New Roman" w:cs="Times New Roman" w:hint="eastAsia"/>
                <w:b/>
                <w:bCs/>
                <w:color w:val="FF0000"/>
                <w:szCs w:val="21"/>
                <w:lang w:val="en-US" w:eastAsia="zh-CN"/>
              </w:rPr>
              <w:t>是否专门面向中小企业</w:t>
            </w:r>
          </w:p>
        </w:tc>
        <w:tc>
          <w:tcPr>
            <w:tcW w:w="754" w:type="pct"/>
            <w:vAlign w:val="center"/>
          </w:tcPr>
          <w:p>
            <w:pPr>
              <w:jc w:val="center"/>
              <w:rPr>
                <w:rFonts w:ascii="Times New Roman" w:eastAsia="宋体" w:hAnsi="Times New Roman" w:cs="Times New Roman" w:hint="default"/>
                <w:b/>
                <w:bCs/>
                <w:color w:val="FF0000"/>
                <w:szCs w:val="21"/>
                <w:lang w:val="en-US" w:eastAsia="zh-CN"/>
              </w:rPr>
            </w:pPr>
            <w:r>
              <w:rPr>
                <w:rFonts w:ascii="Times New Roman" w:eastAsia="宋体" w:hAnsi="Times New Roman" w:cs="Times New Roman" w:hint="eastAsia"/>
                <w:b/>
                <w:bCs/>
                <w:color w:val="FF0000"/>
                <w:szCs w:val="21"/>
                <w:lang w:val="en-US" w:eastAsia="zh-CN"/>
              </w:rPr>
              <w:t>标的所属行业</w:t>
            </w:r>
          </w:p>
        </w:tc>
      </w:tr>
      <w:tr>
        <w:tblPrEx>
          <w:tblW w:w="4996" w:type="pct"/>
          <w:jc w:val="center"/>
          <w:tblCellMar>
            <w:top w:w="0" w:type="dxa"/>
            <w:left w:w="108" w:type="dxa"/>
            <w:bottom w:w="0" w:type="dxa"/>
            <w:right w:w="108" w:type="dxa"/>
          </w:tblCellMar>
        </w:tblPrEx>
        <w:trPr>
          <w:trHeight w:val="524"/>
          <w:jc w:val="center"/>
        </w:trPr>
        <w:tc>
          <w:tcPr>
            <w:tcW w:w="234"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1</w:t>
            </w:r>
          </w:p>
        </w:tc>
        <w:tc>
          <w:tcPr>
            <w:tcW w:w="626" w:type="pct"/>
            <w:vMerge w:val="restart"/>
            <w:vAlign w:val="center"/>
          </w:tcPr>
          <w:p>
            <w:pPr>
              <w:jc w:val="center"/>
              <w:rPr>
                <w:rFonts w:ascii="Times New Roman" w:eastAsia="宋体" w:hAnsi="Times New Roman" w:cs="Times New Roman"/>
                <w:bCs/>
                <w:szCs w:val="21"/>
              </w:rPr>
            </w:pPr>
            <w:r>
              <w:rPr>
                <w:rFonts w:ascii="Times New Roman" w:eastAsia="宋体" w:hAnsi="Times New Roman" w:cs="Times New Roman"/>
                <w:bCs/>
                <w:szCs w:val="21"/>
              </w:rPr>
              <w:t>PLAN-2025-440312000-021004-05986</w:t>
            </w:r>
          </w:p>
        </w:tc>
        <w:tc>
          <w:tcPr>
            <w:tcW w:w="938" w:type="pct"/>
            <w:vAlign w:val="center"/>
          </w:tcPr>
          <w:p>
            <w:pPr>
              <w:jc w:val="center"/>
              <w:rPr>
                <w:rFonts w:ascii="Times New Roman" w:eastAsia="宋体" w:hAnsi="Times New Roman" w:cs="Times New Roman" w:hint="eastAsia"/>
                <w:bCs/>
                <w:szCs w:val="21"/>
                <w:lang w:eastAsia="zh-CN"/>
              </w:rPr>
            </w:pPr>
            <w:r>
              <w:rPr>
                <w:rFonts w:ascii="Times New Roman" w:eastAsia="宋体" w:hAnsi="Times New Roman" w:cs="Times New Roman" w:hint="default"/>
                <w:bCs/>
                <w:szCs w:val="21"/>
                <w:lang w:val="en-US"/>
              </w:rPr>
              <w:t>双位联动磁场刺激仪</w:t>
            </w:r>
          </w:p>
        </w:tc>
        <w:tc>
          <w:tcPr>
            <w:tcW w:w="242" w:type="pct"/>
            <w:vAlign w:val="center"/>
          </w:tcPr>
          <w:p>
            <w:pPr>
              <w:jc w:val="center"/>
              <w:rPr>
                <w:rFonts w:ascii="Times New Roman" w:eastAsia="宋体" w:hAnsi="Times New Roman" w:cs="Times New Roman" w:hint="eastAsia"/>
                <w:bCs/>
                <w:szCs w:val="21"/>
                <w:lang w:eastAsia="zh-CN"/>
              </w:rPr>
            </w:pPr>
            <w:r>
              <w:rPr>
                <w:rFonts w:cs="Times New Roman" w:hint="eastAsia"/>
                <w:lang w:val="en-US" w:eastAsia="zh-CN"/>
              </w:rPr>
              <w:t>1</w:t>
            </w:r>
          </w:p>
        </w:tc>
        <w:tc>
          <w:tcPr>
            <w:tcW w:w="216"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台</w:t>
            </w:r>
          </w:p>
        </w:tc>
        <w:tc>
          <w:tcPr>
            <w:tcW w:w="661" w:type="pct"/>
            <w:vAlign w:val="center"/>
          </w:tcPr>
          <w:p>
            <w:pPr>
              <w:jc w:val="center"/>
              <w:rPr>
                <w:rFonts w:cs="Times New Roman" w:hint="default"/>
                <w:bCs/>
                <w:szCs w:val="21"/>
                <w:lang w:val="en-US" w:eastAsia="zh-CN"/>
              </w:rPr>
            </w:pPr>
            <w:r>
              <w:rPr>
                <w:rFonts w:cs="Times New Roman" w:hint="eastAsia"/>
                <w:bCs/>
                <w:szCs w:val="21"/>
                <w:lang w:val="en-US" w:eastAsia="zh-CN"/>
              </w:rPr>
              <w:t>594300</w:t>
            </w:r>
          </w:p>
        </w:tc>
        <w:tc>
          <w:tcPr>
            <w:tcW w:w="661" w:type="pct"/>
            <w:vAlign w:val="center"/>
          </w:tcPr>
          <w:p>
            <w:pPr>
              <w:jc w:val="center"/>
              <w:rPr>
                <w:rFonts w:ascii="Times New Roman" w:eastAsia="宋体" w:hAnsi="Times New Roman" w:cs="Times New Roman" w:hint="eastAsia"/>
                <w:bCs/>
                <w:szCs w:val="21"/>
              </w:rPr>
            </w:pPr>
            <w:r>
              <w:rPr>
                <w:rFonts w:ascii="Times New Roman" w:eastAsia="宋体" w:hAnsi="Times New Roman" w:cs="Times New Roman" w:hint="eastAsia"/>
                <w:bCs/>
                <w:szCs w:val="21"/>
              </w:rPr>
              <w:t>拒绝进口</w:t>
            </w:r>
          </w:p>
        </w:tc>
        <w:tc>
          <w:tcPr>
            <w:tcW w:w="664" w:type="pct"/>
            <w:vAlign w:val="center"/>
          </w:tcPr>
          <w:p>
            <w:pPr>
              <w:jc w:val="center"/>
              <w:rPr>
                <w:rFonts w:ascii="Times New Roman" w:eastAsia="宋体" w:hAnsi="Times New Roman" w:cs="Times New Roman" w:hint="default"/>
                <w:bCs/>
                <w:szCs w:val="21"/>
                <w:lang w:val="en-US" w:eastAsia="zh-CN"/>
              </w:rPr>
            </w:pPr>
            <w:r>
              <w:rPr>
                <w:rFonts w:cs="Times New Roman" w:hint="eastAsia"/>
                <w:bCs/>
                <w:szCs w:val="21"/>
                <w:lang w:val="en-US" w:eastAsia="zh-CN"/>
              </w:rPr>
              <w:t>是</w:t>
            </w:r>
          </w:p>
        </w:tc>
        <w:tc>
          <w:tcPr>
            <w:tcW w:w="754" w:type="pct"/>
            <w:vAlign w:val="center"/>
          </w:tcPr>
          <w:p>
            <w:pPr>
              <w:jc w:val="center"/>
              <w:rPr>
                <w:rFonts w:ascii="Times New Roman" w:eastAsia="宋体" w:hAnsi="Times New Roman" w:cs="Times New Roman" w:hint="eastAsia"/>
                <w:bCs/>
                <w:szCs w:val="21"/>
                <w:lang w:val="en-US" w:eastAsia="zh-CN"/>
              </w:rPr>
            </w:pPr>
            <w:r>
              <w:rPr>
                <w:rFonts w:ascii="Times New Roman" w:eastAsia="宋体" w:hAnsi="Times New Roman" w:cs="Times New Roman" w:hint="eastAsia"/>
                <w:bCs/>
                <w:szCs w:val="21"/>
                <w:lang w:val="en-US" w:eastAsia="zh-CN"/>
              </w:rPr>
              <w:t>工业</w:t>
            </w:r>
          </w:p>
        </w:tc>
      </w:tr>
      <w:tr>
        <w:tblPrEx>
          <w:tblW w:w="4996" w:type="pct"/>
          <w:jc w:val="center"/>
          <w:tblCellMar>
            <w:top w:w="0" w:type="dxa"/>
            <w:left w:w="108" w:type="dxa"/>
            <w:bottom w:w="0" w:type="dxa"/>
            <w:right w:w="108" w:type="dxa"/>
          </w:tblCellMar>
        </w:tblPrEx>
        <w:trPr>
          <w:trHeight w:val="524"/>
          <w:jc w:val="center"/>
        </w:trPr>
        <w:tc>
          <w:tcPr>
            <w:tcW w:w="234"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2</w:t>
            </w:r>
          </w:p>
        </w:tc>
        <w:tc>
          <w:tcPr>
            <w:tcW w:w="626" w:type="pct"/>
            <w:vMerge/>
            <w:vAlign w:val="center"/>
          </w:tcPr>
          <w:p>
            <w:pPr>
              <w:jc w:val="center"/>
              <w:rPr>
                <w:rFonts w:ascii="Times New Roman" w:eastAsia="宋体" w:hAnsi="Times New Roman" w:cs="Times New Roman" w:hint="eastAsia"/>
                <w:bCs/>
                <w:szCs w:val="21"/>
              </w:rPr>
            </w:pPr>
          </w:p>
        </w:tc>
        <w:tc>
          <w:tcPr>
            <w:tcW w:w="938" w:type="pct"/>
            <w:vAlign w:val="center"/>
          </w:tcPr>
          <w:p>
            <w:pPr>
              <w:jc w:val="center"/>
              <w:rPr>
                <w:rFonts w:ascii="Times New Roman" w:eastAsia="宋体" w:hAnsi="Times New Roman" w:cs="Times New Roman" w:hint="default"/>
                <w:bCs/>
                <w:szCs w:val="21"/>
                <w:lang w:val="en-US"/>
              </w:rPr>
            </w:pPr>
            <w:r>
              <w:rPr>
                <w:rFonts w:ascii="Times New Roman" w:eastAsia="宋体" w:hAnsi="Times New Roman" w:cs="Times New Roman" w:hint="default"/>
                <w:bCs/>
                <w:szCs w:val="21"/>
                <w:lang w:val="en-US"/>
              </w:rPr>
              <w:t>压电式冲击波治疗仪</w:t>
            </w:r>
          </w:p>
        </w:tc>
        <w:tc>
          <w:tcPr>
            <w:tcW w:w="242" w:type="pct"/>
            <w:vAlign w:val="center"/>
          </w:tcPr>
          <w:p>
            <w:pPr>
              <w:jc w:val="center"/>
              <w:rPr>
                <w:rFonts w:cs="Times New Roman" w:hint="default"/>
                <w:lang w:val="en-US" w:eastAsia="zh-CN"/>
              </w:rPr>
            </w:pPr>
            <w:r>
              <w:rPr>
                <w:rFonts w:cs="Times New Roman" w:hint="eastAsia"/>
                <w:lang w:val="en-US" w:eastAsia="zh-CN"/>
              </w:rPr>
              <w:t>1</w:t>
            </w:r>
          </w:p>
        </w:tc>
        <w:tc>
          <w:tcPr>
            <w:tcW w:w="216" w:type="pct"/>
            <w:vAlign w:val="center"/>
          </w:tcPr>
          <w:p>
            <w:pPr>
              <w:jc w:val="center"/>
              <w:rPr>
                <w:rFonts w:cs="Times New Roman" w:hint="default"/>
                <w:bCs/>
                <w:szCs w:val="21"/>
                <w:lang w:val="en-US" w:eastAsia="zh-CN"/>
              </w:rPr>
            </w:pPr>
            <w:r>
              <w:rPr>
                <w:rFonts w:cs="Times New Roman" w:hint="eastAsia"/>
                <w:bCs/>
                <w:szCs w:val="21"/>
                <w:lang w:val="en-US" w:eastAsia="zh-CN"/>
              </w:rPr>
              <w:t>台</w:t>
            </w:r>
          </w:p>
        </w:tc>
        <w:tc>
          <w:tcPr>
            <w:tcW w:w="661" w:type="pct"/>
            <w:vAlign w:val="center"/>
          </w:tcPr>
          <w:p>
            <w:pPr>
              <w:jc w:val="center"/>
              <w:rPr>
                <w:rFonts w:cs="Times New Roman" w:hint="default"/>
                <w:bCs/>
                <w:szCs w:val="21"/>
                <w:lang w:val="en-US" w:eastAsia="zh-CN"/>
              </w:rPr>
            </w:pPr>
            <w:r>
              <w:rPr>
                <w:rFonts w:cs="Times New Roman" w:hint="eastAsia"/>
                <w:bCs/>
                <w:szCs w:val="21"/>
                <w:lang w:val="en-US" w:eastAsia="zh-CN"/>
              </w:rPr>
              <w:t>333600</w:t>
            </w:r>
          </w:p>
        </w:tc>
        <w:tc>
          <w:tcPr>
            <w:tcW w:w="661" w:type="pct"/>
            <w:vAlign w:val="center"/>
          </w:tcPr>
          <w:p>
            <w:pPr>
              <w:jc w:val="center"/>
              <w:rPr>
                <w:rFonts w:ascii="Times New Roman" w:eastAsia="宋体" w:hAnsi="Times New Roman" w:cs="Times New Roman" w:hint="eastAsia"/>
                <w:bCs/>
                <w:szCs w:val="21"/>
              </w:rPr>
            </w:pPr>
            <w:r>
              <w:rPr>
                <w:rFonts w:ascii="Times New Roman" w:eastAsia="宋体" w:hAnsi="Times New Roman" w:cs="Times New Roman" w:hint="eastAsia"/>
                <w:bCs/>
                <w:szCs w:val="21"/>
              </w:rPr>
              <w:t>拒绝进口</w:t>
            </w:r>
          </w:p>
        </w:tc>
        <w:tc>
          <w:tcPr>
            <w:tcW w:w="664"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是</w:t>
            </w:r>
          </w:p>
        </w:tc>
        <w:tc>
          <w:tcPr>
            <w:tcW w:w="754" w:type="pct"/>
            <w:vAlign w:val="center"/>
          </w:tcPr>
          <w:p>
            <w:pPr>
              <w:jc w:val="center"/>
              <w:rPr>
                <w:rFonts w:ascii="Times New Roman" w:eastAsia="宋体" w:hAnsi="Times New Roman" w:cs="Times New Roman" w:hint="eastAsia"/>
                <w:bCs/>
                <w:szCs w:val="21"/>
                <w:lang w:val="en-US" w:eastAsia="zh-CN"/>
              </w:rPr>
            </w:pPr>
            <w:r>
              <w:rPr>
                <w:rFonts w:ascii="Times New Roman" w:eastAsia="宋体" w:hAnsi="Times New Roman" w:cs="Times New Roman" w:hint="eastAsia"/>
                <w:bCs/>
                <w:szCs w:val="21"/>
                <w:lang w:val="en-US" w:eastAsia="zh-CN"/>
              </w:rPr>
              <w:t>工业</w:t>
            </w:r>
          </w:p>
        </w:tc>
      </w:tr>
      <w:tr>
        <w:tblPrEx>
          <w:tblW w:w="4996" w:type="pct"/>
          <w:jc w:val="center"/>
          <w:tblCellMar>
            <w:top w:w="0" w:type="dxa"/>
            <w:left w:w="108" w:type="dxa"/>
            <w:bottom w:w="0" w:type="dxa"/>
            <w:right w:w="108" w:type="dxa"/>
          </w:tblCellMar>
        </w:tblPrEx>
        <w:trPr>
          <w:trHeight w:val="524"/>
          <w:jc w:val="center"/>
        </w:trPr>
        <w:tc>
          <w:tcPr>
            <w:tcW w:w="234"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3</w:t>
            </w:r>
          </w:p>
        </w:tc>
        <w:tc>
          <w:tcPr>
            <w:tcW w:w="626" w:type="pct"/>
            <w:vMerge/>
            <w:vAlign w:val="center"/>
          </w:tcPr>
          <w:p>
            <w:pPr>
              <w:jc w:val="center"/>
              <w:rPr>
                <w:rFonts w:ascii="Times New Roman" w:eastAsia="宋体" w:hAnsi="Times New Roman" w:cs="Times New Roman" w:hint="eastAsia"/>
                <w:bCs/>
                <w:szCs w:val="21"/>
              </w:rPr>
            </w:pPr>
          </w:p>
        </w:tc>
        <w:tc>
          <w:tcPr>
            <w:tcW w:w="938" w:type="pct"/>
            <w:vAlign w:val="center"/>
          </w:tcPr>
          <w:p>
            <w:pPr>
              <w:jc w:val="center"/>
              <w:rPr>
                <w:rFonts w:ascii="Times New Roman" w:eastAsia="宋体" w:hAnsi="Times New Roman" w:cs="Times New Roman" w:hint="default"/>
                <w:bCs/>
                <w:szCs w:val="21"/>
                <w:lang w:val="en-US"/>
              </w:rPr>
            </w:pPr>
            <w:bookmarkStart w:id="41" w:name="OLE_LINK2"/>
            <w:r>
              <w:rPr>
                <w:rFonts w:ascii="Times New Roman" w:eastAsia="宋体" w:hAnsi="Times New Roman" w:cs="Times New Roman" w:hint="default"/>
                <w:bCs/>
                <w:szCs w:val="21"/>
                <w:lang w:val="en-US"/>
              </w:rPr>
              <w:t>生物刺激反馈仪</w:t>
            </w:r>
            <w:bookmarkEnd w:id="41"/>
          </w:p>
        </w:tc>
        <w:tc>
          <w:tcPr>
            <w:tcW w:w="242" w:type="pct"/>
            <w:vAlign w:val="center"/>
          </w:tcPr>
          <w:p>
            <w:pPr>
              <w:jc w:val="center"/>
              <w:rPr>
                <w:rFonts w:cs="Times New Roman" w:hint="default"/>
                <w:lang w:val="en-US" w:eastAsia="zh-CN"/>
              </w:rPr>
            </w:pPr>
            <w:r>
              <w:rPr>
                <w:rFonts w:cs="Times New Roman" w:hint="eastAsia"/>
                <w:lang w:val="en-US" w:eastAsia="zh-CN"/>
              </w:rPr>
              <w:t>2</w:t>
            </w:r>
          </w:p>
        </w:tc>
        <w:tc>
          <w:tcPr>
            <w:tcW w:w="216" w:type="pct"/>
            <w:vAlign w:val="center"/>
          </w:tcPr>
          <w:p>
            <w:pPr>
              <w:jc w:val="center"/>
              <w:rPr>
                <w:rFonts w:cs="Times New Roman" w:hint="default"/>
                <w:bCs/>
                <w:szCs w:val="21"/>
                <w:lang w:val="en-US" w:eastAsia="zh-CN"/>
              </w:rPr>
            </w:pPr>
            <w:r>
              <w:rPr>
                <w:rFonts w:cs="Times New Roman" w:hint="eastAsia"/>
                <w:bCs/>
                <w:szCs w:val="21"/>
                <w:lang w:val="en-US" w:eastAsia="zh-CN"/>
              </w:rPr>
              <w:t>台</w:t>
            </w:r>
          </w:p>
        </w:tc>
        <w:tc>
          <w:tcPr>
            <w:tcW w:w="661" w:type="pct"/>
            <w:vAlign w:val="center"/>
          </w:tcPr>
          <w:p>
            <w:pPr>
              <w:jc w:val="center"/>
              <w:rPr>
                <w:rFonts w:cs="Times New Roman" w:hint="default"/>
                <w:bCs/>
                <w:szCs w:val="21"/>
                <w:lang w:val="en-US" w:eastAsia="zh-CN"/>
              </w:rPr>
            </w:pPr>
            <w:r>
              <w:rPr>
                <w:rFonts w:cs="Times New Roman" w:hint="eastAsia"/>
                <w:bCs/>
                <w:szCs w:val="21"/>
                <w:lang w:val="en-US" w:eastAsia="zh-CN"/>
              </w:rPr>
              <w:t>81300</w:t>
            </w:r>
          </w:p>
        </w:tc>
        <w:tc>
          <w:tcPr>
            <w:tcW w:w="661" w:type="pct"/>
            <w:vAlign w:val="center"/>
          </w:tcPr>
          <w:p>
            <w:pPr>
              <w:jc w:val="center"/>
              <w:rPr>
                <w:rFonts w:ascii="Times New Roman" w:eastAsia="宋体" w:hAnsi="Times New Roman" w:cs="Times New Roman" w:hint="eastAsia"/>
                <w:bCs/>
                <w:szCs w:val="21"/>
              </w:rPr>
            </w:pPr>
            <w:r>
              <w:rPr>
                <w:rFonts w:ascii="Times New Roman" w:eastAsia="宋体" w:hAnsi="Times New Roman" w:cs="Times New Roman" w:hint="eastAsia"/>
                <w:bCs/>
                <w:szCs w:val="21"/>
              </w:rPr>
              <w:t>拒绝进口</w:t>
            </w:r>
          </w:p>
        </w:tc>
        <w:tc>
          <w:tcPr>
            <w:tcW w:w="664"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是</w:t>
            </w:r>
          </w:p>
        </w:tc>
        <w:tc>
          <w:tcPr>
            <w:tcW w:w="754" w:type="pct"/>
            <w:vAlign w:val="center"/>
          </w:tcPr>
          <w:p>
            <w:pPr>
              <w:jc w:val="center"/>
              <w:rPr>
                <w:rFonts w:ascii="Times New Roman" w:eastAsia="宋体" w:hAnsi="Times New Roman" w:cs="Times New Roman" w:hint="eastAsia"/>
                <w:bCs/>
                <w:szCs w:val="21"/>
                <w:lang w:val="en-US" w:eastAsia="zh-CN"/>
              </w:rPr>
            </w:pPr>
            <w:r>
              <w:rPr>
                <w:rFonts w:ascii="Times New Roman" w:eastAsia="宋体" w:hAnsi="Times New Roman" w:cs="Times New Roman" w:hint="eastAsia"/>
                <w:bCs/>
                <w:szCs w:val="21"/>
                <w:lang w:val="en-US" w:eastAsia="zh-CN"/>
              </w:rPr>
              <w:t>工业</w:t>
            </w:r>
          </w:p>
        </w:tc>
      </w:tr>
    </w:tbl>
    <w:p>
      <w:pPr>
        <w:ind w:firstLine="420" w:firstLineChars="200"/>
        <w:rPr>
          <w:rFonts w:ascii="宋体" w:eastAsia="宋体" w:hAnsi="宋体" w:cs="Times New Roman"/>
          <w:b/>
          <w:color w:val="FF0000"/>
          <w:szCs w:val="21"/>
        </w:rPr>
      </w:pPr>
      <w:r>
        <w:rPr>
          <w:rFonts w:ascii="宋体" w:eastAsia="宋体" w:hAnsi="宋体" w:cs="Times New Roman" w:hint="eastAsia"/>
          <w:b/>
          <w:color w:val="FF0000"/>
          <w:szCs w:val="21"/>
        </w:rPr>
        <w:t>备注：1.</w:t>
      </w:r>
      <w:r>
        <w:rPr>
          <w:rFonts w:ascii="宋体" w:eastAsia="宋体" w:hAnsi="宋体" w:cs="Times New Roman" w:hint="eastAsia"/>
          <w:b/>
          <w:color w:val="FF0000"/>
          <w:szCs w:val="21"/>
          <w:lang w:eastAsia="zh-CN"/>
        </w:rPr>
        <w:t>“是否接受进口”</w:t>
      </w:r>
      <w:r>
        <w:rPr>
          <w:rFonts w:ascii="宋体" w:eastAsia="宋体" w:hAnsi="宋体" w:cs="Times New Roman" w:hint="eastAsia"/>
          <w:b/>
          <w:color w:val="FF0000"/>
          <w:szCs w:val="21"/>
        </w:rPr>
        <w:t>栏注明“拒绝进口”的产品不接受投标人选用进口产品参与投标；注明“接受进口”的产品允许投标人选用进口产品参与投标，但不排斥国内产品。</w:t>
      </w:r>
    </w:p>
    <w:p>
      <w:pPr>
        <w:ind w:firstLine="420" w:firstLineChars="200"/>
        <w:rPr>
          <w:rFonts w:ascii="宋体" w:eastAsia="宋体" w:hAnsi="宋体" w:cs="Times New Roman"/>
          <w:b/>
          <w:color w:val="FF0000"/>
          <w:szCs w:val="21"/>
        </w:rPr>
      </w:pPr>
      <w:r>
        <w:rPr>
          <w:rFonts w:ascii="宋体" w:eastAsia="宋体" w:hAnsi="宋体" w:cs="Times New Roman" w:hint="eastAsia"/>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200"/>
        <w:rPr>
          <w:rFonts w:ascii="宋体" w:eastAsia="宋体" w:hAnsi="宋体" w:cs="Times New Roman"/>
          <w:b/>
          <w:color w:val="FF0000"/>
          <w:szCs w:val="21"/>
        </w:rPr>
      </w:pPr>
      <w:r>
        <w:rPr>
          <w:rFonts w:ascii="宋体" w:eastAsia="宋体" w:hAnsi="宋体" w:cs="Times New Roman" w:hint="eastAsia"/>
          <w:b/>
          <w:color w:val="FF0000"/>
          <w:szCs w:val="21"/>
        </w:rPr>
        <w:t>3、本项目核心产品为：</w:t>
      </w:r>
      <w:r>
        <w:rPr>
          <w:rFonts w:ascii="宋体" w:eastAsia="宋体" w:hAnsi="宋体" w:cs="Times New Roman" w:hint="eastAsia"/>
          <w:b/>
          <w:color w:val="FF0000"/>
          <w:szCs w:val="21"/>
          <w:u w:val="single"/>
        </w:rPr>
        <w:t xml:space="preserve"> </w:t>
      </w:r>
      <w:r>
        <w:rPr>
          <w:rFonts w:ascii="Times New Roman" w:eastAsia="宋体" w:hAnsi="Times New Roman" w:cs="Times New Roman" w:hint="default"/>
          <w:b/>
          <w:bCs w:val="0"/>
          <w:color w:val="FF0000"/>
          <w:szCs w:val="21"/>
          <w:u w:val="single"/>
          <w:lang w:val="en-US"/>
        </w:rPr>
        <w:t>双位联动磁场刺激仪</w:t>
      </w:r>
      <w:r>
        <w:rPr>
          <w:rFonts w:ascii="宋体" w:eastAsia="宋体" w:hAnsi="宋体" w:cs="Times New Roman" w:hint="eastAsia"/>
          <w:b/>
          <w:color w:val="FF0000"/>
          <w:szCs w:val="21"/>
          <w:u w:val="single"/>
        </w:rPr>
        <w:t xml:space="preserve">   </w:t>
      </w:r>
      <w:r>
        <w:rPr>
          <w:rFonts w:ascii="宋体" w:eastAsia="宋体" w:hAnsi="宋体" w:cs="Times New Roman" w:hint="eastAsia"/>
          <w:b/>
          <w:color w:val="FF0000"/>
          <w:szCs w:val="21"/>
        </w:rPr>
        <w:t>。</w:t>
      </w:r>
    </w:p>
    <w:p>
      <w:pPr>
        <w:rPr>
          <w:rFonts w:ascii="宋体" w:eastAsia="宋体" w:hAnsi="宋体" w:cs="Times New Roman"/>
          <w:b/>
          <w:color w:val="FF0000"/>
          <w:szCs w:val="21"/>
        </w:rPr>
      </w:pPr>
      <w:bookmarkEnd w:id="39"/>
    </w:p>
    <w:p>
      <w:pPr>
        <w:widowControl w:val="0"/>
        <w:spacing w:line="360" w:lineRule="auto"/>
        <w:jc w:val="both"/>
        <w:rPr>
          <w:rFonts w:ascii="Times New Roman" w:eastAsia="宋体" w:hAnsi="Times New Roman" w:cs="Times New Roman"/>
          <w:b/>
          <w:bCs/>
          <w:kern w:val="2"/>
          <w:sz w:val="24"/>
          <w:szCs w:val="24"/>
          <w:lang w:val="en-US" w:eastAsia="zh-CN" w:bidi="ar-SA"/>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8"/>
          <w:szCs w:val="28"/>
          <w:lang w:val="en-US" w:eastAsia="zh-CN" w:bidi="ar-SA"/>
        </w:rPr>
      </w:pPr>
      <w:bookmarkStart w:id="42" w:name="_Toc128884461"/>
      <w:r>
        <w:rPr>
          <w:rFonts w:ascii="宋体" w:eastAsia="宋体" w:hAnsi="宋体" w:cs="Times New Roman" w:hint="eastAsia"/>
          <w:b/>
          <w:bCs/>
          <w:kern w:val="0"/>
          <w:sz w:val="28"/>
          <w:szCs w:val="28"/>
          <w:lang w:val="en-US" w:eastAsia="zh-CN" w:bidi="ar-SA"/>
        </w:rPr>
        <w:t>三、实质性条款</w:t>
      </w:r>
    </w:p>
    <w:tbl>
      <w:tblPr>
        <w:tblStyle w:val="TableNormal"/>
        <w:tblW w:w="81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
        <w:gridCol w:w="7282"/>
      </w:tblGrid>
      <w:tr>
        <w:tblPrEx>
          <w:tblW w:w="81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序号</w:t>
            </w:r>
          </w:p>
        </w:tc>
        <w:tc>
          <w:tcPr>
            <w:tcW w:w="7282" w:type="dxa"/>
            <w:vAlign w:val="center"/>
          </w:tcPr>
          <w:p>
            <w:pPr>
              <w:adjustRightInd w:val="0"/>
              <w:snapToGrid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实质性条款具体内容</w:t>
            </w:r>
          </w:p>
        </w:tc>
      </w:tr>
      <w:tr>
        <w:tblPrEx>
          <w:tblW w:w="8188" w:type="dxa"/>
          <w:tblInd w:w="0" w:type="dxa"/>
          <w:tblLayout w:type="fixed"/>
          <w:tblCellMar>
            <w:top w:w="0" w:type="dxa"/>
            <w:left w:w="108" w:type="dxa"/>
            <w:bottom w:w="0" w:type="dxa"/>
            <w:right w:w="108" w:type="dxa"/>
          </w:tblCellMar>
        </w:tblPrEx>
        <w:trPr>
          <w:trHeight w:val="90"/>
        </w:trPr>
        <w:tc>
          <w:tcPr>
            <w:tcW w:w="906" w:type="dxa"/>
            <w:vAlign w:val="center"/>
          </w:tcPr>
          <w:p>
            <w:pPr>
              <w:adjustRightInd w:val="0"/>
              <w:snapToGrid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7282" w:type="dxa"/>
            <w:vAlign w:val="center"/>
          </w:tcPr>
          <w:p>
            <w:pPr>
              <w:adjustRightInd w:val="0"/>
              <w:snapToGrid w:val="0"/>
              <w:spacing w:line="360" w:lineRule="auto"/>
              <w:jc w:val="both"/>
              <w:rPr>
                <w:rFonts w:ascii="Times New Roman" w:eastAsia="宋体" w:hAnsi="宋体" w:cs="Times New Roman"/>
                <w:kern w:val="0"/>
                <w:szCs w:val="21"/>
              </w:rPr>
            </w:pPr>
            <w:r>
              <w:rPr>
                <w:rFonts w:ascii="宋体" w:eastAsia="宋体" w:hAnsi="宋体" w:cs="Times New Roman" w:hint="eastAsia"/>
                <w:kern w:val="0"/>
                <w:szCs w:val="21"/>
              </w:rPr>
              <w:t>具体以采购文件第三章 用户需求书中带“★”的需求项为准。</w:t>
            </w:r>
          </w:p>
        </w:tc>
      </w:tr>
    </w:tbl>
    <w:p>
      <w:pPr>
        <w:rPr>
          <w:rFonts w:ascii="Times New Roman" w:eastAsia="宋体" w:hAnsi="Times New Roman" w:cs="Times New Roman"/>
          <w:b/>
        </w:rPr>
      </w:pPr>
      <w:r>
        <w:rPr>
          <w:rFonts w:ascii="Times New Roman" w:eastAsia="宋体" w:hAnsi="Times New Roman" w:cs="Times New Roman" w:hint="eastAsia"/>
          <w:b/>
        </w:rPr>
        <w:t>注：上表所列内容为不可负偏离条款</w:t>
      </w:r>
      <w:bookmarkEnd w:id="42"/>
      <w:r>
        <w:rPr>
          <w:rFonts w:ascii="Times New Roman" w:eastAsia="宋体" w:hAnsi="Times New Roman" w:cs="Times New Roman" w:hint="eastAsia"/>
          <w:b/>
        </w:rPr>
        <w:t>，负偏离将视为未实质性满足招标文件要求作投标无效处理。</w:t>
      </w:r>
    </w:p>
    <w:p>
      <w:pPr>
        <w:rPr>
          <w:rFonts w:ascii="Times New Roman" w:eastAsia="宋体" w:hAnsi="Times New Roman" w:cs="Times New Roman"/>
          <w:b/>
          <w:szCs w:val="21"/>
        </w:rPr>
      </w:pPr>
    </w:p>
    <w:p>
      <w:pPr>
        <w:widowControl w:val="0"/>
        <w:spacing w:line="360" w:lineRule="auto"/>
        <w:jc w:val="both"/>
        <w:rPr>
          <w:rFonts w:ascii="Times New Roman" w:eastAsia="宋体" w:hAnsi="Times New Roman" w:cs="Times New Roman"/>
          <w:b/>
          <w:bCs/>
          <w:kern w:val="2"/>
          <w:sz w:val="24"/>
          <w:szCs w:val="24"/>
          <w:lang w:val="en-US" w:eastAsia="zh-CN" w:bidi="ar-SA"/>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8"/>
          <w:szCs w:val="28"/>
          <w:lang w:val="en-US" w:eastAsia="zh-CN" w:bidi="ar-SA"/>
        </w:rPr>
      </w:pPr>
      <w:r>
        <w:rPr>
          <w:rFonts w:ascii="宋体" w:eastAsia="宋体" w:hAnsi="宋体" w:cs="Times New Roman" w:hint="eastAsia"/>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b/>
        </w:rPr>
      </w:pPr>
      <w:r>
        <w:rPr>
          <w:rFonts w:ascii="Times New Roman" w:eastAsia="宋体" w:hAnsi="Times New Roman" w:cs="Times New Roman" w:hint="eastAsia"/>
          <w:b/>
          <w:szCs w:val="21"/>
        </w:rPr>
        <w:t>说明：</w:t>
      </w:r>
      <w:r>
        <w:rPr>
          <w:rFonts w:ascii="Times New Roman" w:eastAsia="宋体" w:hAnsi="Times New Roman" w:cs="Times New Roman"/>
          <w:b/>
          <w:szCs w:val="21"/>
        </w:rPr>
        <w:t xml:space="preserve"> </w:t>
      </w:r>
      <w:r>
        <w:rPr>
          <w:rFonts w:ascii="Times New Roman" w:eastAsia="宋体" w:hAnsi="Times New Roman" w:cs="Times New Roman"/>
          <w:b/>
        </w:rPr>
        <w:t>1</w:t>
      </w:r>
      <w:r>
        <w:rPr>
          <w:rFonts w:ascii="Times New Roman" w:eastAsia="宋体" w:hAnsi="Times New Roman" w:cs="Times New Roman" w:hint="eastAsia"/>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b/>
          <w:szCs w:val="21"/>
        </w:rPr>
      </w:pPr>
      <w:r>
        <w:rPr>
          <w:rFonts w:ascii="Times New Roman" w:eastAsia="宋体" w:hAnsi="Times New Roman" w:cs="Times New Roman"/>
          <w:b/>
          <w:szCs w:val="21"/>
        </w:rPr>
        <w:t>2</w:t>
      </w:r>
      <w:r>
        <w:rPr>
          <w:rFonts w:ascii="Times New Roman" w:eastAsia="宋体" w:hAnsi="Times New Roman" w:cs="Times New Roman" w:hint="eastAsia"/>
          <w:b/>
          <w:szCs w:val="21"/>
        </w:rPr>
        <w:t>、带★号条款为不可</w:t>
      </w:r>
      <w:r>
        <w:rPr>
          <w:rFonts w:ascii="Times New Roman" w:eastAsia="宋体" w:hAnsi="Times New Roman" w:cs="Times New Roman" w:hint="eastAsia"/>
          <w:b/>
          <w:szCs w:val="21"/>
          <w:lang w:val="en-US" w:eastAsia="zh-CN"/>
        </w:rPr>
        <w:t>负</w:t>
      </w:r>
      <w:r>
        <w:rPr>
          <w:rFonts w:ascii="Times New Roman" w:eastAsia="宋体" w:hAnsi="Times New Roman" w:cs="Times New Roman" w:hint="eastAsia"/>
          <w:b/>
          <w:szCs w:val="21"/>
        </w:rPr>
        <w:t>偏离条款，不作为评分准则中的评分内容</w:t>
      </w:r>
      <w:r>
        <w:rPr>
          <w:rFonts w:ascii="Times New Roman" w:eastAsia="宋体" w:hAnsi="Times New Roman" w:cs="Times New Roman" w:hint="eastAsia"/>
          <w:b/>
          <w:szCs w:val="21"/>
          <w:lang w:eastAsia="zh-CN"/>
        </w:rPr>
        <w:t>，</w:t>
      </w:r>
      <w:r>
        <w:rPr>
          <w:rFonts w:ascii="Times New Roman" w:eastAsia="宋体" w:hAnsi="Times New Roman" w:cs="Times New Roman" w:hint="eastAsia"/>
          <w:b/>
          <w:szCs w:val="21"/>
        </w:rPr>
        <w:t>如未响应或出现负偏离的，将作投标无效处理；带“</w:t>
      </w:r>
      <w:r>
        <w:rPr>
          <w:rFonts w:ascii="Times New Roman" w:eastAsia="宋体" w:hAnsi="Times New Roman" w:cs="Times New Roman"/>
        </w:rPr>
        <w:t>▲</w:t>
      </w:r>
      <w:r>
        <w:rPr>
          <w:rFonts w:ascii="Times New Roman" w:eastAsia="宋体" w:hAnsi="Times New Roman" w:cs="Times New Roman" w:hint="eastAsia"/>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hint="eastAsia"/>
          <w:b/>
          <w:szCs w:val="21"/>
        </w:rPr>
      </w:pPr>
      <w:r>
        <w:rPr>
          <w:rFonts w:ascii="Times New Roman" w:eastAsia="宋体" w:hAnsi="Times New Roman" w:cs="Times New Roman"/>
          <w:b/>
          <w:szCs w:val="21"/>
        </w:rPr>
        <w:t>3</w:t>
      </w:r>
      <w:r>
        <w:rPr>
          <w:rFonts w:ascii="Times New Roman" w:eastAsia="宋体" w:hAnsi="Times New Roman" w:cs="Times New Roman" w:hint="eastAsia"/>
          <w:b/>
          <w:szCs w:val="21"/>
        </w:rPr>
        <w:t>、</w:t>
      </w:r>
      <w:bookmarkStart w:id="43" w:name="_Hlk72585069"/>
      <w:r>
        <w:rPr>
          <w:rFonts w:ascii="Times New Roman" w:eastAsia="宋体" w:hAnsi="Times New Roman" w:cs="Times New Roman" w:hint="eastAsia"/>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hint="eastAsia"/>
          <w:b/>
          <w:szCs w:val="21"/>
        </w:rPr>
      </w:pPr>
      <w:r>
        <w:rPr>
          <w:rFonts w:ascii="Times New Roman" w:eastAsia="宋体" w:hAnsi="Times New Roman" w:cs="Times New Roman" w:hint="eastAsia"/>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hint="eastAsia"/>
          <w:b/>
          <w:szCs w:val="21"/>
        </w:rPr>
      </w:pPr>
      <w:r>
        <w:rPr>
          <w:rFonts w:ascii="Times New Roman" w:eastAsia="宋体" w:hAnsi="Times New Roman" w:cs="Times New Roman" w:hint="eastAsia"/>
          <w:b/>
          <w:szCs w:val="21"/>
        </w:rPr>
        <w:t>（1）涉及相关既定值的，例：招标技术参数要求值为“20L”，投标技术参数响应值与“20L”不一致的，均视为负偏离；</w:t>
      </w:r>
    </w:p>
    <w:p>
      <w:pPr>
        <w:widowControl w:val="0"/>
        <w:ind w:firstLine="420"/>
        <w:jc w:val="both"/>
        <w:rPr>
          <w:rFonts w:ascii="Times New Roman" w:eastAsia="宋体" w:hAnsi="Times New Roman" w:cs="Times New Roman" w:hint="eastAsia"/>
          <w:kern w:val="2"/>
          <w:sz w:val="21"/>
          <w:szCs w:val="20"/>
          <w:lang w:val="en-US" w:eastAsia="zh-CN" w:bidi="ar-SA"/>
        </w:rPr>
      </w:pPr>
      <w:r>
        <w:rPr>
          <w:rFonts w:ascii="Times New Roman" w:eastAsia="宋体" w:hAnsi="Times New Roman" w:cs="Times New Roman" w:hint="eastAsia"/>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cs="Times New Roman" w:hint="eastAsia"/>
          <w:kern w:val="2"/>
          <w:sz w:val="21"/>
          <w:szCs w:val="20"/>
          <w:lang w:val="en-US" w:eastAsia="zh-CN" w:bidi="ar-SA"/>
        </w:rPr>
        <w:t>7</w:t>
      </w:r>
      <w:r>
        <w:rPr>
          <w:rFonts w:ascii="Times New Roman" w:eastAsia="宋体" w:hAnsi="Times New Roman" w:cs="Times New Roman" w:hint="eastAsia"/>
          <w:kern w:val="2"/>
          <w:sz w:val="21"/>
          <w:szCs w:val="20"/>
          <w:lang w:val="en-US" w:eastAsia="zh-CN" w:bidi="ar-SA"/>
        </w:rPr>
        <w:t>”或“＞</w:t>
      </w:r>
      <w:r>
        <w:rPr>
          <w:rFonts w:cs="Times New Roman" w:hint="eastAsia"/>
          <w:kern w:val="2"/>
          <w:sz w:val="21"/>
          <w:szCs w:val="20"/>
          <w:lang w:val="en-US" w:eastAsia="zh-CN" w:bidi="ar-SA"/>
        </w:rPr>
        <w:t>7</w:t>
      </w:r>
      <w:r>
        <w:rPr>
          <w:rFonts w:ascii="Times New Roman" w:eastAsia="宋体" w:hAnsi="Times New Roman" w:cs="Times New Roman" w:hint="eastAsia"/>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ascii="Times New Roman" w:eastAsia="宋体" w:hAnsi="Times New Roman" w:cs="Times New Roman" w:hint="eastAsia"/>
          <w:kern w:val="2"/>
          <w:sz w:val="21"/>
          <w:szCs w:val="20"/>
          <w:lang w:val="en-US" w:eastAsia="zh-CN" w:bidi="ar-SA"/>
        </w:rPr>
      </w:pPr>
      <w:r>
        <w:rPr>
          <w:rFonts w:ascii="Times New Roman" w:eastAsia="宋体" w:hAnsi="Times New Roman" w:cs="Times New Roman" w:hint="eastAsia"/>
          <w:kern w:val="2"/>
          <w:sz w:val="21"/>
          <w:szCs w:val="20"/>
          <w:lang w:val="en-US" w:eastAsia="zh-CN" w:bidi="ar-SA"/>
        </w:rPr>
        <w:t>（3）涉及相关区间范围值的，</w:t>
      </w:r>
      <w:r>
        <w:rPr>
          <w:rFonts w:ascii="Times New Roman" w:eastAsia="宋体" w:hAnsi="Times New Roman" w:cs="Times New Roman" w:hint="eastAsia"/>
          <w:b/>
          <w:kern w:val="2"/>
          <w:sz w:val="21"/>
          <w:szCs w:val="21"/>
          <w:lang w:val="en-US" w:eastAsia="zh-CN" w:bidi="ar-SA"/>
        </w:rPr>
        <w:t>除特别注明以外，均包含首尾两端本数。</w:t>
      </w:r>
      <w:r>
        <w:rPr>
          <w:rFonts w:ascii="Times New Roman" w:eastAsia="宋体" w:hAnsi="Times New Roman" w:cs="Times New Roman" w:hint="eastAsia"/>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Times New Roman" w:eastAsia="宋体" w:hAnsi="Times New Roman" w:cs="Times New Roman" w:hint="eastAsia"/>
          <w:b/>
          <w:bCs w:val="0"/>
          <w:kern w:val="2"/>
          <w:sz w:val="21"/>
          <w:szCs w:val="21"/>
          <w:lang w:val="en-US" w:eastAsia="zh-CN" w:bidi="ar-SA"/>
        </w:rPr>
      </w:pPr>
      <w:r>
        <w:rPr>
          <w:rFonts w:ascii="Times New Roman" w:eastAsia="宋体" w:hAnsi="Times New Roman" w:cs="Times New Roman" w:hint="eastAsia"/>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rPr>
          <w:rFonts w:ascii="Times New Roman" w:eastAsia="宋体" w:hAnsi="Times New Roman" w:cs="Times New Roman" w:hint="default"/>
          <w:b/>
          <w:color w:val="FF0000"/>
          <w:szCs w:val="21"/>
          <w:lang w:val="en-US" w:eastAsia="zh-CN"/>
        </w:rPr>
      </w:pPr>
      <w:r>
        <w:rPr>
          <w:rFonts w:ascii="Times New Roman" w:eastAsia="宋体" w:hAnsi="Times New Roman" w:cs="Times New Roman" w:hint="eastAsia"/>
          <w:b/>
          <w:color w:val="FF0000"/>
          <w:szCs w:val="21"/>
          <w:lang w:val="en-US" w:eastAsia="zh-CN"/>
        </w:rPr>
        <w:t>6.在</w:t>
      </w:r>
      <w:r>
        <w:rPr>
          <w:rFonts w:ascii="Times New Roman" w:eastAsia="宋体" w:hAnsi="Times New Roman" w:cs="Times New Roman" w:hint="eastAsia"/>
          <w:b/>
          <w:color w:val="FF0000"/>
          <w:szCs w:val="21"/>
        </w:rPr>
        <w:t>招标技术要求中</w:t>
      </w:r>
      <w:r>
        <w:rPr>
          <w:rFonts w:ascii="Times New Roman" w:eastAsia="宋体" w:hAnsi="Times New Roman" w:cs="Times New Roman" w:hint="eastAsia"/>
          <w:b/>
          <w:color w:val="FF0000"/>
          <w:szCs w:val="21"/>
          <w:lang w:eastAsia="zh-CN"/>
        </w:rPr>
        <w:t>，</w:t>
      </w:r>
      <w:r>
        <w:rPr>
          <w:rFonts w:ascii="Times New Roman" w:eastAsia="宋体" w:hAnsi="Times New Roman" w:cs="Times New Roman" w:hint="eastAsia"/>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ascii="Times New Roman" w:eastAsia="宋体" w:hAnsi="Times New Roman" w:cs="Times New Roman" w:hint="eastAsia"/>
          <w:kern w:val="2"/>
          <w:sz w:val="21"/>
          <w:szCs w:val="20"/>
          <w:lang w:val="en-US" w:eastAsia="zh-CN" w:bidi="ar-SA"/>
        </w:rPr>
      </w:pPr>
    </w:p>
    <w:tbl>
      <w:tblPr>
        <w:tblStyle w:val="TableNormal"/>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1"/>
        <w:gridCol w:w="1134"/>
        <w:gridCol w:w="6485"/>
      </w:tblGrid>
      <w:tr>
        <w:tblPrEx>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841" w:type="dxa"/>
            <w:vAlign w:val="center"/>
          </w:tcPr>
          <w:p>
            <w:pPr>
              <w:jc w:val="center"/>
              <w:rPr>
                <w:rFonts w:ascii="宋体" w:eastAsia="宋体" w:hAnsi="宋体" w:cs="宋体" w:hint="eastAsia"/>
                <w:b/>
                <w:bCs/>
                <w:color w:val="000000" w:themeColor="text1"/>
                <w:sz w:val="21"/>
                <w:szCs w:val="21"/>
                <w14:textFill>
                  <w14:solidFill>
                    <w14:schemeClr w14:val="tx1"/>
                  </w14:solidFill>
                </w14:textFill>
              </w:rPr>
            </w:pPr>
            <w:bookmarkEnd w:id="43"/>
            <w:bookmarkStart w:id="44" w:name="OLE_LINK1"/>
            <w:bookmarkStart w:id="45" w:name="_Hlk70236148"/>
            <w:r>
              <w:rPr>
                <w:rFonts w:ascii="宋体" w:eastAsia="宋体" w:hAnsi="宋体" w:cs="宋体" w:hint="eastAsia"/>
                <w:b/>
                <w:bCs/>
                <w:color w:val="000000" w:themeColor="text1"/>
                <w:sz w:val="21"/>
                <w:szCs w:val="21"/>
                <w14:textFill>
                  <w14:solidFill>
                    <w14:schemeClr w14:val="tx1"/>
                  </w14:solidFill>
                </w14:textFill>
              </w:rPr>
              <w:t>序号</w:t>
            </w:r>
          </w:p>
        </w:tc>
        <w:tc>
          <w:tcPr>
            <w:tcW w:w="1134" w:type="dxa"/>
            <w:vAlign w:val="center"/>
          </w:tcPr>
          <w:p>
            <w:pPr>
              <w:widowControl/>
              <w:jc w:val="center"/>
              <w:rPr>
                <w:rFonts w:ascii="宋体" w:eastAsia="宋体" w:hAnsi="宋体" w:cs="宋体" w:hint="eastAsia"/>
                <w:b/>
                <w:bCs/>
                <w:color w:val="000000" w:themeColor="text1"/>
                <w:sz w:val="21"/>
                <w:szCs w:val="21"/>
                <w14:textFill>
                  <w14:solidFill>
                    <w14:schemeClr w14:val="tx1"/>
                  </w14:solidFill>
                </w14:textFill>
              </w:rPr>
            </w:pPr>
            <w:r>
              <w:rPr>
                <w:rFonts w:ascii="宋体" w:eastAsia="宋体" w:hAnsi="宋体" w:cs="宋体" w:hint="eastAsia"/>
                <w:b/>
                <w:bCs/>
                <w:color w:val="000000" w:themeColor="text1"/>
                <w:sz w:val="21"/>
                <w:szCs w:val="21"/>
                <w14:textFill>
                  <w14:solidFill>
                    <w14:schemeClr w14:val="tx1"/>
                  </w14:solidFill>
                </w14:textFill>
              </w:rPr>
              <w:t>货物名称</w:t>
            </w:r>
          </w:p>
        </w:tc>
        <w:tc>
          <w:tcPr>
            <w:tcW w:w="6485" w:type="dxa"/>
            <w:vAlign w:val="center"/>
          </w:tcPr>
          <w:p>
            <w:pPr>
              <w:jc w:val="center"/>
              <w:rPr>
                <w:rFonts w:ascii="宋体" w:eastAsia="宋体" w:hAnsi="宋体" w:cs="宋体" w:hint="eastAsia"/>
                <w:b/>
                <w:bCs/>
                <w:color w:val="000000" w:themeColor="text1"/>
                <w:sz w:val="21"/>
                <w:szCs w:val="21"/>
                <w14:textFill>
                  <w14:solidFill>
                    <w14:schemeClr w14:val="tx1"/>
                  </w14:solidFill>
                </w14:textFill>
              </w:rPr>
            </w:pPr>
            <w:r>
              <w:rPr>
                <w:rFonts w:ascii="宋体" w:eastAsia="宋体" w:hAnsi="宋体" w:cs="宋体" w:hint="eastAsia"/>
                <w:b/>
                <w:bCs/>
                <w:color w:val="000000" w:themeColor="text1"/>
                <w:sz w:val="21"/>
                <w:szCs w:val="21"/>
                <w14:textFill>
                  <w14:solidFill>
                    <w14:schemeClr w14:val="tx1"/>
                  </w14:solidFill>
                </w14:textFill>
              </w:rPr>
              <w:t>招标技术要求</w:t>
            </w:r>
          </w:p>
        </w:tc>
      </w:tr>
      <w:tr>
        <w:tblPrEx>
          <w:tblW w:w="8460" w:type="dxa"/>
          <w:jc w:val="center"/>
          <w:tblLayout w:type="fixed"/>
          <w:tblCellMar>
            <w:top w:w="0" w:type="dxa"/>
            <w:left w:w="108" w:type="dxa"/>
            <w:bottom w:w="0" w:type="dxa"/>
            <w:right w:w="108" w:type="dxa"/>
          </w:tblCellMar>
        </w:tblPrEx>
        <w:trPr>
          <w:trHeight w:val="274"/>
          <w:jc w:val="center"/>
        </w:trPr>
        <w:tc>
          <w:tcPr>
            <w:tcW w:w="841" w:type="dxa"/>
            <w:vMerge w:val="restart"/>
            <w:vAlign w:val="center"/>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14:textFill>
                  <w14:solidFill>
                    <w14:schemeClr w14:val="tx1"/>
                  </w14:solidFill>
                </w14:textFill>
              </w:rPr>
              <w:t>1</w:t>
            </w:r>
          </w:p>
        </w:tc>
        <w:tc>
          <w:tcPr>
            <w:tcW w:w="1134" w:type="dxa"/>
            <w:vMerge w:val="restart"/>
            <w:vAlign w:val="center"/>
          </w:tcPr>
          <w:p>
            <w:pPr>
              <w:jc w:val="center"/>
              <w:rPr>
                <w:rFonts w:ascii="宋体" w:eastAsia="宋体" w:hAnsi="宋体" w:cs="宋体" w:hint="eastAsia"/>
                <w:color w:val="000000" w:themeColor="text1"/>
                <w:sz w:val="21"/>
                <w:szCs w:val="21"/>
                <w:lang w:eastAsia="zh-CN"/>
                <w14:textFill>
                  <w14:solidFill>
                    <w14:schemeClr w14:val="tx1"/>
                  </w14:solidFill>
                </w14:textFill>
              </w:rPr>
            </w:pPr>
            <w:r>
              <w:rPr>
                <w:rFonts w:ascii="宋体" w:eastAsia="宋体" w:hAnsi="宋体" w:cs="宋体" w:hint="eastAsia"/>
                <w:bCs/>
                <w:sz w:val="21"/>
                <w:szCs w:val="21"/>
                <w:lang w:val="en-US"/>
              </w:rPr>
              <w:t>双位联动磁场刺激仪</w:t>
            </w:r>
          </w:p>
        </w:tc>
        <w:tc>
          <w:tcPr>
            <w:tcW w:w="6485" w:type="dxa"/>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b/>
                <w:bCs w:val="0"/>
                <w:sz w:val="21"/>
                <w:szCs w:val="21"/>
              </w:rPr>
              <w:t>主机：</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1134" w:type="dxa"/>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外观结构：一体式主机，脉冲源，冷却系统集成，；非堆叠结构，无倾覆、坠落风险。</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1134" w:type="dxa"/>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b w:val="0"/>
                <w:bCs/>
                <w:sz w:val="21"/>
                <w:szCs w:val="21"/>
              </w:rPr>
              <w:t>冷却系统：液态内循环冷却系统，非风冷或静态液冷或外循环液冷；</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b w:val="0"/>
                <w:bCs/>
                <w:sz w:val="21"/>
                <w:szCs w:val="21"/>
              </w:rPr>
              <w:t>操作系统：承载管理软件，非一体机或触摸屏。</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b w:val="0"/>
                <w:bCs/>
                <w:sz w:val="21"/>
                <w:szCs w:val="21"/>
              </w:rPr>
              <w:t>刺激线圈最大磁感应强度</w:t>
            </w:r>
            <w:r>
              <w:rPr>
                <w:rFonts w:ascii="宋体" w:hAnsi="宋体" w:cs="宋体" w:hint="eastAsia"/>
                <w:b w:val="0"/>
                <w:bCs/>
                <w:sz w:val="21"/>
                <w:szCs w:val="21"/>
                <w:lang w:val="en-US" w:eastAsia="zh-CN"/>
              </w:rPr>
              <w:t>至少包含</w:t>
            </w:r>
            <w:r>
              <w:rPr>
                <w:rFonts w:ascii="宋体" w:eastAsia="宋体" w:hAnsi="宋体" w:cs="宋体" w:hint="eastAsia"/>
                <w:b w:val="0"/>
                <w:bCs/>
                <w:sz w:val="21"/>
                <w:szCs w:val="21"/>
              </w:rPr>
              <w:t>：1.0T~6T</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b w:val="0"/>
                <w:bCs/>
                <w:sz w:val="21"/>
                <w:szCs w:val="21"/>
              </w:rPr>
              <w:t>磁感应强度稳定输出允差：</w:t>
            </w:r>
            <w:r>
              <w:rPr>
                <w:rFonts w:ascii="宋体" w:hAnsi="宋体" w:cs="宋体" w:hint="eastAsia"/>
                <w:b w:val="0"/>
                <w:bCs/>
                <w:sz w:val="21"/>
                <w:szCs w:val="21"/>
                <w:lang w:val="en-US" w:eastAsia="zh-CN"/>
              </w:rPr>
              <w:t>≤</w:t>
            </w:r>
            <w:r>
              <w:rPr>
                <w:rFonts w:ascii="宋体" w:eastAsia="宋体" w:hAnsi="宋体" w:cs="宋体" w:hint="eastAsia"/>
                <w:b w:val="0"/>
                <w:bCs/>
                <w:sz w:val="21"/>
                <w:szCs w:val="21"/>
              </w:rPr>
              <w:t>±5%</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磁感应强度的最大变化率：至少包括20KT/s~80KT/s</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脉冲上升时间：至少包括60μs±10μs</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输出脉冲宽度：至少包括340μs±20μs</w:t>
            </w:r>
          </w:p>
        </w:tc>
      </w:tr>
      <w:tr>
        <w:tblPrEx>
          <w:tblW w:w="8460" w:type="dxa"/>
          <w:jc w:val="center"/>
          <w:tblLayout w:type="fixed"/>
          <w:tblCellMar>
            <w:top w:w="0" w:type="dxa"/>
            <w:left w:w="108" w:type="dxa"/>
            <w:bottom w:w="0" w:type="dxa"/>
            <w:right w:w="108" w:type="dxa"/>
          </w:tblCellMar>
        </w:tblPrEx>
        <w:trPr>
          <w:trHeight w:val="298"/>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输出脉冲频率：0.1Hz~40Hz可调</w:t>
            </w:r>
            <w:r>
              <w:rPr>
                <w:rFonts w:ascii="宋体" w:hAnsi="宋体" w:cs="宋体" w:hint="eastAsia"/>
                <w:b w:val="0"/>
                <w:bCs/>
                <w:sz w:val="21"/>
                <w:szCs w:val="21"/>
                <w:lang w:eastAsia="zh-CN"/>
              </w:rPr>
              <w:t>（</w:t>
            </w:r>
            <w:r>
              <w:rPr>
                <w:rFonts w:ascii="宋体" w:hAnsi="宋体" w:cs="宋体" w:hint="eastAsia"/>
                <w:b w:val="0"/>
                <w:bCs/>
                <w:sz w:val="21"/>
                <w:szCs w:val="21"/>
                <w:lang w:val="en-US" w:eastAsia="zh-CN"/>
              </w:rPr>
              <w:t>至少包含上述区间</w:t>
            </w:r>
            <w:r>
              <w:rPr>
                <w:rFonts w:ascii="宋体" w:hAnsi="宋体" w:cs="宋体" w:hint="eastAsia"/>
                <w:b w:val="0"/>
                <w:bCs/>
                <w:sz w:val="21"/>
                <w:szCs w:val="21"/>
                <w:lang w:eastAsia="zh-CN"/>
              </w:rPr>
              <w:t>）</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电介质强度：主机内部高压储能电容，电介质强度可达</w:t>
            </w:r>
            <w:r>
              <w:rPr>
                <w:rFonts w:ascii="宋体" w:hAnsi="宋体" w:cs="宋体" w:hint="eastAsia"/>
                <w:b w:val="0"/>
                <w:bCs/>
                <w:sz w:val="21"/>
                <w:szCs w:val="21"/>
                <w:lang w:val="en-US" w:eastAsia="zh-CN"/>
              </w:rPr>
              <w:t>≥</w:t>
            </w:r>
            <w:r>
              <w:rPr>
                <w:rFonts w:ascii="宋体" w:eastAsia="宋体" w:hAnsi="宋体" w:cs="宋体" w:hint="eastAsia"/>
                <w:b w:val="0"/>
                <w:bCs/>
                <w:sz w:val="21"/>
                <w:szCs w:val="21"/>
              </w:rPr>
              <w:t>4000VAC。</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bCs w:val="0"/>
                <w:sz w:val="21"/>
                <w:szCs w:val="21"/>
              </w:rPr>
              <w:t>安全预警：</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当冷却系统发生故障时，有提示或停止磁场输出。</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在设备连续工作</w:t>
            </w:r>
            <w:r>
              <w:rPr>
                <w:rFonts w:ascii="宋体" w:hAnsi="宋体" w:cs="宋体" w:hint="eastAsia"/>
                <w:b w:val="0"/>
                <w:bCs/>
                <w:sz w:val="21"/>
                <w:szCs w:val="21"/>
                <w:lang w:val="en-US" w:eastAsia="zh-CN"/>
              </w:rPr>
              <w:t>时</w:t>
            </w:r>
            <w:r>
              <w:rPr>
                <w:rFonts w:ascii="宋体" w:eastAsia="宋体" w:hAnsi="宋体" w:cs="宋体" w:hint="eastAsia"/>
                <w:b w:val="0"/>
                <w:bCs/>
                <w:sz w:val="21"/>
                <w:szCs w:val="21"/>
              </w:rPr>
              <w:t>，具有手动停止磁场输出的功能，可以通过按下设备面板上的停止开关，仪器立即停止输出。</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可记录电容放电次数，当电容放电次数达到上限时具有提示功能。</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bCs w:val="0"/>
                <w:sz w:val="21"/>
                <w:szCs w:val="21"/>
              </w:rPr>
              <w:t>刺激线圈：</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标配圆形或8字形线圈，圆形刺激线圈</w:t>
            </w:r>
            <w:r>
              <w:rPr>
                <w:rFonts w:ascii="宋体" w:hAnsi="宋体" w:cs="宋体" w:hint="eastAsia"/>
                <w:b w:val="0"/>
                <w:bCs/>
                <w:sz w:val="21"/>
                <w:szCs w:val="21"/>
                <w:lang w:val="en-US" w:eastAsia="zh-CN"/>
              </w:rPr>
              <w:t>和</w:t>
            </w:r>
            <w:r>
              <w:rPr>
                <w:rFonts w:ascii="宋体" w:eastAsia="宋体" w:hAnsi="宋体" w:cs="宋体" w:hint="eastAsia"/>
                <w:b w:val="0"/>
                <w:bCs/>
                <w:sz w:val="21"/>
                <w:szCs w:val="21"/>
              </w:rPr>
              <w:t>八字形刺激线圈能实现双面双向刺激</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线圈</w:t>
            </w:r>
            <w:r>
              <w:rPr>
                <w:rFonts w:ascii="宋体" w:hAnsi="宋体" w:cs="宋体" w:hint="eastAsia"/>
                <w:b w:val="0"/>
                <w:bCs/>
                <w:sz w:val="21"/>
                <w:szCs w:val="21"/>
                <w:lang w:val="en-US" w:eastAsia="zh-CN"/>
              </w:rPr>
              <w:t>采用</w:t>
            </w:r>
            <w:r>
              <w:rPr>
                <w:rFonts w:ascii="宋体" w:eastAsia="宋体" w:hAnsi="宋体" w:cs="宋体" w:hint="eastAsia"/>
                <w:b w:val="0"/>
                <w:bCs/>
                <w:sz w:val="21"/>
                <w:szCs w:val="21"/>
              </w:rPr>
              <w:t>全封闭一体式工艺，无孔设计，加工一次成型</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可扩展临床用线圈拍包括：、双锥（蝶）形、儿童型；</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可扩展科研用线圈拍包括：凹面型、动物型、盔式深部型、红光功能型；</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具有电动吸液和电动排液功能。</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bCs w:val="0"/>
                <w:sz w:val="21"/>
                <w:szCs w:val="21"/>
              </w:rPr>
              <w:t>软件功能：</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可建立和储存患者的一般信息。包括：姓名、性别、出生年月日、检查日期、门诊号或住院号、就诊科室等。</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可实现互联网功能，</w:t>
            </w:r>
            <w:r>
              <w:rPr>
                <w:rFonts w:ascii="宋体" w:hAnsi="宋体" w:cs="宋体" w:hint="eastAsia"/>
                <w:b w:val="0"/>
                <w:bCs/>
                <w:sz w:val="21"/>
                <w:szCs w:val="21"/>
                <w:lang w:val="en-US" w:eastAsia="zh-CN"/>
              </w:rPr>
              <w:t>可提供</w:t>
            </w:r>
            <w:r>
              <w:rPr>
                <w:rFonts w:ascii="宋体" w:eastAsia="宋体" w:hAnsi="宋体" w:cs="宋体" w:hint="eastAsia"/>
                <w:b w:val="0"/>
                <w:bCs/>
                <w:sz w:val="21"/>
                <w:szCs w:val="21"/>
              </w:rPr>
              <w:t>病人档案管理，专家方案，自定义治疗方案。</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实时线圈温度显示。</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可根据病人姓名查找相关储存资料调出回放。</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可统计呈现每个患者的治疗记录，可以将记录存为.docx文档，</w:t>
            </w:r>
            <w:r>
              <w:rPr>
                <w:rFonts w:ascii="宋体" w:hAnsi="宋体" w:cs="宋体" w:hint="eastAsia"/>
                <w:b w:val="0"/>
                <w:bCs/>
                <w:sz w:val="21"/>
                <w:szCs w:val="21"/>
                <w:lang w:val="en-US" w:eastAsia="zh-CN"/>
              </w:rPr>
              <w:t>可</w:t>
            </w:r>
            <w:r>
              <w:rPr>
                <w:rFonts w:ascii="宋体" w:eastAsia="宋体" w:hAnsi="宋体" w:cs="宋体" w:hint="eastAsia"/>
                <w:b w:val="0"/>
                <w:bCs/>
                <w:sz w:val="21"/>
                <w:szCs w:val="21"/>
              </w:rPr>
              <w:t>复制和粘贴到硬盘、U盘等其他存储设备。</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bCs w:val="0"/>
                <w:sz w:val="21"/>
                <w:szCs w:val="21"/>
              </w:rPr>
              <w:t>检测模式：</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检测项目：支持运动阈值（MT）、运动诱发电位（MEP）、中枢神经传导时间（CMCT）、ICI/ICF检测、静息期检测等检测功能。</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检测记录：运动阈值与治疗方案自动记忆功能，可对保存文档中波形与数据进行复现。</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具备自动计算神经传导时间功能。</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具备运动诱发电位（MEP），用于捕捉肌电信号（EMG），并可以在显示器上显示波形。</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通道数：</w:t>
            </w:r>
            <w:r>
              <w:rPr>
                <w:rFonts w:ascii="宋体" w:hAnsi="宋体" w:cs="宋体" w:hint="eastAsia"/>
                <w:b w:val="0"/>
                <w:bCs/>
                <w:sz w:val="21"/>
                <w:szCs w:val="21"/>
                <w:lang w:val="en-US" w:eastAsia="zh-CN"/>
              </w:rPr>
              <w:t>≥</w:t>
            </w:r>
            <w:r>
              <w:rPr>
                <w:rFonts w:ascii="宋体" w:eastAsia="宋体" w:hAnsi="宋体" w:cs="宋体" w:hint="eastAsia"/>
                <w:b w:val="0"/>
                <w:bCs/>
                <w:sz w:val="21"/>
                <w:szCs w:val="21"/>
              </w:rPr>
              <w:t>2通道</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采样率：</w:t>
            </w:r>
            <w:r>
              <w:rPr>
                <w:rFonts w:ascii="宋体" w:hAnsi="宋体" w:cs="宋体" w:hint="eastAsia"/>
                <w:b w:val="0"/>
                <w:bCs/>
                <w:sz w:val="21"/>
                <w:szCs w:val="21"/>
                <w:lang w:val="en-US" w:eastAsia="zh-CN"/>
              </w:rPr>
              <w:t>≥</w:t>
            </w:r>
            <w:r>
              <w:rPr>
                <w:rFonts w:ascii="宋体" w:eastAsia="宋体" w:hAnsi="宋体" w:cs="宋体" w:hint="eastAsia"/>
                <w:b w:val="0"/>
                <w:bCs/>
                <w:sz w:val="21"/>
                <w:szCs w:val="21"/>
              </w:rPr>
              <w:t>100KHz</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传输方式：有线传输，非无线传输。</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最小分辨率：≤0.1μV，频率测量范围</w:t>
            </w:r>
            <w:r>
              <w:rPr>
                <w:rFonts w:ascii="宋体" w:hAnsi="宋体" w:cs="宋体" w:hint="eastAsia"/>
                <w:b w:val="0"/>
                <w:bCs/>
                <w:sz w:val="21"/>
                <w:szCs w:val="21"/>
                <w:lang w:val="en-US" w:eastAsia="zh-CN"/>
              </w:rPr>
              <w:t>至少包含</w:t>
            </w:r>
            <w:r>
              <w:rPr>
                <w:rFonts w:ascii="宋体" w:eastAsia="宋体" w:hAnsi="宋体" w:cs="宋体" w:hint="eastAsia"/>
                <w:b w:val="0"/>
                <w:bCs/>
                <w:sz w:val="21"/>
                <w:szCs w:val="21"/>
              </w:rPr>
              <w:t>：1Hz~25KHz。</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bCs w:val="0"/>
                <w:sz w:val="21"/>
                <w:szCs w:val="21"/>
              </w:rPr>
              <w:t>刺激模式</w:t>
            </w:r>
            <w:r>
              <w:rPr>
                <w:rFonts w:ascii="宋体" w:hAnsi="宋体" w:cs="宋体" w:hint="eastAsia"/>
                <w:b/>
                <w:bCs w:val="0"/>
                <w:sz w:val="21"/>
                <w:szCs w:val="21"/>
                <w:lang w:eastAsia="zh-CN"/>
              </w:rPr>
              <w:t>：</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单脉冲（sTMS）、重复脉冲（rTMS）、复合刺激（TBS）、成对脉冲输出（pTMS）等多种刺激模式自由调整。</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支持双人同时治疗，双人的刺激频率、刺激强度、刺激时间和刺激间隔可完全独立调节，并且无强制关联关系，两线圈可同时输出脉冲。</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支持双线圈成对刺激，成对脉冲最小时间间隔≤0.1ms，双线圈成对脉冲时间间隔范围-31000ms~31000ms内可调</w:t>
            </w:r>
            <w:r>
              <w:rPr>
                <w:rFonts w:ascii="宋体" w:hAnsi="宋体" w:cs="宋体" w:hint="eastAsia"/>
                <w:b w:val="0"/>
                <w:bCs/>
                <w:sz w:val="21"/>
                <w:szCs w:val="21"/>
                <w:lang w:eastAsia="zh-CN"/>
              </w:rPr>
              <w:t>（</w:t>
            </w:r>
            <w:r>
              <w:rPr>
                <w:rFonts w:ascii="宋体" w:hAnsi="宋体" w:cs="宋体" w:hint="eastAsia"/>
                <w:b w:val="0"/>
                <w:bCs/>
                <w:sz w:val="21"/>
                <w:szCs w:val="21"/>
                <w:lang w:val="en-US" w:eastAsia="zh-CN"/>
              </w:rPr>
              <w:t>至少包含上述区间</w:t>
            </w:r>
            <w:r>
              <w:rPr>
                <w:rFonts w:ascii="宋体" w:hAnsi="宋体" w:cs="宋体" w:hint="eastAsia"/>
                <w:b w:val="0"/>
                <w:bCs/>
                <w:sz w:val="21"/>
                <w:szCs w:val="21"/>
                <w:lang w:eastAsia="zh-CN"/>
              </w:rPr>
              <w:t>）</w:t>
            </w:r>
            <w:r>
              <w:rPr>
                <w:rFonts w:ascii="宋体" w:eastAsia="宋体" w:hAnsi="宋体" w:cs="宋体" w:hint="eastAsia"/>
                <w:b w:val="0"/>
                <w:bCs/>
                <w:sz w:val="21"/>
                <w:szCs w:val="21"/>
              </w:rPr>
              <w:t>，步长1ms。</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定时时间按照方案的需要设置，在预定时间（方案的总时间）到达后设备自动终止磁场输出，允差：≤±10%。</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内置多种专家方案，可供临床选择，支持刺激方案自定义，</w:t>
            </w:r>
            <w:r>
              <w:rPr>
                <w:rFonts w:ascii="宋体" w:hAnsi="宋体" w:cs="宋体" w:hint="eastAsia"/>
                <w:b w:val="0"/>
                <w:bCs/>
                <w:sz w:val="21"/>
                <w:szCs w:val="21"/>
                <w:lang w:val="en-US" w:eastAsia="zh-CN"/>
              </w:rPr>
              <w:t>可</w:t>
            </w:r>
            <w:r>
              <w:rPr>
                <w:rFonts w:ascii="宋体" w:eastAsia="宋体" w:hAnsi="宋体" w:cs="宋体" w:hint="eastAsia"/>
                <w:b w:val="0"/>
                <w:bCs/>
                <w:sz w:val="21"/>
                <w:szCs w:val="21"/>
              </w:rPr>
              <w:t>设置刺激时间、输出频率、刺激间歇、刺激强度、刺激数量等。</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能显示阈值强度、以百分比表示相对输出强度，显示刺激序列、刺激时间、刺激数量。</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治疗方案提供详细图文描述，配合定位帽标识，刺激部位</w:t>
            </w:r>
            <w:r>
              <w:rPr>
                <w:rFonts w:ascii="宋体" w:hAnsi="宋体" w:cs="宋体" w:hint="eastAsia"/>
                <w:b w:val="0"/>
                <w:bCs/>
                <w:sz w:val="21"/>
                <w:szCs w:val="21"/>
                <w:lang w:val="en-US" w:eastAsia="zh-CN"/>
              </w:rPr>
              <w:t>可</w:t>
            </w:r>
            <w:r>
              <w:rPr>
                <w:rFonts w:ascii="宋体" w:eastAsia="宋体" w:hAnsi="宋体" w:cs="宋体" w:hint="eastAsia"/>
                <w:b w:val="0"/>
                <w:bCs/>
                <w:sz w:val="21"/>
                <w:szCs w:val="21"/>
              </w:rPr>
              <w:t>360度呈现，提供精准靶点指导。</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触发输出：触发</w:t>
            </w:r>
            <w:r>
              <w:rPr>
                <w:rFonts w:ascii="宋体" w:hAnsi="宋体" w:cs="宋体" w:hint="eastAsia"/>
                <w:b w:val="0"/>
                <w:bCs/>
                <w:sz w:val="21"/>
                <w:szCs w:val="21"/>
                <w:lang w:val="en-US" w:eastAsia="zh-CN"/>
              </w:rPr>
              <w:t>输出</w:t>
            </w:r>
            <w:r>
              <w:rPr>
                <w:rFonts w:ascii="宋体" w:eastAsia="宋体" w:hAnsi="宋体" w:cs="宋体" w:hint="eastAsia"/>
                <w:b w:val="0"/>
                <w:bCs/>
                <w:sz w:val="21"/>
                <w:szCs w:val="21"/>
              </w:rPr>
              <w:t>脉冲波宽350μs±50μs，幅度5V±0.5V。</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触发输入：输入脉冲波宽≥16μs，幅度5V±0.5V的信号，能被触发。</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操作软件上调节触发输入延时时间，软件在0~500ms范围可调，步长0.1ms。</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操作软件上调节触发输出延时时间，软件在-500~500ms范围</w:t>
            </w:r>
            <w:r>
              <w:rPr>
                <w:rFonts w:ascii="宋体" w:hAnsi="宋体" w:cs="宋体" w:hint="eastAsia"/>
                <w:b w:val="0"/>
                <w:bCs/>
                <w:sz w:val="21"/>
                <w:szCs w:val="21"/>
                <w:lang w:eastAsia="zh-CN"/>
              </w:rPr>
              <w:t>（</w:t>
            </w:r>
            <w:r>
              <w:rPr>
                <w:rFonts w:ascii="宋体" w:hAnsi="宋体" w:cs="宋体" w:hint="eastAsia"/>
                <w:b w:val="0"/>
                <w:bCs/>
                <w:sz w:val="21"/>
                <w:szCs w:val="21"/>
                <w:lang w:val="en-US" w:eastAsia="zh-CN"/>
              </w:rPr>
              <w:t>至少包含上述范围</w:t>
            </w:r>
            <w:r>
              <w:rPr>
                <w:rFonts w:ascii="宋体" w:hAnsi="宋体" w:cs="宋体" w:hint="eastAsia"/>
                <w:b w:val="0"/>
                <w:bCs/>
                <w:sz w:val="21"/>
                <w:szCs w:val="21"/>
                <w:lang w:eastAsia="zh-CN"/>
              </w:rPr>
              <w:t>）</w:t>
            </w:r>
            <w:r>
              <w:rPr>
                <w:rFonts w:ascii="宋体" w:eastAsia="宋体" w:hAnsi="宋体" w:cs="宋体" w:hint="eastAsia"/>
                <w:b w:val="0"/>
                <w:bCs/>
                <w:sz w:val="21"/>
                <w:szCs w:val="21"/>
              </w:rPr>
              <w:t>可调，步长0.1ms。</w:t>
            </w:r>
          </w:p>
        </w:tc>
      </w:tr>
      <w:tr>
        <w:tblPrEx>
          <w:tblW w:w="8460" w:type="dxa"/>
          <w:jc w:val="center"/>
          <w:tblLayout w:type="fixed"/>
          <w:tblCellMar>
            <w:top w:w="0" w:type="dxa"/>
            <w:left w:w="108" w:type="dxa"/>
            <w:bottom w:w="0" w:type="dxa"/>
            <w:right w:w="108" w:type="dxa"/>
          </w:tblCellMar>
        </w:tblPrEx>
        <w:trPr>
          <w:trHeight w:val="399"/>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14:textFill>
                  <w14:solidFill>
                    <w14:schemeClr w14:val="tx1"/>
                  </w14:solidFill>
                </w14:textFill>
              </w:rPr>
            </w:pPr>
          </w:p>
        </w:tc>
        <w:tc>
          <w:tcPr>
            <w:tcW w:w="6485" w:type="dxa"/>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开放式的技术平台，可与电刺激、近红外、导航等设备兼容。</w:t>
            </w:r>
          </w:p>
        </w:tc>
      </w:tr>
      <w:tr>
        <w:tblPrEx>
          <w:tblW w:w="8460" w:type="dxa"/>
          <w:jc w:val="center"/>
          <w:tblLayout w:type="fixed"/>
          <w:tblCellMar>
            <w:top w:w="0" w:type="dxa"/>
            <w:left w:w="108" w:type="dxa"/>
            <w:bottom w:w="0" w:type="dxa"/>
            <w:right w:w="108" w:type="dxa"/>
          </w:tblCellMar>
        </w:tblPrEx>
        <w:trPr>
          <w:trHeight w:val="17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rPr>
                <w:rFonts w:ascii="宋体" w:eastAsia="宋体" w:hAnsi="宋体" w:cs="宋体" w:hint="eastAsia"/>
                <w:sz w:val="21"/>
                <w:szCs w:val="21"/>
                <w:lang w:val="en-US" w:eastAsia="zh-CN"/>
              </w:rPr>
            </w:pPr>
            <w:r>
              <w:rPr>
                <w:rFonts w:ascii="宋体" w:eastAsia="宋体" w:hAnsi="宋体" w:cs="宋体" w:hint="eastAsia"/>
                <w:bCs/>
                <w:sz w:val="21"/>
                <w:szCs w:val="21"/>
              </w:rPr>
              <w:t>★</w:t>
            </w:r>
            <w:r>
              <w:rPr>
                <w:rFonts w:ascii="宋体" w:eastAsia="宋体" w:hAnsi="宋体" w:cs="宋体" w:hint="eastAsia"/>
                <w:sz w:val="21"/>
                <w:szCs w:val="21"/>
                <w:lang w:val="en-US" w:eastAsia="zh-CN"/>
              </w:rPr>
              <w:t>配置清单：</w:t>
            </w:r>
          </w:p>
          <w:tbl>
            <w:tblPr>
              <w:tblStyle w:val="TableNormal1"/>
              <w:tblW w:w="499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76"/>
              <w:gridCol w:w="3474"/>
              <w:gridCol w:w="1186"/>
              <w:gridCol w:w="3"/>
              <w:gridCol w:w="913"/>
              <w:gridCol w:w="3"/>
            </w:tblGrid>
            <w:tr>
              <w:tblPrEx>
                <w:tblW w:w="499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gridAfter w:val="1"/>
                <w:wAfter w:w="2" w:type="dxa"/>
                <w:trHeight w:val="338"/>
                <w:jc w:val="center"/>
              </w:trPr>
              <w:tc>
                <w:tcPr>
                  <w:tcW w:w="540" w:type="pct"/>
                  <w:vAlign w:val="center"/>
                </w:tcPr>
                <w:p>
                  <w:pPr>
                    <w:adjustRightInd w:val="0"/>
                    <w:snapToGrid w:val="0"/>
                    <w:spacing w:line="360" w:lineRule="auto"/>
                    <w:jc w:val="center"/>
                    <w:rPr>
                      <w:rFonts w:ascii="宋体" w:eastAsia="宋体" w:hAnsi="宋体" w:cs="宋体" w:hint="eastAsia"/>
                      <w:kern w:val="0"/>
                      <w:sz w:val="21"/>
                      <w:szCs w:val="21"/>
                    </w:rPr>
                  </w:pPr>
                  <w:r>
                    <w:rPr>
                      <w:rFonts w:ascii="宋体" w:eastAsia="宋体" w:hAnsi="宋体" w:cs="宋体" w:hint="eastAsia"/>
                      <w:spacing w:val="4"/>
                      <w:kern w:val="0"/>
                      <w:sz w:val="21"/>
                      <w:szCs w:val="21"/>
                    </w:rPr>
                    <w:t>序号</w:t>
                  </w:r>
                </w:p>
              </w:tc>
              <w:tc>
                <w:tcPr>
                  <w:tcW w:w="2777" w:type="pct"/>
                  <w:vAlign w:val="center"/>
                </w:tcPr>
                <w:p>
                  <w:pPr>
                    <w:adjustRightInd w:val="0"/>
                    <w:snapToGrid w:val="0"/>
                    <w:spacing w:line="360" w:lineRule="auto"/>
                    <w:jc w:val="center"/>
                    <w:rPr>
                      <w:rFonts w:ascii="宋体" w:eastAsia="宋体" w:hAnsi="宋体" w:cs="宋体" w:hint="eastAsia"/>
                      <w:spacing w:val="4"/>
                      <w:kern w:val="0"/>
                      <w:sz w:val="21"/>
                      <w:szCs w:val="21"/>
                    </w:rPr>
                  </w:pPr>
                  <w:r>
                    <w:rPr>
                      <w:rFonts w:ascii="宋体" w:eastAsia="宋体" w:hAnsi="宋体" w:cs="宋体" w:hint="eastAsia"/>
                      <w:spacing w:val="4"/>
                      <w:kern w:val="0"/>
                      <w:sz w:val="21"/>
                      <w:szCs w:val="21"/>
                    </w:rPr>
                    <w:t>名称</w:t>
                  </w:r>
                </w:p>
              </w:tc>
              <w:tc>
                <w:tcPr>
                  <w:tcW w:w="948" w:type="pct"/>
                  <w:vAlign w:val="center"/>
                </w:tcPr>
                <w:p>
                  <w:pPr>
                    <w:adjustRightInd w:val="0"/>
                    <w:snapToGrid w:val="0"/>
                    <w:spacing w:line="360" w:lineRule="auto"/>
                    <w:ind w:left="596"/>
                    <w:rPr>
                      <w:rFonts w:ascii="宋体" w:eastAsia="宋体" w:hAnsi="宋体" w:cs="宋体" w:hint="eastAsia"/>
                      <w:kern w:val="0"/>
                      <w:sz w:val="21"/>
                      <w:szCs w:val="21"/>
                    </w:rPr>
                  </w:pPr>
                  <w:r>
                    <w:rPr>
                      <w:rFonts w:ascii="宋体" w:eastAsia="宋体" w:hAnsi="宋体" w:cs="宋体" w:hint="eastAsia"/>
                      <w:spacing w:val="7"/>
                      <w:kern w:val="0"/>
                      <w:sz w:val="21"/>
                      <w:szCs w:val="21"/>
                    </w:rPr>
                    <w:t>单位</w:t>
                  </w:r>
                </w:p>
              </w:tc>
              <w:tc>
                <w:tcPr>
                  <w:tcW w:w="731" w:type="pct"/>
                  <w:gridSpan w:val="2"/>
                  <w:vAlign w:val="center"/>
                </w:tcPr>
                <w:p>
                  <w:pPr>
                    <w:adjustRightInd w:val="0"/>
                    <w:snapToGrid w:val="0"/>
                    <w:spacing w:line="360" w:lineRule="auto"/>
                    <w:ind w:left="307"/>
                    <w:rPr>
                      <w:rFonts w:ascii="宋体" w:eastAsia="宋体" w:hAnsi="宋体" w:cs="宋体" w:hint="eastAsia"/>
                      <w:kern w:val="0"/>
                      <w:sz w:val="21"/>
                      <w:szCs w:val="21"/>
                    </w:rPr>
                  </w:pPr>
                  <w:r>
                    <w:rPr>
                      <w:rFonts w:ascii="宋体" w:eastAsia="宋体" w:hAnsi="宋体" w:cs="宋体" w:hint="eastAsia"/>
                      <w:spacing w:val="4"/>
                      <w:kern w:val="0"/>
                      <w:sz w:val="21"/>
                      <w:szCs w:val="21"/>
                    </w:rPr>
                    <w:t>数量</w:t>
                  </w:r>
                </w:p>
              </w:tc>
            </w:tr>
            <w:tr>
              <w:tblPrEx>
                <w:tblW w:w="4994" w:type="pct"/>
                <w:jc w:val="center"/>
                <w:tblLayout w:type="fixed"/>
                <w:tblCellMar>
                  <w:top w:w="0" w:type="dxa"/>
                  <w:left w:w="0" w:type="dxa"/>
                  <w:bottom w:w="0" w:type="dxa"/>
                  <w:right w:w="0" w:type="dxa"/>
                </w:tblCellMar>
              </w:tblPrEx>
              <w:trPr>
                <w:gridAfter w:val="1"/>
                <w:wAfter w:w="2" w:type="dxa"/>
                <w:trHeight w:val="334"/>
                <w:jc w:val="center"/>
              </w:trPr>
              <w:tc>
                <w:tcPr>
                  <w:tcW w:w="540" w:type="pct"/>
                  <w:vAlign w:val="center"/>
                </w:tcPr>
                <w:p>
                  <w:pPr>
                    <w:adjustRightInd w:val="0"/>
                    <w:snapToGrid w:val="0"/>
                    <w:spacing w:line="360" w:lineRule="auto"/>
                    <w:ind w:left="123"/>
                    <w:jc w:val="center"/>
                    <w:rPr>
                      <w:rFonts w:ascii="宋体" w:eastAsia="宋体" w:hAnsi="宋体" w:cs="宋体" w:hint="eastAsia"/>
                      <w:kern w:val="0"/>
                      <w:sz w:val="21"/>
                      <w:szCs w:val="21"/>
                    </w:rPr>
                  </w:pPr>
                  <w:r>
                    <w:rPr>
                      <w:rFonts w:ascii="宋体" w:eastAsia="宋体" w:hAnsi="宋体" w:cs="宋体" w:hint="eastAsia"/>
                      <w:spacing w:val="-13"/>
                      <w:kern w:val="0"/>
                      <w:sz w:val="21"/>
                      <w:szCs w:val="21"/>
                    </w:rPr>
                    <w:t>1.</w:t>
                  </w:r>
                </w:p>
              </w:tc>
              <w:tc>
                <w:tcPr>
                  <w:tcW w:w="2777" w:type="pct"/>
                  <w:vAlign w:val="center"/>
                </w:tcPr>
                <w:p>
                  <w:pPr>
                    <w:widowControl/>
                    <w:jc w:val="left"/>
                    <w:rPr>
                      <w:rFonts w:ascii="宋体" w:eastAsia="宋体" w:hAnsi="宋体" w:cs="宋体" w:hint="eastAsia"/>
                      <w:spacing w:val="-13"/>
                      <w:kern w:val="0"/>
                      <w:sz w:val="21"/>
                      <w:szCs w:val="21"/>
                    </w:rPr>
                  </w:pPr>
                  <w:r>
                    <w:rPr>
                      <w:rFonts w:ascii="宋体" w:eastAsia="宋体" w:hAnsi="宋体" w:cs="宋体" w:hint="eastAsia"/>
                      <w:sz w:val="21"/>
                      <w:szCs w:val="21"/>
                    </w:rPr>
                    <w:t>磁刺激器主机</w:t>
                  </w:r>
                </w:p>
              </w:tc>
              <w:tc>
                <w:tcPr>
                  <w:tcW w:w="948"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color w:val="000000"/>
                      <w:kern w:val="0"/>
                      <w:sz w:val="21"/>
                      <w:szCs w:val="21"/>
                    </w:rPr>
                    <w:t>台</w:t>
                  </w:r>
                </w:p>
              </w:tc>
              <w:tc>
                <w:tcPr>
                  <w:tcW w:w="731" w:type="pct"/>
                  <w:gridSpan w:val="2"/>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4" w:type="pct"/>
                <w:jc w:val="center"/>
                <w:tblLayout w:type="fixed"/>
                <w:tblCellMar>
                  <w:top w:w="0" w:type="dxa"/>
                  <w:left w:w="0" w:type="dxa"/>
                  <w:bottom w:w="0" w:type="dxa"/>
                  <w:right w:w="0" w:type="dxa"/>
                </w:tblCellMar>
              </w:tblPrEx>
              <w:trPr>
                <w:gridAfter w:val="1"/>
                <w:wAfter w:w="2" w:type="dxa"/>
                <w:trHeight w:val="473"/>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2.</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圆形刺激线圈</w:t>
                  </w:r>
                </w:p>
              </w:tc>
              <w:tc>
                <w:tcPr>
                  <w:tcW w:w="948"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color w:val="000000"/>
                      <w:kern w:val="0"/>
                      <w:sz w:val="21"/>
                      <w:szCs w:val="21"/>
                    </w:rPr>
                    <w:t>套</w:t>
                  </w:r>
                </w:p>
              </w:tc>
              <w:tc>
                <w:tcPr>
                  <w:tcW w:w="731" w:type="pct"/>
                  <w:gridSpan w:val="2"/>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4" w:type="pct"/>
                <w:jc w:val="center"/>
                <w:tblLayout w:type="fixed"/>
                <w:tblCellMar>
                  <w:top w:w="0" w:type="dxa"/>
                  <w:left w:w="0" w:type="dxa"/>
                  <w:bottom w:w="0" w:type="dxa"/>
                  <w:right w:w="0" w:type="dxa"/>
                </w:tblCellMar>
              </w:tblPrEx>
              <w:trPr>
                <w:gridAfter w:val="1"/>
                <w:wAfter w:w="2" w:type="dxa"/>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3.</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lang w:val="en-US"/>
                    </w:rPr>
                    <w:t>八字形刺激线圈</w:t>
                  </w:r>
                </w:p>
              </w:tc>
              <w:tc>
                <w:tcPr>
                  <w:tcW w:w="948"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套</w:t>
                  </w:r>
                </w:p>
              </w:tc>
              <w:tc>
                <w:tcPr>
                  <w:tcW w:w="731" w:type="pct"/>
                  <w:gridSpan w:val="2"/>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4" w:type="pct"/>
                <w:jc w:val="center"/>
                <w:tblLayout w:type="fixed"/>
                <w:tblCellMar>
                  <w:top w:w="0" w:type="dxa"/>
                  <w:left w:w="0" w:type="dxa"/>
                  <w:bottom w:w="0" w:type="dxa"/>
                  <w:right w:w="0" w:type="dxa"/>
                </w:tblCellMar>
              </w:tblPrEx>
              <w:trPr>
                <w:gridAfter w:val="1"/>
                <w:wAfter w:w="2" w:type="dxa"/>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4.</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高性能PC操作管理与控制系统</w:t>
                  </w:r>
                </w:p>
              </w:tc>
              <w:tc>
                <w:tcPr>
                  <w:tcW w:w="948"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套</w:t>
                  </w:r>
                </w:p>
              </w:tc>
              <w:tc>
                <w:tcPr>
                  <w:tcW w:w="731" w:type="pct"/>
                  <w:gridSpan w:val="2"/>
                  <w:vAlign w:val="center"/>
                </w:tcPr>
                <w:p>
                  <w:pPr>
                    <w:adjustRightInd w:val="0"/>
                    <w:snapToGrid w:val="0"/>
                    <w:spacing w:line="360" w:lineRule="auto"/>
                    <w:ind w:left="583" w:leftChars="0"/>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r>
              <w:tblPrEx>
                <w:tblW w:w="4994" w:type="pct"/>
                <w:jc w:val="center"/>
                <w:tblLayout w:type="fixed"/>
                <w:tblCellMar>
                  <w:top w:w="0" w:type="dxa"/>
                  <w:left w:w="0" w:type="dxa"/>
                  <w:bottom w:w="0" w:type="dxa"/>
                  <w:right w:w="0" w:type="dxa"/>
                </w:tblCellMar>
              </w:tblPrEx>
              <w:trPr>
                <w:gridAfter w:val="1"/>
                <w:wAfter w:w="2" w:type="dxa"/>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5.</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液态内循环冷却系统</w:t>
                  </w:r>
                </w:p>
              </w:tc>
              <w:tc>
                <w:tcPr>
                  <w:tcW w:w="948"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color w:val="000000"/>
                      <w:kern w:val="0"/>
                      <w:sz w:val="21"/>
                      <w:szCs w:val="21"/>
                    </w:rPr>
                    <w:t>套</w:t>
                  </w:r>
                </w:p>
              </w:tc>
              <w:tc>
                <w:tcPr>
                  <w:tcW w:w="731" w:type="pct"/>
                  <w:gridSpan w:val="2"/>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4" w:type="pct"/>
                <w:jc w:val="center"/>
                <w:tblLayout w:type="fixed"/>
                <w:tblCellMar>
                  <w:top w:w="0" w:type="dxa"/>
                  <w:left w:w="0" w:type="dxa"/>
                  <w:bottom w:w="0" w:type="dxa"/>
                  <w:right w:w="0" w:type="dxa"/>
                </w:tblCellMar>
              </w:tblPrEx>
              <w:trPr>
                <w:gridAfter w:val="1"/>
                <w:wAfter w:w="2" w:type="dxa"/>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6.</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线圈固定支架</w:t>
                  </w:r>
                </w:p>
              </w:tc>
              <w:tc>
                <w:tcPr>
                  <w:tcW w:w="948"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color w:val="000000"/>
                      <w:kern w:val="0"/>
                      <w:sz w:val="21"/>
                      <w:szCs w:val="21"/>
                    </w:rPr>
                    <w:t>套</w:t>
                  </w:r>
                </w:p>
              </w:tc>
              <w:tc>
                <w:tcPr>
                  <w:tcW w:w="731" w:type="pct"/>
                  <w:gridSpan w:val="2"/>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2</w:t>
                  </w:r>
                </w:p>
              </w:tc>
            </w:tr>
            <w:tr>
              <w:tblPrEx>
                <w:tblW w:w="4994" w:type="pct"/>
                <w:jc w:val="center"/>
                <w:tblLayout w:type="fixed"/>
                <w:tblCellMar>
                  <w:top w:w="0" w:type="dxa"/>
                  <w:left w:w="0" w:type="dxa"/>
                  <w:bottom w:w="0" w:type="dxa"/>
                  <w:right w:w="0" w:type="dxa"/>
                </w:tblCellMar>
              </w:tblPrEx>
              <w:trPr>
                <w:gridAfter w:val="1"/>
                <w:wAfter w:w="2" w:type="dxa"/>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7.</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MEP模块</w:t>
                  </w:r>
                </w:p>
              </w:tc>
              <w:tc>
                <w:tcPr>
                  <w:tcW w:w="948"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color w:val="000000"/>
                      <w:kern w:val="0"/>
                      <w:sz w:val="21"/>
                      <w:szCs w:val="21"/>
                    </w:rPr>
                    <w:t>套</w:t>
                  </w:r>
                </w:p>
              </w:tc>
              <w:tc>
                <w:tcPr>
                  <w:tcW w:w="731" w:type="pct"/>
                  <w:gridSpan w:val="2"/>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4" w:type="pct"/>
                <w:jc w:val="center"/>
                <w:tblLayout w:type="fixed"/>
                <w:tblCellMar>
                  <w:top w:w="0" w:type="dxa"/>
                  <w:left w:w="0" w:type="dxa"/>
                  <w:bottom w:w="0" w:type="dxa"/>
                  <w:right w:w="0" w:type="dxa"/>
                </w:tblCellMar>
              </w:tblPrEx>
              <w:trPr>
                <w:gridAfter w:val="1"/>
                <w:wAfter w:w="2" w:type="dxa"/>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8.</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lang w:val="en-US"/>
                    </w:rPr>
                    <w:t>定位帽</w:t>
                  </w:r>
                </w:p>
              </w:tc>
              <w:tc>
                <w:tcPr>
                  <w:tcW w:w="948"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color w:val="000000"/>
                      <w:kern w:val="0"/>
                      <w:sz w:val="21"/>
                      <w:szCs w:val="21"/>
                      <w:lang w:val="en-US" w:eastAsia="zh-CN"/>
                    </w:rPr>
                    <w:t>个</w:t>
                  </w:r>
                </w:p>
              </w:tc>
              <w:tc>
                <w:tcPr>
                  <w:tcW w:w="731" w:type="pct"/>
                  <w:gridSpan w:val="2"/>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5</w:t>
                  </w:r>
                </w:p>
              </w:tc>
            </w:tr>
            <w:tr>
              <w:tblPrEx>
                <w:tblW w:w="4994"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9.</w:t>
                  </w:r>
                </w:p>
              </w:tc>
              <w:tc>
                <w:tcPr>
                  <w:tcW w:w="2777" w:type="pct"/>
                  <w:vAlign w:val="center"/>
                </w:tcPr>
                <w:p>
                  <w:pPr>
                    <w:adjustRightInd w:val="0"/>
                    <w:snapToGrid w:val="0"/>
                    <w:spacing w:line="360" w:lineRule="auto"/>
                    <w:ind w:left="123"/>
                    <w:rPr>
                      <w:rFonts w:ascii="宋体" w:eastAsia="宋体" w:hAnsi="宋体" w:cs="宋体" w:hint="eastAsia"/>
                      <w:sz w:val="21"/>
                      <w:szCs w:val="21"/>
                    </w:rPr>
                  </w:pPr>
                  <w:r>
                    <w:rPr>
                      <w:rFonts w:ascii="宋体" w:eastAsia="宋体" w:hAnsi="宋体" w:cs="宋体" w:hint="eastAsia"/>
                      <w:sz w:val="21"/>
                      <w:szCs w:val="21"/>
                    </w:rPr>
                    <w:t>MEP电极片</w:t>
                  </w:r>
                </w:p>
              </w:tc>
              <w:tc>
                <w:tcPr>
                  <w:tcW w:w="950" w:type="pct"/>
                  <w:gridSpan w:val="2"/>
                  <w:vAlign w:val="center"/>
                </w:tcPr>
                <w:p>
                  <w:pPr>
                    <w:adjustRightInd w:val="0"/>
                    <w:snapToGrid w:val="0"/>
                    <w:spacing w:line="360" w:lineRule="auto"/>
                    <w:ind w:left="0" w:leftChars="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片</w:t>
                  </w:r>
                </w:p>
              </w:tc>
              <w:tc>
                <w:tcPr>
                  <w:tcW w:w="731" w:type="pct"/>
                  <w:gridSpan w:val="2"/>
                  <w:vAlign w:val="center"/>
                </w:tcPr>
                <w:p>
                  <w:pPr>
                    <w:adjustRightInd w:val="0"/>
                    <w:snapToGrid w:val="0"/>
                    <w:spacing w:line="360" w:lineRule="auto"/>
                    <w:ind w:left="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60</w:t>
                  </w:r>
                </w:p>
              </w:tc>
            </w:tr>
            <w:tr>
              <w:tblPrEx>
                <w:tblW w:w="4994"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10.</w:t>
                  </w:r>
                </w:p>
              </w:tc>
              <w:tc>
                <w:tcPr>
                  <w:tcW w:w="2777" w:type="pct"/>
                  <w:vAlign w:val="center"/>
                </w:tcPr>
                <w:p>
                  <w:pPr>
                    <w:adjustRightInd w:val="0"/>
                    <w:snapToGrid w:val="0"/>
                    <w:spacing w:line="360" w:lineRule="auto"/>
                    <w:ind w:left="123"/>
                    <w:rPr>
                      <w:rFonts w:ascii="宋体" w:eastAsia="宋体" w:hAnsi="宋体" w:cs="宋体" w:hint="eastAsia"/>
                      <w:sz w:val="21"/>
                      <w:szCs w:val="21"/>
                    </w:rPr>
                  </w:pPr>
                  <w:r>
                    <w:rPr>
                      <w:rFonts w:ascii="宋体" w:eastAsia="宋体" w:hAnsi="宋体" w:cs="宋体" w:hint="eastAsia"/>
                      <w:sz w:val="21"/>
                      <w:szCs w:val="21"/>
                    </w:rPr>
                    <w:t>MEP电极线</w:t>
                  </w:r>
                </w:p>
              </w:tc>
              <w:tc>
                <w:tcPr>
                  <w:tcW w:w="950" w:type="pct"/>
                  <w:gridSpan w:val="2"/>
                  <w:vAlign w:val="center"/>
                </w:tcPr>
                <w:p>
                  <w:pPr>
                    <w:adjustRightInd w:val="0"/>
                    <w:snapToGrid w:val="0"/>
                    <w:spacing w:line="360" w:lineRule="auto"/>
                    <w:ind w:left="0" w:leftChars="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对</w:t>
                  </w:r>
                </w:p>
              </w:tc>
              <w:tc>
                <w:tcPr>
                  <w:tcW w:w="731" w:type="pct"/>
                  <w:gridSpan w:val="2"/>
                  <w:vAlign w:val="center"/>
                </w:tcPr>
                <w:p>
                  <w:pPr>
                    <w:adjustRightInd w:val="0"/>
                    <w:snapToGrid w:val="0"/>
                    <w:spacing w:line="360" w:lineRule="auto"/>
                    <w:ind w:left="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20</w:t>
                  </w:r>
                </w:p>
              </w:tc>
            </w:tr>
            <w:tr>
              <w:tblPrEx>
                <w:tblW w:w="4994"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11.</w:t>
                  </w:r>
                </w:p>
              </w:tc>
              <w:tc>
                <w:tcPr>
                  <w:tcW w:w="2777" w:type="pct"/>
                  <w:vAlign w:val="center"/>
                </w:tcPr>
                <w:p>
                  <w:pPr>
                    <w:adjustRightInd w:val="0"/>
                    <w:snapToGrid w:val="0"/>
                    <w:spacing w:line="360" w:lineRule="auto"/>
                    <w:ind w:left="123"/>
                    <w:rPr>
                      <w:rFonts w:ascii="宋体" w:eastAsia="宋体" w:hAnsi="宋体" w:cs="宋体" w:hint="eastAsia"/>
                      <w:sz w:val="21"/>
                      <w:szCs w:val="21"/>
                    </w:rPr>
                  </w:pPr>
                  <w:r>
                    <w:rPr>
                      <w:rFonts w:ascii="宋体" w:eastAsia="宋体" w:hAnsi="宋体" w:cs="宋体" w:hint="eastAsia"/>
                      <w:sz w:val="21"/>
                      <w:szCs w:val="21"/>
                    </w:rPr>
                    <w:t>接口CC++PYTHOA</w:t>
                  </w:r>
                </w:p>
              </w:tc>
              <w:tc>
                <w:tcPr>
                  <w:tcW w:w="950" w:type="pct"/>
                  <w:gridSpan w:val="2"/>
                  <w:vAlign w:val="center"/>
                </w:tcPr>
                <w:p>
                  <w:pPr>
                    <w:adjustRightInd w:val="0"/>
                    <w:snapToGrid w:val="0"/>
                    <w:spacing w:line="360" w:lineRule="auto"/>
                    <w:ind w:left="0" w:leftChars="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套</w:t>
                  </w:r>
                </w:p>
              </w:tc>
              <w:tc>
                <w:tcPr>
                  <w:tcW w:w="731" w:type="pct"/>
                  <w:gridSpan w:val="2"/>
                  <w:vAlign w:val="center"/>
                </w:tcPr>
                <w:p>
                  <w:pPr>
                    <w:adjustRightInd w:val="0"/>
                    <w:snapToGrid w:val="0"/>
                    <w:spacing w:line="360" w:lineRule="auto"/>
                    <w:ind w:left="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r>
              <w:tblPrEx>
                <w:tblW w:w="4994"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12.</w:t>
                  </w:r>
                </w:p>
              </w:tc>
              <w:tc>
                <w:tcPr>
                  <w:tcW w:w="2777" w:type="pct"/>
                  <w:vAlign w:val="center"/>
                </w:tcPr>
                <w:p>
                  <w:pPr>
                    <w:adjustRightInd w:val="0"/>
                    <w:snapToGrid w:val="0"/>
                    <w:spacing w:line="360" w:lineRule="auto"/>
                    <w:ind w:left="123"/>
                    <w:rPr>
                      <w:rFonts w:ascii="宋体" w:eastAsia="宋体" w:hAnsi="宋体" w:cs="宋体" w:hint="eastAsia"/>
                      <w:sz w:val="21"/>
                      <w:szCs w:val="21"/>
                    </w:rPr>
                  </w:pPr>
                  <w:r>
                    <w:rPr>
                      <w:rFonts w:ascii="宋体" w:eastAsia="宋体" w:hAnsi="宋体" w:cs="宋体" w:hint="eastAsia"/>
                      <w:sz w:val="21"/>
                      <w:szCs w:val="21"/>
                    </w:rPr>
                    <w:t>专用推车</w:t>
                  </w:r>
                </w:p>
              </w:tc>
              <w:tc>
                <w:tcPr>
                  <w:tcW w:w="950" w:type="pct"/>
                  <w:gridSpan w:val="2"/>
                  <w:vAlign w:val="center"/>
                </w:tcPr>
                <w:p>
                  <w:pPr>
                    <w:adjustRightInd w:val="0"/>
                    <w:snapToGrid w:val="0"/>
                    <w:spacing w:line="360" w:lineRule="auto"/>
                    <w:ind w:left="0" w:leftChars="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台</w:t>
                  </w:r>
                </w:p>
              </w:tc>
              <w:tc>
                <w:tcPr>
                  <w:tcW w:w="731" w:type="pct"/>
                  <w:gridSpan w:val="2"/>
                  <w:vAlign w:val="center"/>
                </w:tcPr>
                <w:p>
                  <w:pPr>
                    <w:adjustRightInd w:val="0"/>
                    <w:snapToGrid w:val="0"/>
                    <w:spacing w:line="360" w:lineRule="auto"/>
                    <w:ind w:left="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r>
              <w:tblPrEx>
                <w:tblW w:w="4994"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13.</w:t>
                  </w:r>
                </w:p>
              </w:tc>
              <w:tc>
                <w:tcPr>
                  <w:tcW w:w="2777" w:type="pct"/>
                  <w:vAlign w:val="center"/>
                </w:tcPr>
                <w:p>
                  <w:pPr>
                    <w:adjustRightInd w:val="0"/>
                    <w:snapToGrid w:val="0"/>
                    <w:spacing w:line="360" w:lineRule="auto"/>
                    <w:ind w:left="123"/>
                    <w:rPr>
                      <w:rFonts w:ascii="宋体" w:eastAsia="宋体" w:hAnsi="宋体" w:cs="宋体" w:hint="eastAsia"/>
                      <w:sz w:val="21"/>
                      <w:szCs w:val="21"/>
                    </w:rPr>
                  </w:pPr>
                  <w:r>
                    <w:rPr>
                      <w:rFonts w:ascii="宋体" w:eastAsia="宋体" w:hAnsi="宋体" w:cs="宋体" w:hint="eastAsia"/>
                      <w:sz w:val="21"/>
                      <w:szCs w:val="21"/>
                    </w:rPr>
                    <w:t>不锈钢支架</w:t>
                  </w:r>
                </w:p>
              </w:tc>
              <w:tc>
                <w:tcPr>
                  <w:tcW w:w="950" w:type="pct"/>
                  <w:gridSpan w:val="2"/>
                  <w:vAlign w:val="center"/>
                </w:tcPr>
                <w:p>
                  <w:pPr>
                    <w:adjustRightInd w:val="0"/>
                    <w:snapToGrid w:val="0"/>
                    <w:spacing w:line="360" w:lineRule="auto"/>
                    <w:ind w:left="0" w:leftChars="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个</w:t>
                  </w:r>
                </w:p>
              </w:tc>
              <w:tc>
                <w:tcPr>
                  <w:tcW w:w="731" w:type="pct"/>
                  <w:gridSpan w:val="2"/>
                  <w:vAlign w:val="center"/>
                </w:tcPr>
                <w:p>
                  <w:pPr>
                    <w:adjustRightInd w:val="0"/>
                    <w:snapToGrid w:val="0"/>
                    <w:spacing w:line="360" w:lineRule="auto"/>
                    <w:ind w:left="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bl>
          <w:p>
            <w:pPr>
              <w:pStyle w:val="NoSpacing"/>
              <w:rPr>
                <w:rFonts w:ascii="宋体" w:eastAsia="宋体" w:hAnsi="宋体" w:cs="宋体" w:hint="eastAsia"/>
                <w:sz w:val="21"/>
                <w:szCs w:val="21"/>
                <w:lang w:val="en-US" w:eastAsia="zh-CN"/>
              </w:rPr>
            </w:pP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val="restart"/>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2</w:t>
            </w:r>
          </w:p>
        </w:tc>
        <w:tc>
          <w:tcPr>
            <w:tcW w:w="1134" w:type="dxa"/>
            <w:vMerge w:val="restar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压电式冲击波治疗仪</w:t>
            </w: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 xml:space="preserve">1、电磁式冲击波源: </w:t>
            </w:r>
            <w:r>
              <w:rPr>
                <w:rFonts w:ascii="宋体" w:hAnsi="宋体" w:cs="宋体" w:hint="eastAsia"/>
                <w:sz w:val="21"/>
                <w:szCs w:val="21"/>
                <w:lang w:val="en-US" w:eastAsia="zh-CN"/>
              </w:rPr>
              <w:t>采用</w:t>
            </w:r>
            <w:r>
              <w:rPr>
                <w:rFonts w:ascii="宋体" w:eastAsia="宋体" w:hAnsi="宋体" w:cs="宋体" w:hint="eastAsia"/>
                <w:sz w:val="21"/>
                <w:szCs w:val="21"/>
              </w:rPr>
              <w:t>无透镜自聚焦电磁式冲击波源,封闭水路系统作为冲击波传导介质；</w:t>
            </w:r>
          </w:p>
        </w:tc>
      </w:tr>
      <w:tr>
        <w:tblPrEx>
          <w:tblW w:w="8460" w:type="dxa"/>
          <w:jc w:val="center"/>
          <w:tblLayout w:type="fixed"/>
          <w:tblCellMar>
            <w:top w:w="0" w:type="dxa"/>
            <w:left w:w="108" w:type="dxa"/>
            <w:bottom w:w="0" w:type="dxa"/>
            <w:right w:w="108" w:type="dxa"/>
          </w:tblCellMar>
        </w:tblPrEx>
        <w:trPr>
          <w:trHeight w:val="403"/>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2、冲击波为柱状定向发射,非扇形发散式，冲击波最大压缩声压峰值≤30MPa；</w:t>
            </w:r>
          </w:p>
        </w:tc>
      </w:tr>
      <w:tr>
        <w:tblPrEx>
          <w:tblW w:w="8460" w:type="dxa"/>
          <w:jc w:val="center"/>
          <w:tblLayout w:type="fixed"/>
          <w:tblCellMar>
            <w:top w:w="0" w:type="dxa"/>
            <w:left w:w="108" w:type="dxa"/>
            <w:bottom w:w="0" w:type="dxa"/>
            <w:right w:w="108" w:type="dxa"/>
          </w:tblCellMar>
        </w:tblPrEx>
        <w:trPr>
          <w:trHeight w:val="91"/>
          <w:jc w:val="center"/>
        </w:trPr>
        <w:tc>
          <w:tcPr>
            <w:tcW w:w="841" w:type="dxa"/>
            <w:vMerge/>
          </w:tcPr>
          <w:p>
            <w:pPr>
              <w:pStyle w:val="NoSpacing"/>
            </w:pPr>
          </w:p>
        </w:tc>
        <w:tc>
          <w:tcPr>
            <w:tcW w:w="1134" w:type="dxa"/>
            <w:vMerge/>
          </w:tcPr>
          <w:p>
            <w:pPr>
              <w:pStyle w:val="NoSpacing"/>
            </w:pPr>
          </w:p>
        </w:tc>
        <w:tc>
          <w:tcPr>
            <w:tcW w:w="6485" w:type="dxa"/>
          </w:tcPr>
          <w:p>
            <w:pPr>
              <w:pStyle w:val="NoSpacing"/>
              <w:rPr>
                <w:rFonts w:ascii="宋体" w:eastAsia="宋体" w:hAnsi="宋体" w:cs="宋体" w:hint="eastAsia"/>
                <w:sz w:val="21"/>
                <w:szCs w:val="21"/>
              </w:rPr>
            </w:pPr>
            <w:r>
              <w:rPr>
                <w:rFonts w:ascii="宋体" w:eastAsia="宋体" w:hAnsi="宋体" w:cs="宋体" w:hint="eastAsia"/>
                <w:sz w:val="21"/>
                <w:szCs w:val="21"/>
              </w:rPr>
              <w:t>3、冲击波聚焦范围：径向≥±10mm；</w:t>
            </w:r>
            <w:r>
              <w:rPr>
                <w:rFonts w:ascii="宋体" w:hAnsi="宋体" w:cs="宋体" w:hint="eastAsia"/>
                <w:b/>
                <w:bCs/>
                <w:color w:val="FF0000"/>
                <w:szCs w:val="21"/>
              </w:rPr>
              <w:t>(提供生产厂家盖章的技术白皮书或产品彩页或产品说明书或其他证明材料)。</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4、冲击波最大能流密度≤0.35 mJ/mm²，高压脉冲电容储能最大值≥40J；</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5、冲击波脉冲宽度：≤1μs，冲击波脉冲上升时间：≤0.5μs；</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6、冲击波最大发射频率≥4.5 Hz ；</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7、冲击波触发模式：单次触发、连续触发。</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8、手持式治疗头：手持式治疗头具有按键调节能量功能， 能量调节级数：</w:t>
            </w:r>
            <w:r>
              <w:rPr>
                <w:rFonts w:ascii="宋体" w:hAnsi="宋体" w:cs="宋体" w:hint="eastAsia"/>
                <w:sz w:val="21"/>
                <w:szCs w:val="21"/>
                <w:lang w:val="en-US" w:eastAsia="zh-CN"/>
              </w:rPr>
              <w:t>至少具有</w:t>
            </w:r>
            <w:r>
              <w:rPr>
                <w:rFonts w:ascii="宋体" w:eastAsia="宋体" w:hAnsi="宋体" w:cs="宋体" w:hint="eastAsia"/>
                <w:sz w:val="21"/>
                <w:szCs w:val="21"/>
              </w:rPr>
              <w:t>1至10级，治疗深度： ≥60mm；</w:t>
            </w:r>
            <w:r>
              <w:rPr>
                <w:rFonts w:ascii="宋体" w:hAnsi="宋体" w:cs="宋体" w:hint="eastAsia"/>
                <w:b/>
                <w:bCs/>
                <w:color w:val="FF0000"/>
                <w:szCs w:val="21"/>
              </w:rPr>
              <w:t>(提供生产厂家盖章的技术白皮书或产品彩页或产品说明书或其他证明材料)。</w:t>
            </w:r>
          </w:p>
        </w:tc>
      </w:tr>
      <w:tr>
        <w:tblPrEx>
          <w:tblW w:w="8460" w:type="dxa"/>
          <w:jc w:val="center"/>
          <w:tblLayout w:type="fixed"/>
          <w:tblCellMar>
            <w:top w:w="0" w:type="dxa"/>
            <w:left w:w="108" w:type="dxa"/>
            <w:bottom w:w="0" w:type="dxa"/>
            <w:right w:w="108" w:type="dxa"/>
          </w:tblCellMar>
        </w:tblPrEx>
        <w:trPr>
          <w:trHeight w:val="403"/>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9、屏幕上实时显示治疗焦点深度，手持式治疗头使用寿命 ≥150万次。</w:t>
            </w:r>
            <w:r>
              <w:rPr>
                <w:rFonts w:ascii="宋体" w:hAnsi="宋体" w:cs="宋体" w:hint="eastAsia"/>
                <w:b/>
                <w:bCs/>
                <w:color w:val="FF0000"/>
                <w:szCs w:val="21"/>
              </w:rPr>
              <w:t>(提供生产厂家盖章的技术白皮书或产品彩页或产品说明书或其他证明材料)。</w:t>
            </w:r>
          </w:p>
        </w:tc>
      </w:tr>
      <w:tr>
        <w:tblPrEx>
          <w:tblW w:w="8460" w:type="dxa"/>
          <w:jc w:val="center"/>
          <w:tblLayout w:type="fixed"/>
          <w:tblCellMar>
            <w:top w:w="0" w:type="dxa"/>
            <w:left w:w="108" w:type="dxa"/>
            <w:bottom w:w="0" w:type="dxa"/>
            <w:right w:w="108" w:type="dxa"/>
          </w:tblCellMar>
        </w:tblPrEx>
        <w:trPr>
          <w:trHeight w:val="403"/>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default"/>
                <w:sz w:val="21"/>
                <w:szCs w:val="21"/>
                <w:lang w:val="en-US" w:eastAsia="zh-CN"/>
              </w:rPr>
            </w:pPr>
            <w:r>
              <w:rPr>
                <w:rFonts w:ascii="宋体" w:hAnsi="宋体" w:cs="宋体" w:hint="eastAsia"/>
                <w:sz w:val="21"/>
                <w:szCs w:val="21"/>
                <w:lang w:val="en-US" w:eastAsia="zh-CN"/>
              </w:rPr>
              <w:t>10、</w:t>
            </w:r>
            <w:r>
              <w:rPr>
                <w:rFonts w:ascii="宋体" w:hAnsi="宋体" w:cs="宋体" w:hint="eastAsia"/>
                <w:szCs w:val="21"/>
              </w:rPr>
              <w:t>手柄具有红外线深度测量功能</w:t>
            </w:r>
            <w:r>
              <w:rPr>
                <w:rFonts w:ascii="宋体" w:hAnsi="宋体" w:cs="宋体" w:hint="eastAsia"/>
                <w:szCs w:val="21"/>
                <w:lang w:eastAsia="zh-CN"/>
              </w:rPr>
              <w:t>。</w:t>
            </w:r>
            <w:r>
              <w:rPr>
                <w:rFonts w:ascii="宋体" w:hAnsi="宋体" w:cs="宋体" w:hint="eastAsia"/>
                <w:b/>
                <w:bCs/>
                <w:color w:val="FF0000"/>
                <w:szCs w:val="21"/>
              </w:rPr>
              <w:t>(提供生产厂家盖章的技术白皮书或产品彩页或产品说明书或其他证明材料)。</w:t>
            </w:r>
          </w:p>
        </w:tc>
      </w:tr>
      <w:tr>
        <w:tblPrEx>
          <w:tblW w:w="8460" w:type="dxa"/>
          <w:jc w:val="center"/>
          <w:tblLayout w:type="fixed"/>
          <w:tblCellMar>
            <w:top w:w="0" w:type="dxa"/>
            <w:left w:w="108" w:type="dxa"/>
            <w:bottom w:w="0" w:type="dxa"/>
            <w:right w:w="108" w:type="dxa"/>
          </w:tblCellMar>
        </w:tblPrEx>
        <w:trPr>
          <w:trHeight w:val="90"/>
          <w:jc w:val="center"/>
        </w:trPr>
        <w:tc>
          <w:tcPr>
            <w:tcW w:w="841" w:type="dxa"/>
            <w:vMerge/>
          </w:tcPr>
          <w:p>
            <w:pPr>
              <w:pStyle w:val="NoSpacing"/>
            </w:pPr>
          </w:p>
        </w:tc>
        <w:tc>
          <w:tcPr>
            <w:tcW w:w="1134" w:type="dxa"/>
            <w:vMerge/>
          </w:tcPr>
          <w:p>
            <w:pPr>
              <w:pStyle w:val="NoSpacing"/>
            </w:pPr>
          </w:p>
        </w:tc>
        <w:tc>
          <w:tcPr>
            <w:tcW w:w="6485" w:type="dxa"/>
          </w:tcPr>
          <w:p>
            <w:pPr>
              <w:pStyle w:val="NoSpacing"/>
              <w:rPr>
                <w:rFonts w:ascii="宋体" w:eastAsia="宋体" w:hAnsi="宋体" w:cs="宋体" w:hint="eastAsia"/>
                <w:sz w:val="21"/>
                <w:szCs w:val="21"/>
              </w:rPr>
            </w:pPr>
            <w:r>
              <w:rPr>
                <w:rFonts w:ascii="宋体" w:eastAsia="宋体" w:hAnsi="宋体" w:cs="宋体" w:hint="eastAsia"/>
                <w:sz w:val="21"/>
                <w:szCs w:val="21"/>
              </w:rPr>
              <w:t>1</w:t>
            </w:r>
            <w:r>
              <w:rPr>
                <w:rFonts w:ascii="宋体" w:hAnsi="宋体" w:cs="宋体" w:hint="eastAsia"/>
                <w:sz w:val="21"/>
                <w:szCs w:val="21"/>
                <w:lang w:val="en-US" w:eastAsia="zh-CN"/>
              </w:rPr>
              <w:t>1</w:t>
            </w:r>
            <w:r>
              <w:rPr>
                <w:rFonts w:ascii="宋体" w:eastAsia="宋体" w:hAnsi="宋体" w:cs="宋体" w:hint="eastAsia"/>
                <w:sz w:val="21"/>
                <w:szCs w:val="21"/>
              </w:rPr>
              <w:t xml:space="preserve"> 、操控系统： 整机操控系统由内嵌式计算机模块控制</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w:t>
            </w:r>
            <w:r>
              <w:rPr>
                <w:rFonts w:ascii="宋体" w:hAnsi="宋体" w:cs="宋体" w:hint="eastAsia"/>
                <w:sz w:val="21"/>
                <w:szCs w:val="21"/>
                <w:lang w:val="en-US" w:eastAsia="zh-CN"/>
              </w:rPr>
              <w:t>2</w:t>
            </w:r>
            <w:r>
              <w:rPr>
                <w:rFonts w:ascii="宋体" w:eastAsia="宋体" w:hAnsi="宋体" w:cs="宋体" w:hint="eastAsia"/>
                <w:sz w:val="21"/>
                <w:szCs w:val="21"/>
              </w:rPr>
              <w:t>、彩色触摸屏尺寸≥10寸，可预设冲击波发射次数，达到预设值自动停止，操作界面可显示当前冲击波发射次数，同时记录冲击波累计发射总次数；</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w:t>
            </w:r>
            <w:r>
              <w:rPr>
                <w:rFonts w:ascii="宋体" w:hAnsi="宋体" w:cs="宋体" w:hint="eastAsia"/>
                <w:sz w:val="21"/>
                <w:szCs w:val="21"/>
                <w:lang w:val="en-US" w:eastAsia="zh-CN"/>
              </w:rPr>
              <w:t>3</w:t>
            </w:r>
            <w:r>
              <w:rPr>
                <w:rFonts w:ascii="宋体" w:eastAsia="宋体" w:hAnsi="宋体" w:cs="宋体" w:hint="eastAsia"/>
                <w:sz w:val="21"/>
                <w:szCs w:val="21"/>
              </w:rPr>
              <w:t>、系统内置多个治疗参数预设方案供临床参考。</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w:t>
            </w:r>
            <w:r>
              <w:rPr>
                <w:rFonts w:ascii="宋体" w:hAnsi="宋体" w:cs="宋体" w:hint="eastAsia"/>
                <w:sz w:val="21"/>
                <w:szCs w:val="21"/>
                <w:lang w:val="en-US" w:eastAsia="zh-CN"/>
              </w:rPr>
              <w:t>4</w:t>
            </w:r>
            <w:r>
              <w:rPr>
                <w:rFonts w:ascii="宋体" w:eastAsia="宋体" w:hAnsi="宋体" w:cs="宋体" w:hint="eastAsia"/>
                <w:sz w:val="21"/>
                <w:szCs w:val="21"/>
              </w:rPr>
              <w:t>、具有安全自检系统，自动检测各功能模块是否故障；整机重量≤20kg。</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rPr>
                <w:rFonts w:ascii="宋体" w:eastAsia="宋体" w:hAnsi="宋体" w:cs="宋体" w:hint="eastAsia"/>
                <w:sz w:val="21"/>
                <w:szCs w:val="21"/>
                <w:lang w:val="en-US" w:eastAsia="zh-CN"/>
              </w:rPr>
            </w:pPr>
            <w:r>
              <w:rPr>
                <w:rFonts w:ascii="宋体" w:eastAsia="宋体" w:hAnsi="宋体" w:cs="宋体" w:hint="eastAsia"/>
                <w:bCs/>
                <w:sz w:val="21"/>
                <w:szCs w:val="21"/>
              </w:rPr>
              <w:t>★</w:t>
            </w:r>
            <w:r>
              <w:rPr>
                <w:rFonts w:ascii="宋体" w:eastAsia="宋体" w:hAnsi="宋体" w:cs="宋体" w:hint="eastAsia"/>
                <w:sz w:val="21"/>
                <w:szCs w:val="21"/>
                <w:lang w:val="en-US" w:eastAsia="zh-CN"/>
              </w:rPr>
              <w:t>配置清单：</w:t>
            </w:r>
          </w:p>
          <w:tbl>
            <w:tblPr>
              <w:tblStyle w:val="TableNormal1"/>
              <w:tblW w:w="4992"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76"/>
              <w:gridCol w:w="3477"/>
              <w:gridCol w:w="1184"/>
              <w:gridCol w:w="916"/>
            </w:tblGrid>
            <w:tr>
              <w:tblPrEx>
                <w:tblW w:w="4992"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jc w:val="center"/>
                    <w:rPr>
                      <w:rFonts w:ascii="宋体" w:eastAsia="宋体" w:hAnsi="宋体" w:cs="宋体" w:hint="eastAsia"/>
                      <w:kern w:val="0"/>
                      <w:sz w:val="21"/>
                      <w:szCs w:val="21"/>
                    </w:rPr>
                  </w:pPr>
                  <w:r>
                    <w:rPr>
                      <w:rFonts w:ascii="宋体" w:eastAsia="宋体" w:hAnsi="宋体" w:cs="宋体" w:hint="eastAsia"/>
                      <w:spacing w:val="4"/>
                      <w:kern w:val="0"/>
                      <w:sz w:val="21"/>
                      <w:szCs w:val="21"/>
                    </w:rPr>
                    <w:t>序号</w:t>
                  </w:r>
                </w:p>
              </w:tc>
              <w:tc>
                <w:tcPr>
                  <w:tcW w:w="2780" w:type="pct"/>
                  <w:vAlign w:val="center"/>
                </w:tcPr>
                <w:p>
                  <w:pPr>
                    <w:adjustRightInd w:val="0"/>
                    <w:snapToGrid w:val="0"/>
                    <w:spacing w:line="360" w:lineRule="auto"/>
                    <w:jc w:val="center"/>
                    <w:rPr>
                      <w:rFonts w:ascii="宋体" w:eastAsia="宋体" w:hAnsi="宋体" w:cs="宋体" w:hint="eastAsia"/>
                      <w:spacing w:val="4"/>
                      <w:kern w:val="0"/>
                      <w:sz w:val="21"/>
                      <w:szCs w:val="21"/>
                    </w:rPr>
                  </w:pPr>
                  <w:r>
                    <w:rPr>
                      <w:rFonts w:ascii="宋体" w:eastAsia="宋体" w:hAnsi="宋体" w:cs="宋体" w:hint="eastAsia"/>
                      <w:spacing w:val="4"/>
                      <w:kern w:val="0"/>
                      <w:sz w:val="21"/>
                      <w:szCs w:val="21"/>
                    </w:rPr>
                    <w:t>名称</w:t>
                  </w:r>
                </w:p>
              </w:tc>
              <w:tc>
                <w:tcPr>
                  <w:tcW w:w="946" w:type="pct"/>
                  <w:vAlign w:val="center"/>
                </w:tcPr>
                <w:p>
                  <w:pPr>
                    <w:adjustRightInd w:val="0"/>
                    <w:snapToGrid w:val="0"/>
                    <w:spacing w:line="360" w:lineRule="auto"/>
                    <w:ind w:left="596"/>
                    <w:rPr>
                      <w:rFonts w:ascii="宋体" w:eastAsia="宋体" w:hAnsi="宋体" w:cs="宋体" w:hint="eastAsia"/>
                      <w:kern w:val="0"/>
                      <w:sz w:val="21"/>
                      <w:szCs w:val="21"/>
                    </w:rPr>
                  </w:pPr>
                  <w:r>
                    <w:rPr>
                      <w:rFonts w:ascii="宋体" w:eastAsia="宋体" w:hAnsi="宋体" w:cs="宋体" w:hint="eastAsia"/>
                      <w:spacing w:val="7"/>
                      <w:kern w:val="0"/>
                      <w:sz w:val="21"/>
                      <w:szCs w:val="21"/>
                    </w:rPr>
                    <w:t>单位</w:t>
                  </w:r>
                </w:p>
              </w:tc>
              <w:tc>
                <w:tcPr>
                  <w:tcW w:w="732" w:type="pct"/>
                  <w:vAlign w:val="center"/>
                </w:tcPr>
                <w:p>
                  <w:pPr>
                    <w:adjustRightInd w:val="0"/>
                    <w:snapToGrid w:val="0"/>
                    <w:spacing w:line="360" w:lineRule="auto"/>
                    <w:ind w:left="307"/>
                    <w:rPr>
                      <w:rFonts w:ascii="宋体" w:eastAsia="宋体" w:hAnsi="宋体" w:cs="宋体" w:hint="eastAsia"/>
                      <w:kern w:val="0"/>
                      <w:sz w:val="21"/>
                      <w:szCs w:val="21"/>
                    </w:rPr>
                  </w:pPr>
                  <w:r>
                    <w:rPr>
                      <w:rFonts w:ascii="宋体" w:eastAsia="宋体" w:hAnsi="宋体" w:cs="宋体" w:hint="eastAsia"/>
                      <w:spacing w:val="4"/>
                      <w:kern w:val="0"/>
                      <w:sz w:val="21"/>
                      <w:szCs w:val="21"/>
                    </w:rPr>
                    <w:t>数量</w:t>
                  </w:r>
                </w:p>
              </w:tc>
            </w:tr>
            <w:tr>
              <w:tblPrEx>
                <w:tblW w:w="4992" w:type="pct"/>
                <w:jc w:val="center"/>
                <w:tblLayout w:type="fixed"/>
                <w:tblCellMar>
                  <w:top w:w="0" w:type="dxa"/>
                  <w:left w:w="0" w:type="dxa"/>
                  <w:bottom w:w="0" w:type="dxa"/>
                  <w:right w:w="0" w:type="dxa"/>
                </w:tblCellMar>
              </w:tblPrEx>
              <w:trPr>
                <w:trHeight w:val="334"/>
                <w:jc w:val="center"/>
              </w:trPr>
              <w:tc>
                <w:tcPr>
                  <w:tcW w:w="540" w:type="pct"/>
                  <w:vAlign w:val="center"/>
                </w:tcPr>
                <w:p>
                  <w:pPr>
                    <w:adjustRightInd w:val="0"/>
                    <w:snapToGrid w:val="0"/>
                    <w:spacing w:line="360" w:lineRule="auto"/>
                    <w:ind w:left="123"/>
                    <w:jc w:val="center"/>
                    <w:rPr>
                      <w:rFonts w:ascii="宋体" w:eastAsia="宋体" w:hAnsi="宋体" w:cs="宋体" w:hint="eastAsia"/>
                      <w:kern w:val="0"/>
                      <w:sz w:val="21"/>
                      <w:szCs w:val="21"/>
                    </w:rPr>
                  </w:pPr>
                  <w:r>
                    <w:rPr>
                      <w:rFonts w:ascii="宋体" w:eastAsia="宋体" w:hAnsi="宋体" w:cs="宋体" w:hint="eastAsia"/>
                      <w:spacing w:val="-13"/>
                      <w:kern w:val="0"/>
                      <w:sz w:val="21"/>
                      <w:szCs w:val="21"/>
                    </w:rPr>
                    <w:t>1.</w:t>
                  </w:r>
                </w:p>
              </w:tc>
              <w:tc>
                <w:tcPr>
                  <w:tcW w:w="2780" w:type="pct"/>
                  <w:vAlign w:val="center"/>
                </w:tcPr>
                <w:p>
                  <w:pPr>
                    <w:widowControl/>
                    <w:jc w:val="left"/>
                    <w:rPr>
                      <w:rFonts w:ascii="宋体" w:eastAsia="宋体" w:hAnsi="宋体" w:cs="宋体" w:hint="eastAsia"/>
                      <w:spacing w:val="-13"/>
                      <w:kern w:val="0"/>
                      <w:sz w:val="21"/>
                      <w:szCs w:val="21"/>
                    </w:rPr>
                  </w:pPr>
                  <w:r>
                    <w:rPr>
                      <w:rFonts w:ascii="宋体" w:eastAsia="宋体" w:hAnsi="宋体" w:cs="宋体" w:hint="eastAsia"/>
                      <w:sz w:val="21"/>
                      <w:szCs w:val="21"/>
                    </w:rPr>
                    <w:t>主机</w:t>
                  </w:r>
                </w:p>
              </w:tc>
              <w:tc>
                <w:tcPr>
                  <w:tcW w:w="946"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color w:val="000000"/>
                      <w:kern w:val="0"/>
                      <w:sz w:val="21"/>
                      <w:szCs w:val="21"/>
                    </w:rPr>
                    <w:t>台</w:t>
                  </w:r>
                </w:p>
              </w:tc>
              <w:tc>
                <w:tcPr>
                  <w:tcW w:w="732" w:type="pct"/>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2" w:type="pct"/>
                <w:jc w:val="center"/>
                <w:tblLayout w:type="fixed"/>
                <w:tblCellMar>
                  <w:top w:w="0" w:type="dxa"/>
                  <w:left w:w="0" w:type="dxa"/>
                  <w:bottom w:w="0" w:type="dxa"/>
                  <w:right w:w="0" w:type="dxa"/>
                </w:tblCellMar>
              </w:tblPrEx>
              <w:trPr>
                <w:trHeight w:val="473"/>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2.</w:t>
                  </w:r>
                </w:p>
              </w:tc>
              <w:tc>
                <w:tcPr>
                  <w:tcW w:w="2780"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手持式治疗头</w:t>
                  </w:r>
                </w:p>
              </w:tc>
              <w:tc>
                <w:tcPr>
                  <w:tcW w:w="946"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color w:val="000000"/>
                      <w:kern w:val="0"/>
                      <w:sz w:val="21"/>
                      <w:szCs w:val="21"/>
                      <w:lang w:val="en-US" w:eastAsia="zh-CN"/>
                    </w:rPr>
                    <w:t>个</w:t>
                  </w:r>
                </w:p>
              </w:tc>
              <w:tc>
                <w:tcPr>
                  <w:tcW w:w="732" w:type="pct"/>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2"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3.</w:t>
                  </w:r>
                </w:p>
              </w:tc>
              <w:tc>
                <w:tcPr>
                  <w:tcW w:w="2780"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视化治疗系统</w:t>
                  </w:r>
                </w:p>
              </w:tc>
              <w:tc>
                <w:tcPr>
                  <w:tcW w:w="946"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套</w:t>
                  </w:r>
                </w:p>
              </w:tc>
              <w:tc>
                <w:tcPr>
                  <w:tcW w:w="732"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2"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4.</w:t>
                  </w:r>
                </w:p>
              </w:tc>
              <w:tc>
                <w:tcPr>
                  <w:tcW w:w="2780"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治疗方案预设置系统</w:t>
                  </w:r>
                </w:p>
              </w:tc>
              <w:tc>
                <w:tcPr>
                  <w:tcW w:w="946"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套</w:t>
                  </w:r>
                </w:p>
              </w:tc>
              <w:tc>
                <w:tcPr>
                  <w:tcW w:w="732" w:type="pct"/>
                  <w:vAlign w:val="center"/>
                </w:tcPr>
                <w:p>
                  <w:pPr>
                    <w:adjustRightInd w:val="0"/>
                    <w:snapToGrid w:val="0"/>
                    <w:spacing w:line="360" w:lineRule="auto"/>
                    <w:ind w:left="583" w:leftChars="0"/>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r>
              <w:tblPrEx>
                <w:tblW w:w="4992" w:type="pct"/>
                <w:jc w:val="center"/>
                <w:tblLayout w:type="fixed"/>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5.</w:t>
                  </w:r>
                </w:p>
              </w:tc>
              <w:tc>
                <w:tcPr>
                  <w:tcW w:w="2780"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万向轮推车</w:t>
                  </w:r>
                </w:p>
              </w:tc>
              <w:tc>
                <w:tcPr>
                  <w:tcW w:w="946" w:type="pct"/>
                  <w:vAlign w:val="center"/>
                </w:tcPr>
                <w:p>
                  <w:pPr>
                    <w:widowControl/>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台</w:t>
                  </w:r>
                </w:p>
              </w:tc>
              <w:tc>
                <w:tcPr>
                  <w:tcW w:w="732"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bl>
          <w:p>
            <w:pPr>
              <w:pStyle w:val="NoSpacing"/>
              <w:rPr>
                <w:rFonts w:ascii="宋体" w:eastAsia="宋体" w:hAnsi="宋体" w:cs="宋体" w:hint="eastAsia"/>
                <w:sz w:val="21"/>
                <w:szCs w:val="21"/>
                <w:lang w:val="en-US" w:eastAsia="zh-CN"/>
              </w:rPr>
            </w:pP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val="restart"/>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3</w:t>
            </w:r>
          </w:p>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val="restar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生物刺激反馈仪</w:t>
            </w: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bCs/>
                <w:sz w:val="21"/>
                <w:szCs w:val="21"/>
              </w:rPr>
              <w:t>（一）硬件参数：</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1.独立4通道设备。</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2.AD采样率：≥8192 Hz</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3.AD采样位数：</w:t>
            </w:r>
            <w:r>
              <w:rPr>
                <w:rFonts w:hint="eastAsia"/>
                <w:lang w:val="en-US" w:eastAsia="zh-CN"/>
              </w:rPr>
              <w:t>≥</w:t>
            </w:r>
            <w:r>
              <w:rPr>
                <w:rFonts w:ascii="宋体" w:eastAsia="宋体" w:hAnsi="宋体" w:cs="宋体" w:hint="eastAsia"/>
                <w:b w:val="0"/>
                <w:bCs w:val="0"/>
                <w:sz w:val="21"/>
                <w:szCs w:val="21"/>
              </w:rPr>
              <w:t>16</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4.刺激强度</w:t>
            </w:r>
            <w:r>
              <w:rPr>
                <w:rFonts w:ascii="宋体" w:hAnsi="宋体" w:cs="宋体" w:hint="eastAsia"/>
                <w:b w:val="0"/>
                <w:bCs w:val="0"/>
                <w:sz w:val="21"/>
                <w:szCs w:val="21"/>
                <w:lang w:val="en-US" w:eastAsia="zh-CN"/>
              </w:rPr>
              <w:t>至少包含</w:t>
            </w:r>
            <w:r>
              <w:rPr>
                <w:rFonts w:ascii="宋体" w:eastAsia="宋体" w:hAnsi="宋体" w:cs="宋体" w:hint="eastAsia"/>
                <w:b w:val="0"/>
                <w:bCs w:val="0"/>
                <w:sz w:val="21"/>
                <w:szCs w:val="21"/>
              </w:rPr>
              <w:t>：0-100mA</w:t>
            </w:r>
            <w:r>
              <w:rPr>
                <w:rFonts w:ascii="宋体" w:hAnsi="宋体" w:cs="宋体" w:hint="eastAsia"/>
                <w:b w:val="0"/>
                <w:bCs w:val="0"/>
                <w:sz w:val="21"/>
                <w:szCs w:val="21"/>
                <w:lang w:eastAsia="zh-CN"/>
              </w:rPr>
              <w:t>。</w:t>
            </w:r>
            <w:r>
              <w:rPr>
                <w:rFonts w:ascii="宋体" w:hAnsi="宋体" w:cs="宋体" w:hint="eastAsia"/>
                <w:b/>
                <w:bCs/>
                <w:color w:val="FF0000"/>
                <w:szCs w:val="21"/>
              </w:rPr>
              <w:t>(提供生产厂家盖章的技术白皮书或产品彩页或产品说明书或其他证明材料)。</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5.刺激频率</w:t>
            </w:r>
            <w:r>
              <w:rPr>
                <w:rFonts w:ascii="宋体" w:hAnsi="宋体" w:cs="宋体" w:hint="eastAsia"/>
                <w:b w:val="0"/>
                <w:bCs w:val="0"/>
                <w:sz w:val="21"/>
                <w:szCs w:val="21"/>
                <w:lang w:val="en-US" w:eastAsia="zh-CN"/>
              </w:rPr>
              <w:t>至少包含</w:t>
            </w:r>
            <w:r>
              <w:rPr>
                <w:rFonts w:ascii="宋体" w:eastAsia="宋体" w:hAnsi="宋体" w:cs="宋体" w:hint="eastAsia"/>
                <w:b w:val="0"/>
                <w:bCs w:val="0"/>
                <w:sz w:val="21"/>
                <w:szCs w:val="21"/>
              </w:rPr>
              <w:t>：0.5-999Hz</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6.脉冲宽度</w:t>
            </w:r>
            <w:r>
              <w:rPr>
                <w:rFonts w:ascii="宋体" w:hAnsi="宋体" w:cs="宋体" w:hint="eastAsia"/>
                <w:b w:val="0"/>
                <w:bCs w:val="0"/>
                <w:sz w:val="21"/>
                <w:szCs w:val="21"/>
                <w:lang w:val="en-US" w:eastAsia="zh-CN"/>
              </w:rPr>
              <w:t>至少包含</w:t>
            </w:r>
            <w:r>
              <w:rPr>
                <w:rFonts w:ascii="宋体" w:eastAsia="宋体" w:hAnsi="宋体" w:cs="宋体" w:hint="eastAsia"/>
                <w:b w:val="0"/>
                <w:bCs w:val="0"/>
                <w:sz w:val="21"/>
                <w:szCs w:val="21"/>
              </w:rPr>
              <w:t>：10μs～1000μs</w:t>
            </w:r>
            <w:r>
              <w:rPr>
                <w:rFonts w:ascii="宋体" w:hAnsi="宋体" w:cs="宋体" w:hint="eastAsia"/>
                <w:b w:val="0"/>
                <w:bCs w:val="0"/>
                <w:sz w:val="21"/>
                <w:szCs w:val="21"/>
                <w:lang w:eastAsia="zh-CN"/>
              </w:rPr>
              <w:t>。</w:t>
            </w:r>
            <w:r>
              <w:rPr>
                <w:rFonts w:ascii="宋体" w:hAnsi="宋体" w:cs="宋体" w:hint="eastAsia"/>
                <w:b/>
                <w:bCs/>
                <w:color w:val="FF0000"/>
                <w:szCs w:val="21"/>
              </w:rPr>
              <w:t>(提供生产厂家盖章的技术白皮书或产品彩页或产品说明书或其他证明材料)。</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default"/>
                <w:sz w:val="21"/>
                <w:szCs w:val="21"/>
                <w:lang w:val="en-US" w:eastAsia="zh-CN"/>
              </w:rPr>
            </w:pPr>
            <w:r>
              <w:rPr>
                <w:rFonts w:ascii="宋体" w:eastAsia="宋体" w:hAnsi="宋体" w:cs="宋体" w:hint="eastAsia"/>
                <w:b w:val="0"/>
                <w:bCs w:val="0"/>
                <w:sz w:val="21"/>
                <w:szCs w:val="21"/>
              </w:rPr>
              <w:t>7.上升下降时间：</w:t>
            </w:r>
            <w:r>
              <w:rPr>
                <w:rFonts w:ascii="宋体" w:hAnsi="宋体" w:cs="宋体" w:hint="eastAsia"/>
                <w:b w:val="0"/>
                <w:bCs w:val="0"/>
                <w:sz w:val="21"/>
                <w:szCs w:val="21"/>
                <w:lang w:eastAsia="zh-CN"/>
              </w:rPr>
              <w:t>在</w:t>
            </w:r>
            <w:r>
              <w:rPr>
                <w:rFonts w:ascii="宋体" w:eastAsia="宋体" w:hAnsi="宋体" w:cs="宋体" w:hint="eastAsia"/>
                <w:b w:val="0"/>
                <w:bCs w:val="0"/>
                <w:sz w:val="21"/>
                <w:szCs w:val="21"/>
              </w:rPr>
              <w:t>0-10s</w:t>
            </w:r>
            <w:r>
              <w:rPr>
                <w:rFonts w:ascii="宋体" w:hAnsi="宋体" w:cs="宋体" w:hint="eastAsia"/>
                <w:b w:val="0"/>
                <w:bCs w:val="0"/>
                <w:sz w:val="21"/>
                <w:szCs w:val="21"/>
                <w:lang w:val="en-US" w:eastAsia="zh-CN"/>
              </w:rPr>
              <w:t>范围内</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8.内置放大器带宽</w:t>
            </w:r>
            <w:r>
              <w:rPr>
                <w:rFonts w:ascii="宋体" w:hAnsi="宋体" w:cs="宋体" w:hint="eastAsia"/>
                <w:b w:val="0"/>
                <w:bCs w:val="0"/>
                <w:sz w:val="21"/>
                <w:szCs w:val="21"/>
                <w:lang w:val="en-US" w:eastAsia="zh-CN"/>
              </w:rPr>
              <w:t>至少包含</w:t>
            </w:r>
            <w:r>
              <w:rPr>
                <w:rFonts w:ascii="宋体" w:eastAsia="宋体" w:hAnsi="宋体" w:cs="宋体" w:hint="eastAsia"/>
                <w:b w:val="0"/>
                <w:bCs w:val="0"/>
                <w:sz w:val="21"/>
                <w:szCs w:val="21"/>
              </w:rPr>
              <w:t xml:space="preserve">：20Hz～500Hz </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9.内置放大器测量范围</w:t>
            </w:r>
            <w:r>
              <w:rPr>
                <w:rFonts w:ascii="宋体" w:hAnsi="宋体" w:cs="宋体" w:hint="eastAsia"/>
                <w:b w:val="0"/>
                <w:bCs w:val="0"/>
                <w:sz w:val="21"/>
                <w:szCs w:val="21"/>
                <w:lang w:val="en-US" w:eastAsia="zh-CN"/>
              </w:rPr>
              <w:t>至少包含</w:t>
            </w:r>
            <w:r>
              <w:rPr>
                <w:rFonts w:ascii="宋体" w:eastAsia="宋体" w:hAnsi="宋体" w:cs="宋体" w:hint="eastAsia"/>
                <w:b w:val="0"/>
                <w:bCs w:val="0"/>
                <w:sz w:val="21"/>
                <w:szCs w:val="21"/>
              </w:rPr>
              <w:t>：1-999μV（r.m.s）</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 xml:space="preserve">10.内置放大器最高分辨率：≤2μV(r.m.s) </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11.内置放大器输入噪声：＜1μV（r.m.s）</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12.刺激波形：双相平衡波</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13.彩色液晶触摸屏</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14.物理调节：外置电流调节旋钮</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bCs/>
                <w:sz w:val="21"/>
                <w:szCs w:val="21"/>
              </w:rPr>
              <w:t>（二）软件参数：</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1.内置嵌入式软件：具有功能康复、基础康复和评估反馈三大工作模块，且可根据患者需求编辑个性化治疗方案；</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2.内置多种治疗方案，包括：垂腕、垂足、吞咽、肩关节半脱位、促醒、镇痛等方案，可自定义治疗方案并可储存；</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3.具有神经肌肉电刺激功能（Neuromuscular Electrical Stimulation, NMES）；</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4.具有肌电触发电刺激功能（EMG Trigger Stim,ETS）；强化正反馈，根据肌电信号实时改变电刺激强度，肌电值越大，电流强度也越大；</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5.具有对侧控制性功能电刺激功能（CCFES）：CCFES以健侧肌电信号控制患侧进行对称性运动，提供双侧的皮质驱动，</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6.神经肌肉电刺激方案可实现多人，多通道，多方案，随时开始。</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7.具有时序模式和独立刺激模式可选。</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8.可编辑个性化治疗方案，自定义临床方案刺激时间、间歇时间、波升时间、波降时间、刺激频率、脉宽可调，且推荐临床常用的治疗参数；提供常规刺激、载波调制和变频电刺激三种刺激形式选择，方案通道可自定义。</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9.具备表面肌电评估功能，实时评估患者肌力情况，可出具评估报告，评估报告可存储及导出。</w:t>
            </w:r>
          </w:p>
        </w:tc>
      </w:tr>
      <w:tr>
        <w:tblPrEx>
          <w:tblW w:w="8460" w:type="dxa"/>
          <w:jc w:val="center"/>
          <w:tblLayout w:type="fixed"/>
          <w:tblCellMar>
            <w:top w:w="0" w:type="dxa"/>
            <w:left w:w="108" w:type="dxa"/>
            <w:bottom w:w="0" w:type="dxa"/>
            <w:right w:w="108" w:type="dxa"/>
          </w:tblCellMar>
        </w:tblPrEx>
        <w:trPr>
          <w:trHeight w:val="600"/>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10.具备多媒体生物反馈训练功能，5大类动画反馈：可进行肌力放松、增强、耐力、协调、精准训练；</w:t>
            </w:r>
          </w:p>
        </w:tc>
      </w:tr>
      <w:tr>
        <w:tblPrEx>
          <w:tblW w:w="8460" w:type="dxa"/>
          <w:jc w:val="center"/>
          <w:tblLayout w:type="fixed"/>
          <w:tblCellMar>
            <w:top w:w="0" w:type="dxa"/>
            <w:left w:w="108" w:type="dxa"/>
            <w:bottom w:w="0" w:type="dxa"/>
            <w:right w:w="108" w:type="dxa"/>
          </w:tblCellMar>
        </w:tblPrEx>
        <w:trPr>
          <w:trHeight w:val="295"/>
          <w:jc w:val="center"/>
        </w:trPr>
        <w:tc>
          <w:tcPr>
            <w:tcW w:w="841" w:type="dxa"/>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1134" w:type="dxa"/>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6485" w:type="dxa"/>
          </w:tcPr>
          <w:p>
            <w:pPr>
              <w:rPr>
                <w:rFonts w:ascii="宋体" w:eastAsia="宋体" w:hAnsi="宋体" w:cs="宋体" w:hint="eastAsia"/>
                <w:sz w:val="21"/>
                <w:szCs w:val="21"/>
                <w:lang w:val="en-US" w:eastAsia="zh-CN"/>
              </w:rPr>
            </w:pPr>
            <w:r>
              <w:rPr>
                <w:rFonts w:ascii="宋体" w:eastAsia="宋体" w:hAnsi="宋体" w:cs="宋体" w:hint="eastAsia"/>
                <w:bCs/>
                <w:sz w:val="21"/>
                <w:szCs w:val="21"/>
              </w:rPr>
              <w:t>★</w:t>
            </w:r>
            <w:r>
              <w:rPr>
                <w:rFonts w:ascii="宋体" w:eastAsia="宋体" w:hAnsi="宋体" w:cs="宋体" w:hint="eastAsia"/>
                <w:sz w:val="21"/>
                <w:szCs w:val="21"/>
                <w:lang w:val="en-US" w:eastAsia="zh-CN"/>
              </w:rPr>
              <w:t>配置清单：</w:t>
            </w:r>
          </w:p>
          <w:tbl>
            <w:tblPr>
              <w:tblStyle w:val="TableNormal"/>
              <w:tblW w:w="499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76"/>
              <w:gridCol w:w="3479"/>
              <w:gridCol w:w="1184"/>
              <w:gridCol w:w="916"/>
            </w:tblGrid>
            <w:tr>
              <w:tblPrEx>
                <w:tblW w:w="499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rPr>
                      <w:rFonts w:hint="eastAsia"/>
                    </w:rPr>
                  </w:pPr>
                  <w:r>
                    <w:rPr>
                      <w:rFonts w:hint="eastAsia"/>
                    </w:rPr>
                    <w:t>序号</w:t>
                  </w:r>
                </w:p>
              </w:tc>
              <w:tc>
                <w:tcPr>
                  <w:tcW w:w="2781" w:type="pct"/>
                  <w:vAlign w:val="center"/>
                </w:tcPr>
                <w:p>
                  <w:pPr>
                    <w:rPr>
                      <w:rFonts w:hint="eastAsia"/>
                    </w:rPr>
                  </w:pPr>
                  <w:r>
                    <w:rPr>
                      <w:rFonts w:hint="eastAsia"/>
                    </w:rPr>
                    <w:t>名称</w:t>
                  </w:r>
                </w:p>
              </w:tc>
              <w:tc>
                <w:tcPr>
                  <w:tcW w:w="946" w:type="pct"/>
                  <w:vAlign w:val="center"/>
                </w:tcPr>
                <w:p>
                  <w:pPr>
                    <w:jc w:val="center"/>
                    <w:rPr>
                      <w:rFonts w:hint="eastAsia"/>
                    </w:rPr>
                  </w:pPr>
                  <w:r>
                    <w:rPr>
                      <w:rFonts w:hint="eastAsia"/>
                    </w:rPr>
                    <w:t>单位</w:t>
                  </w:r>
                </w:p>
              </w:tc>
              <w:tc>
                <w:tcPr>
                  <w:tcW w:w="731" w:type="pct"/>
                  <w:vAlign w:val="center"/>
                </w:tcPr>
                <w:p>
                  <w:pPr>
                    <w:jc w:val="center"/>
                    <w:rPr>
                      <w:rFonts w:hint="eastAsia"/>
                    </w:rPr>
                  </w:pPr>
                  <w:r>
                    <w:rPr>
                      <w:rFonts w:hint="eastAsia"/>
                    </w:rPr>
                    <w:t>数量</w:t>
                  </w:r>
                </w:p>
              </w:tc>
            </w:tr>
            <w:tr>
              <w:tblPrEx>
                <w:tblW w:w="4994" w:type="pct"/>
                <w:jc w:val="center"/>
                <w:tblLayout w:type="fixed"/>
                <w:tblCellMar>
                  <w:top w:w="0" w:type="dxa"/>
                  <w:left w:w="0" w:type="dxa"/>
                  <w:bottom w:w="0" w:type="dxa"/>
                  <w:right w:w="0" w:type="dxa"/>
                </w:tblCellMar>
              </w:tblPrEx>
              <w:trPr>
                <w:trHeight w:val="334"/>
                <w:jc w:val="center"/>
              </w:trPr>
              <w:tc>
                <w:tcPr>
                  <w:tcW w:w="540" w:type="pct"/>
                  <w:vAlign w:val="center"/>
                </w:tcPr>
                <w:p>
                  <w:pPr>
                    <w:jc w:val="center"/>
                    <w:rPr>
                      <w:rFonts w:hint="eastAsia"/>
                    </w:rPr>
                  </w:pPr>
                  <w:r>
                    <w:rPr>
                      <w:rFonts w:hint="eastAsia"/>
                    </w:rPr>
                    <w:t>1.</w:t>
                  </w:r>
                </w:p>
              </w:tc>
              <w:tc>
                <w:tcPr>
                  <w:tcW w:w="2781" w:type="pct"/>
                  <w:vAlign w:val="center"/>
                </w:tcPr>
                <w:p>
                  <w:pPr>
                    <w:rPr>
                      <w:rFonts w:hint="eastAsia"/>
                    </w:rPr>
                  </w:pPr>
                  <w:r>
                    <w:rPr>
                      <w:rFonts w:hint="eastAsia"/>
                    </w:rPr>
                    <w:t>生物反馈刺激仪主机</w:t>
                  </w:r>
                </w:p>
              </w:tc>
              <w:tc>
                <w:tcPr>
                  <w:tcW w:w="946" w:type="pct"/>
                  <w:vAlign w:val="center"/>
                </w:tcPr>
                <w:p>
                  <w:pPr>
                    <w:jc w:val="center"/>
                    <w:rPr>
                      <w:rFonts w:hint="eastAsia"/>
                      <w:lang w:val="en-US" w:eastAsia="zh-CN"/>
                    </w:rPr>
                  </w:pPr>
                  <w:r>
                    <w:rPr>
                      <w:rFonts w:hint="eastAsia"/>
                    </w:rPr>
                    <w:t>台</w:t>
                  </w:r>
                </w:p>
              </w:tc>
              <w:tc>
                <w:tcPr>
                  <w:tcW w:w="731" w:type="pct"/>
                  <w:vAlign w:val="center"/>
                </w:tcPr>
                <w:p>
                  <w:pPr>
                    <w:jc w:val="center"/>
                    <w:rPr>
                      <w:rFonts w:hint="eastAsia"/>
                      <w:lang w:val="en-US" w:eastAsia="zh-CN"/>
                    </w:rPr>
                  </w:pPr>
                  <w:r>
                    <w:rPr>
                      <w:rFonts w:hint="eastAsia"/>
                      <w:lang w:val="en-US" w:eastAsia="zh-CN"/>
                    </w:rPr>
                    <w:t>1</w:t>
                  </w:r>
                </w:p>
              </w:tc>
            </w:tr>
            <w:tr>
              <w:tblPrEx>
                <w:tblW w:w="4994" w:type="pct"/>
                <w:jc w:val="center"/>
                <w:tblLayout w:type="fixed"/>
                <w:tblCellMar>
                  <w:top w:w="0" w:type="dxa"/>
                  <w:left w:w="0" w:type="dxa"/>
                  <w:bottom w:w="0" w:type="dxa"/>
                  <w:right w:w="0" w:type="dxa"/>
                </w:tblCellMar>
              </w:tblPrEx>
              <w:trPr>
                <w:trHeight w:val="473"/>
                <w:jc w:val="center"/>
              </w:trPr>
              <w:tc>
                <w:tcPr>
                  <w:tcW w:w="540" w:type="pct"/>
                  <w:vAlign w:val="center"/>
                </w:tcPr>
                <w:p>
                  <w:pPr>
                    <w:jc w:val="center"/>
                    <w:rPr>
                      <w:rFonts w:hint="eastAsia"/>
                    </w:rPr>
                  </w:pPr>
                  <w:r>
                    <w:rPr>
                      <w:rFonts w:hint="eastAsia"/>
                    </w:rPr>
                    <w:t>2.</w:t>
                  </w:r>
                </w:p>
              </w:tc>
              <w:tc>
                <w:tcPr>
                  <w:tcW w:w="2781" w:type="pct"/>
                  <w:vAlign w:val="center"/>
                </w:tcPr>
                <w:p>
                  <w:pPr>
                    <w:rPr>
                      <w:rFonts w:hint="eastAsia"/>
                    </w:rPr>
                  </w:pPr>
                  <w:r>
                    <w:rPr>
                      <w:rFonts w:hint="eastAsia"/>
                    </w:rPr>
                    <w:t>电极线</w:t>
                  </w:r>
                </w:p>
              </w:tc>
              <w:tc>
                <w:tcPr>
                  <w:tcW w:w="946" w:type="pct"/>
                  <w:vAlign w:val="center"/>
                </w:tcPr>
                <w:p>
                  <w:pPr>
                    <w:jc w:val="center"/>
                    <w:rPr>
                      <w:rFonts w:hint="eastAsia"/>
                      <w:lang w:val="en-US" w:eastAsia="zh-CN"/>
                    </w:rPr>
                  </w:pPr>
                  <w:r>
                    <w:rPr>
                      <w:rFonts w:hint="eastAsia"/>
                      <w:lang w:val="en-US" w:eastAsia="zh-CN"/>
                    </w:rPr>
                    <w:t>根</w:t>
                  </w:r>
                </w:p>
              </w:tc>
              <w:tc>
                <w:tcPr>
                  <w:tcW w:w="731" w:type="pct"/>
                  <w:vAlign w:val="center"/>
                </w:tcPr>
                <w:p>
                  <w:pPr>
                    <w:jc w:val="center"/>
                    <w:rPr>
                      <w:rFonts w:hint="eastAsia"/>
                      <w:lang w:val="en-US" w:eastAsia="zh-CN"/>
                    </w:rPr>
                  </w:pPr>
                  <w:r>
                    <w:rPr>
                      <w:rFonts w:hint="eastAsia"/>
                      <w:lang w:val="en-US" w:eastAsia="zh-CN"/>
                    </w:rPr>
                    <w:t>4</w:t>
                  </w:r>
                </w:p>
              </w:tc>
            </w:tr>
            <w:tr>
              <w:tblPrEx>
                <w:tblW w:w="4994" w:type="pct"/>
                <w:jc w:val="center"/>
                <w:tblLayout w:type="fixed"/>
                <w:tblCellMar>
                  <w:top w:w="0" w:type="dxa"/>
                  <w:left w:w="0" w:type="dxa"/>
                  <w:bottom w:w="0" w:type="dxa"/>
                  <w:right w:w="0" w:type="dxa"/>
                </w:tblCellMar>
              </w:tblPrEx>
              <w:trPr>
                <w:trHeight w:val="338"/>
                <w:jc w:val="center"/>
              </w:trPr>
              <w:tc>
                <w:tcPr>
                  <w:tcW w:w="540" w:type="pct"/>
                  <w:vAlign w:val="center"/>
                </w:tcPr>
                <w:p>
                  <w:pPr>
                    <w:jc w:val="center"/>
                    <w:rPr>
                      <w:rFonts w:hint="eastAsia"/>
                    </w:rPr>
                  </w:pPr>
                  <w:r>
                    <w:rPr>
                      <w:rFonts w:hint="eastAsia"/>
                    </w:rPr>
                    <w:t>3.</w:t>
                  </w:r>
                </w:p>
              </w:tc>
              <w:tc>
                <w:tcPr>
                  <w:tcW w:w="2781" w:type="pct"/>
                  <w:vAlign w:val="center"/>
                </w:tcPr>
                <w:p>
                  <w:pPr>
                    <w:rPr>
                      <w:rFonts w:hint="eastAsia"/>
                    </w:rPr>
                  </w:pPr>
                  <w:r>
                    <w:rPr>
                      <w:rFonts w:hint="eastAsia"/>
                    </w:rPr>
                    <w:t>理疗电极片</w:t>
                  </w:r>
                </w:p>
              </w:tc>
              <w:tc>
                <w:tcPr>
                  <w:tcW w:w="946" w:type="pct"/>
                  <w:vAlign w:val="center"/>
                </w:tcPr>
                <w:p>
                  <w:pPr>
                    <w:jc w:val="center"/>
                    <w:rPr>
                      <w:rFonts w:hint="eastAsia"/>
                      <w:lang w:val="en-US" w:eastAsia="zh-CN"/>
                    </w:rPr>
                  </w:pPr>
                  <w:r>
                    <w:rPr>
                      <w:rFonts w:hint="eastAsia"/>
                      <w:lang w:val="en-US" w:eastAsia="zh-CN"/>
                    </w:rPr>
                    <w:t>片</w:t>
                  </w:r>
                </w:p>
              </w:tc>
              <w:tc>
                <w:tcPr>
                  <w:tcW w:w="731" w:type="pct"/>
                  <w:vAlign w:val="center"/>
                </w:tcPr>
                <w:p>
                  <w:pPr>
                    <w:jc w:val="center"/>
                    <w:rPr>
                      <w:rFonts w:hint="eastAsia"/>
                      <w:lang w:val="en-US" w:eastAsia="zh-CN"/>
                    </w:rPr>
                  </w:pPr>
                  <w:r>
                    <w:rPr>
                      <w:rFonts w:hint="eastAsia"/>
                      <w:lang w:val="en-US" w:eastAsia="zh-CN"/>
                    </w:rPr>
                    <w:t>40</w:t>
                  </w:r>
                </w:p>
              </w:tc>
            </w:tr>
            <w:tr>
              <w:tblPrEx>
                <w:tblW w:w="4994" w:type="pct"/>
                <w:jc w:val="center"/>
                <w:tblLayout w:type="fixed"/>
                <w:tblCellMar>
                  <w:top w:w="0" w:type="dxa"/>
                  <w:left w:w="0" w:type="dxa"/>
                  <w:bottom w:w="0" w:type="dxa"/>
                  <w:right w:w="0" w:type="dxa"/>
                </w:tblCellMar>
              </w:tblPrEx>
              <w:trPr>
                <w:trHeight w:val="338"/>
                <w:jc w:val="center"/>
              </w:trPr>
              <w:tc>
                <w:tcPr>
                  <w:tcW w:w="540" w:type="pct"/>
                  <w:vAlign w:val="center"/>
                </w:tcPr>
                <w:p>
                  <w:pPr>
                    <w:jc w:val="center"/>
                    <w:rPr>
                      <w:rFonts w:hint="eastAsia"/>
                    </w:rPr>
                  </w:pPr>
                  <w:r>
                    <w:rPr>
                      <w:rFonts w:hint="eastAsia"/>
                    </w:rPr>
                    <w:t>4.</w:t>
                  </w:r>
                </w:p>
              </w:tc>
              <w:tc>
                <w:tcPr>
                  <w:tcW w:w="2781" w:type="pct"/>
                  <w:vAlign w:val="center"/>
                </w:tcPr>
                <w:p>
                  <w:pPr>
                    <w:rPr>
                      <w:rFonts w:hint="eastAsia"/>
                    </w:rPr>
                  </w:pPr>
                  <w:r>
                    <w:rPr>
                      <w:rFonts w:hint="eastAsia"/>
                    </w:rPr>
                    <w:t>一次性使用心电电极片</w:t>
                  </w:r>
                </w:p>
              </w:tc>
              <w:tc>
                <w:tcPr>
                  <w:tcW w:w="946" w:type="pct"/>
                  <w:vAlign w:val="center"/>
                </w:tcPr>
                <w:p>
                  <w:pPr>
                    <w:jc w:val="center"/>
                    <w:rPr>
                      <w:rFonts w:hint="eastAsia"/>
                    </w:rPr>
                  </w:pPr>
                  <w:r>
                    <w:rPr>
                      <w:rFonts w:hint="eastAsia"/>
                      <w:lang w:val="en-US" w:eastAsia="zh-CN"/>
                    </w:rPr>
                    <w:t>片</w:t>
                  </w:r>
                </w:p>
              </w:tc>
              <w:tc>
                <w:tcPr>
                  <w:tcW w:w="731" w:type="pct"/>
                  <w:vAlign w:val="center"/>
                </w:tcPr>
                <w:p>
                  <w:pPr>
                    <w:jc w:val="center"/>
                    <w:rPr>
                      <w:rFonts w:hint="eastAsia"/>
                      <w:lang w:val="en-US" w:eastAsia="zh-CN"/>
                    </w:rPr>
                  </w:pPr>
                  <w:r>
                    <w:rPr>
                      <w:rFonts w:hint="eastAsia"/>
                      <w:lang w:val="en-US" w:eastAsia="zh-CN"/>
                    </w:rPr>
                    <w:t>50</w:t>
                  </w:r>
                </w:p>
              </w:tc>
            </w:tr>
            <w:tr>
              <w:tblPrEx>
                <w:tblW w:w="4994" w:type="pct"/>
                <w:jc w:val="center"/>
                <w:tblLayout w:type="fixed"/>
                <w:tblCellMar>
                  <w:top w:w="0" w:type="dxa"/>
                  <w:left w:w="0" w:type="dxa"/>
                  <w:bottom w:w="0" w:type="dxa"/>
                  <w:right w:w="0" w:type="dxa"/>
                </w:tblCellMar>
              </w:tblPrEx>
              <w:trPr>
                <w:trHeight w:val="338"/>
                <w:jc w:val="center"/>
              </w:trPr>
              <w:tc>
                <w:tcPr>
                  <w:tcW w:w="540" w:type="pct"/>
                  <w:vAlign w:val="center"/>
                </w:tcPr>
                <w:p>
                  <w:pPr>
                    <w:jc w:val="center"/>
                    <w:rPr>
                      <w:rFonts w:hint="eastAsia"/>
                      <w:lang w:val="en-US" w:eastAsia="zh-CN"/>
                    </w:rPr>
                  </w:pPr>
                  <w:r>
                    <w:rPr>
                      <w:rFonts w:hint="eastAsia"/>
                      <w:lang w:val="en-US" w:eastAsia="zh-CN"/>
                    </w:rPr>
                    <w:t>5.</w:t>
                  </w:r>
                </w:p>
              </w:tc>
              <w:tc>
                <w:tcPr>
                  <w:tcW w:w="2781" w:type="pct"/>
                  <w:vAlign w:val="center"/>
                </w:tcPr>
                <w:p>
                  <w:pPr>
                    <w:rPr>
                      <w:rFonts w:hint="eastAsia"/>
                      <w:lang w:val="en-US" w:eastAsia="zh-CN"/>
                    </w:rPr>
                  </w:pPr>
                  <w:r>
                    <w:rPr>
                      <w:rFonts w:hint="eastAsia"/>
                      <w:lang w:val="en-US" w:eastAsia="zh-CN"/>
                    </w:rPr>
                    <w:t>U盘</w:t>
                  </w:r>
                </w:p>
              </w:tc>
              <w:tc>
                <w:tcPr>
                  <w:tcW w:w="946" w:type="pct"/>
                  <w:vAlign w:val="center"/>
                </w:tcPr>
                <w:p>
                  <w:pPr>
                    <w:jc w:val="center"/>
                    <w:rPr>
                      <w:rFonts w:hint="eastAsia"/>
                      <w:lang w:val="en-US" w:eastAsia="zh-CN"/>
                    </w:rPr>
                  </w:pPr>
                  <w:r>
                    <w:rPr>
                      <w:rFonts w:hint="eastAsia"/>
                      <w:lang w:val="en-US" w:eastAsia="zh-CN"/>
                    </w:rPr>
                    <w:t>个</w:t>
                  </w:r>
                </w:p>
              </w:tc>
              <w:tc>
                <w:tcPr>
                  <w:tcW w:w="731" w:type="pct"/>
                  <w:vAlign w:val="center"/>
                </w:tcPr>
                <w:p>
                  <w:pPr>
                    <w:jc w:val="center"/>
                    <w:rPr>
                      <w:rFonts w:hint="eastAsia"/>
                      <w:lang w:val="en-US" w:eastAsia="zh-CN"/>
                    </w:rPr>
                  </w:pPr>
                  <w:r>
                    <w:rPr>
                      <w:rFonts w:hint="eastAsia"/>
                      <w:lang w:val="en-US" w:eastAsia="zh-CN"/>
                    </w:rPr>
                    <w:t>1</w:t>
                  </w:r>
                </w:p>
              </w:tc>
            </w:tr>
            <w:tr>
              <w:tblPrEx>
                <w:tblW w:w="4994" w:type="pct"/>
                <w:jc w:val="center"/>
                <w:tblLayout w:type="fixed"/>
                <w:tblCellMar>
                  <w:top w:w="0" w:type="dxa"/>
                  <w:left w:w="0" w:type="dxa"/>
                  <w:bottom w:w="0" w:type="dxa"/>
                  <w:right w:w="0" w:type="dxa"/>
                </w:tblCellMar>
              </w:tblPrEx>
              <w:trPr>
                <w:trHeight w:val="338"/>
                <w:jc w:val="center"/>
              </w:trPr>
              <w:tc>
                <w:tcPr>
                  <w:tcW w:w="540" w:type="pct"/>
                  <w:vAlign w:val="center"/>
                </w:tcPr>
                <w:p>
                  <w:pPr>
                    <w:jc w:val="center"/>
                    <w:rPr>
                      <w:rFonts w:hint="eastAsia"/>
                      <w:lang w:val="en-US" w:eastAsia="zh-CN"/>
                    </w:rPr>
                  </w:pPr>
                  <w:r>
                    <w:rPr>
                      <w:rFonts w:hint="eastAsia"/>
                      <w:lang w:val="en-US" w:eastAsia="zh-CN"/>
                    </w:rPr>
                    <w:t>6.</w:t>
                  </w:r>
                </w:p>
              </w:tc>
              <w:tc>
                <w:tcPr>
                  <w:tcW w:w="2781" w:type="pct"/>
                  <w:vAlign w:val="center"/>
                </w:tcPr>
                <w:p>
                  <w:pPr>
                    <w:rPr>
                      <w:rFonts w:hint="eastAsia"/>
                      <w:lang w:val="en-US" w:eastAsia="zh-CN"/>
                    </w:rPr>
                  </w:pPr>
                  <w:r>
                    <w:rPr>
                      <w:rFonts w:hint="eastAsia"/>
                      <w:lang w:val="en-US" w:eastAsia="zh-CN"/>
                    </w:rPr>
                    <w:t>推车</w:t>
                  </w:r>
                </w:p>
              </w:tc>
              <w:tc>
                <w:tcPr>
                  <w:tcW w:w="946" w:type="pct"/>
                  <w:vAlign w:val="center"/>
                </w:tcPr>
                <w:p>
                  <w:pPr>
                    <w:jc w:val="center"/>
                    <w:rPr>
                      <w:rFonts w:hint="eastAsia"/>
                      <w:lang w:val="en-US" w:eastAsia="zh-CN"/>
                    </w:rPr>
                  </w:pPr>
                  <w:r>
                    <w:rPr>
                      <w:rFonts w:hint="eastAsia"/>
                      <w:lang w:val="en-US" w:eastAsia="zh-CN"/>
                    </w:rPr>
                    <w:t>台</w:t>
                  </w:r>
                </w:p>
              </w:tc>
              <w:tc>
                <w:tcPr>
                  <w:tcW w:w="731" w:type="pct"/>
                  <w:vAlign w:val="center"/>
                </w:tcPr>
                <w:p>
                  <w:pPr>
                    <w:jc w:val="center"/>
                    <w:rPr>
                      <w:rFonts w:hint="eastAsia"/>
                      <w:lang w:val="en-US" w:eastAsia="zh-CN"/>
                    </w:rPr>
                  </w:pPr>
                  <w:r>
                    <w:rPr>
                      <w:rFonts w:hint="eastAsia"/>
                      <w:lang w:val="en-US" w:eastAsia="zh-CN"/>
                    </w:rPr>
                    <w:t>1</w:t>
                  </w:r>
                </w:p>
              </w:tc>
            </w:tr>
            <w:tr>
              <w:tblPrEx>
                <w:tblW w:w="4994" w:type="pct"/>
                <w:jc w:val="center"/>
                <w:tblLayout w:type="fixed"/>
                <w:tblCellMar>
                  <w:top w:w="0" w:type="dxa"/>
                  <w:left w:w="0" w:type="dxa"/>
                  <w:bottom w:w="0" w:type="dxa"/>
                  <w:right w:w="0" w:type="dxa"/>
                </w:tblCellMar>
              </w:tblPrEx>
              <w:trPr>
                <w:trHeight w:val="338"/>
                <w:jc w:val="center"/>
              </w:trPr>
              <w:tc>
                <w:tcPr>
                  <w:tcW w:w="540" w:type="pct"/>
                  <w:vAlign w:val="center"/>
                </w:tcPr>
                <w:p>
                  <w:pPr>
                    <w:jc w:val="center"/>
                    <w:rPr>
                      <w:rFonts w:hint="eastAsia"/>
                      <w:lang w:val="en-US" w:eastAsia="zh-CN"/>
                    </w:rPr>
                  </w:pPr>
                  <w:r>
                    <w:rPr>
                      <w:rFonts w:hint="eastAsia"/>
                      <w:lang w:val="en-US" w:eastAsia="zh-CN"/>
                    </w:rPr>
                    <w:t>7.</w:t>
                  </w:r>
                </w:p>
              </w:tc>
              <w:tc>
                <w:tcPr>
                  <w:tcW w:w="2781" w:type="pct"/>
                  <w:vAlign w:val="center"/>
                </w:tcPr>
                <w:p>
                  <w:pPr>
                    <w:rPr>
                      <w:rFonts w:hint="eastAsia"/>
                    </w:rPr>
                  </w:pPr>
                  <w:r>
                    <w:rPr>
                      <w:rFonts w:hint="eastAsia"/>
                    </w:rPr>
                    <w:t>多媒体生物刺激反馈仪嵌入式软件</w:t>
                  </w:r>
                </w:p>
              </w:tc>
              <w:tc>
                <w:tcPr>
                  <w:tcW w:w="946" w:type="pct"/>
                  <w:vAlign w:val="center"/>
                </w:tcPr>
                <w:p>
                  <w:pPr>
                    <w:jc w:val="center"/>
                    <w:rPr>
                      <w:rFonts w:hint="eastAsia"/>
                      <w:lang w:val="en-US" w:eastAsia="zh-CN"/>
                    </w:rPr>
                  </w:pPr>
                  <w:r>
                    <w:rPr>
                      <w:rFonts w:hint="eastAsia"/>
                      <w:lang w:val="en-US" w:eastAsia="zh-CN"/>
                    </w:rPr>
                    <w:t>套</w:t>
                  </w:r>
                </w:p>
              </w:tc>
              <w:tc>
                <w:tcPr>
                  <w:tcW w:w="731" w:type="pct"/>
                  <w:vAlign w:val="center"/>
                </w:tcPr>
                <w:p>
                  <w:pPr>
                    <w:jc w:val="center"/>
                    <w:rPr>
                      <w:rFonts w:hint="eastAsia"/>
                      <w:lang w:eastAsia="zh-CN"/>
                    </w:rPr>
                  </w:pPr>
                  <w:r>
                    <w:rPr>
                      <w:rFonts w:hint="eastAsia"/>
                      <w:lang w:val="en-US" w:eastAsia="zh-CN"/>
                    </w:rPr>
                    <w:t>1</w:t>
                  </w:r>
                </w:p>
              </w:tc>
            </w:tr>
          </w:tbl>
          <w:p>
            <w:pPr>
              <w:pStyle w:val="NoSpacing"/>
              <w:rPr>
                <w:rFonts w:ascii="宋体" w:eastAsia="宋体" w:hAnsi="宋体" w:cs="宋体" w:hint="eastAsia"/>
                <w:sz w:val="21"/>
                <w:szCs w:val="21"/>
                <w:lang w:val="en-US" w:eastAsia="zh-CN"/>
              </w:rPr>
            </w:pPr>
          </w:p>
        </w:tc>
      </w:tr>
    </w:tbl>
    <w:p>
      <w:pPr>
        <w:rPr>
          <w:rFonts w:ascii="Times New Roman" w:eastAsia="宋体" w:hAnsi="Times New Roman" w:cs="Times New Roman"/>
          <w:b/>
          <w:szCs w:val="21"/>
        </w:rPr>
      </w:pPr>
      <w:bookmarkEnd w:id="44"/>
      <w:bookmarkEnd w:id="45"/>
    </w:p>
    <w:p>
      <w:pPr>
        <w:rPr>
          <w:rFonts w:ascii="Times New Roman" w:eastAsia="宋体" w:hAnsi="Times New Roman" w:cs="Times New Roman"/>
          <w:b/>
          <w:szCs w:val="21"/>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8"/>
          <w:szCs w:val="28"/>
          <w:lang w:val="en-US" w:eastAsia="zh-CN" w:bidi="ar-SA"/>
        </w:rPr>
      </w:pPr>
      <w:r>
        <w:rPr>
          <w:rFonts w:ascii="宋体" w:eastAsia="宋体" w:hAnsi="宋体" w:cs="Times New Roman" w:hint="eastAsia"/>
          <w:b/>
          <w:bCs/>
          <w:kern w:val="0"/>
          <w:sz w:val="28"/>
          <w:szCs w:val="28"/>
          <w:lang w:val="en-US" w:eastAsia="zh-CN" w:bidi="ar-SA"/>
        </w:rPr>
        <w:t>五、商务要求</w:t>
      </w:r>
    </w:p>
    <w:p>
      <w:pPr>
        <w:ind w:firstLine="420" w:firstLineChars="200"/>
        <w:rPr>
          <w:rFonts w:ascii="Times New Roman" w:eastAsia="宋体" w:hAnsi="Times New Roman" w:cs="Times New Roman"/>
          <w:b/>
          <w:szCs w:val="21"/>
        </w:rPr>
      </w:pPr>
      <w:r>
        <w:rPr>
          <w:rFonts w:ascii="Times New Roman" w:eastAsia="宋体" w:hAnsi="Times New Roman" w:cs="Times New Roman" w:hint="eastAsia"/>
          <w:b/>
          <w:szCs w:val="21"/>
        </w:rPr>
        <w:t>说明：带★号条款为不可偏离条款，不作为评分准则中的评分内容</w:t>
      </w:r>
      <w:r>
        <w:rPr>
          <w:rFonts w:ascii="Times New Roman" w:eastAsia="宋体" w:hAnsi="Times New Roman" w:cs="Times New Roman" w:hint="eastAsia"/>
          <w:b/>
          <w:szCs w:val="21"/>
          <w:lang w:eastAsia="zh-CN"/>
        </w:rPr>
        <w:t>，</w:t>
      </w:r>
      <w:r>
        <w:rPr>
          <w:rFonts w:ascii="Times New Roman" w:eastAsia="宋体" w:hAnsi="Times New Roman" w:cs="Times New Roman" w:hint="eastAsia"/>
          <w:b/>
          <w:szCs w:val="21"/>
        </w:rPr>
        <w:t>如未响应或出现负偏离的，将作投标无效处理。</w:t>
      </w:r>
    </w:p>
    <w:tbl>
      <w:tblPr>
        <w:tblStyle w:val="TableNormal00"/>
        <w:tblW w:w="501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807"/>
        <w:gridCol w:w="1694"/>
        <w:gridCol w:w="5835"/>
      </w:tblGrid>
      <w:tr>
        <w:tblPrEx>
          <w:tblW w:w="501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rPr>
          <w:trHeight w:val="576"/>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6"/>
                <w:kern w:val="0"/>
                <w:sz w:val="21"/>
                <w:szCs w:val="21"/>
              </w:rPr>
              <w:t>序号</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14"/>
                <w:kern w:val="0"/>
                <w:sz w:val="21"/>
                <w:szCs w:val="21"/>
              </w:rPr>
              <w:t>目录</w:t>
            </w:r>
          </w:p>
        </w:tc>
        <w:tc>
          <w:tcPr>
            <w:tcW w:w="34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8"/>
                <w:kern w:val="0"/>
                <w:sz w:val="21"/>
                <w:szCs w:val="21"/>
              </w:rPr>
              <w:t>商务要求</w:t>
            </w:r>
          </w:p>
        </w:tc>
      </w:tr>
      <w:tr>
        <w:tblPrEx>
          <w:tblW w:w="5010" w:type="pct"/>
          <w:jc w:val="center"/>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4"/>
                <w:kern w:val="0"/>
                <w:sz w:val="21"/>
                <w:szCs w:val="21"/>
              </w:rPr>
              <w:t>（一）免费保修期内售后服务要求</w:t>
            </w:r>
          </w:p>
        </w:tc>
      </w:tr>
      <w:tr>
        <w:tblPrEx>
          <w:tblW w:w="5010" w:type="pct"/>
          <w:jc w:val="center"/>
          <w:tblCellMar>
            <w:top w:w="0" w:type="dxa"/>
            <w:left w:w="0" w:type="dxa"/>
            <w:bottom w:w="0" w:type="dxa"/>
            <w:right w:w="0" w:type="dxa"/>
          </w:tblCellMar>
        </w:tblPrEx>
        <w:trPr>
          <w:trHeight w:val="331"/>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position w:val="-1"/>
                <w:sz w:val="21"/>
                <w:szCs w:val="21"/>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9"/>
                <w:kern w:val="0"/>
                <w:sz w:val="21"/>
                <w:szCs w:val="21"/>
              </w:rPr>
              <w:t>维修及维护服务</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default"/>
                <w:b/>
                <w:bCs/>
                <w:color w:val="FF0000"/>
                <w:spacing w:val="9"/>
                <w:kern w:val="0"/>
                <w:sz w:val="21"/>
                <w:szCs w:val="21"/>
                <w:lang w:val="en-US" w:eastAsia="zh-CN"/>
              </w:rPr>
            </w:pPr>
            <w:r>
              <w:rPr>
                <w:rFonts w:asciiTheme="minorEastAsia" w:eastAsiaTheme="minorEastAsia" w:hAnsiTheme="minorEastAsia" w:cstheme="minorEastAsia" w:hint="eastAsia"/>
                <w:b/>
                <w:bCs/>
                <w:color w:val="FF0000"/>
                <w:spacing w:val="9"/>
                <w:kern w:val="0"/>
                <w:sz w:val="21"/>
                <w:szCs w:val="21"/>
              </w:rPr>
              <w:t>★</w:t>
            </w:r>
            <w:r>
              <w:rPr>
                <w:rFonts w:asciiTheme="minorEastAsia" w:hAnsiTheme="minorEastAsia" w:cstheme="minorEastAsia" w:hint="eastAsia"/>
                <w:b/>
                <w:bCs/>
                <w:color w:val="FF0000"/>
                <w:spacing w:val="9"/>
                <w:kern w:val="0"/>
                <w:sz w:val="21"/>
                <w:szCs w:val="21"/>
                <w:lang w:val="en-US"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b/>
                <w:bCs/>
                <w:color w:val="FF0000"/>
                <w:spacing w:val="9"/>
                <w:kern w:val="0"/>
                <w:sz w:val="21"/>
                <w:szCs w:val="21"/>
              </w:rPr>
            </w:pPr>
            <w:r>
              <w:rPr>
                <w:rFonts w:asciiTheme="minorEastAsia" w:eastAsiaTheme="minorEastAsia" w:hAnsiTheme="minorEastAsia" w:cstheme="minorEastAsia" w:hint="eastAsia"/>
                <w:b/>
                <w:bCs/>
                <w:color w:val="FF0000"/>
                <w:spacing w:val="9"/>
                <w:kern w:val="0"/>
                <w:sz w:val="21"/>
                <w:szCs w:val="21"/>
              </w:rPr>
              <w:t>1.1各投标人应在投标文件中列明各主机、配件和易耗品的保修期限，并承诺提供</w:t>
            </w:r>
            <w:r>
              <w:rPr>
                <w:rFonts w:asciiTheme="minorEastAsia" w:hAnsiTheme="minorEastAsia" w:cstheme="minorEastAsia" w:hint="eastAsia"/>
                <w:b/>
                <w:bCs/>
                <w:color w:val="FF0000"/>
                <w:spacing w:val="9"/>
                <w:kern w:val="0"/>
                <w:sz w:val="21"/>
                <w:szCs w:val="21"/>
                <w:lang w:val="en-US" w:eastAsia="zh-CN"/>
              </w:rPr>
              <w:t>原厂</w:t>
            </w:r>
            <w:r>
              <w:rPr>
                <w:rFonts w:asciiTheme="minorEastAsia" w:eastAsiaTheme="minorEastAsia" w:hAnsiTheme="minorEastAsia" w:cstheme="minorEastAsia" w:hint="eastAsia"/>
                <w:b/>
                <w:bCs/>
                <w:color w:val="FF0000"/>
                <w:spacing w:val="9"/>
                <w:kern w:val="0"/>
                <w:sz w:val="21"/>
                <w:szCs w:val="21"/>
              </w:rPr>
              <w:t>主机及配件免费保修期</w:t>
            </w:r>
            <w:r>
              <w:rPr>
                <w:rFonts w:asciiTheme="minorEastAsia" w:hAnsiTheme="minorEastAsia" w:cstheme="minorEastAsia" w:hint="eastAsia"/>
                <w:b/>
                <w:bCs/>
                <w:color w:val="FF0000"/>
                <w:spacing w:val="9"/>
                <w:kern w:val="0"/>
                <w:sz w:val="21"/>
                <w:szCs w:val="21"/>
                <w:lang w:val="en-US" w:eastAsia="zh-CN"/>
              </w:rPr>
              <w:t>为5</w:t>
            </w:r>
            <w:r>
              <w:rPr>
                <w:rFonts w:asciiTheme="minorEastAsia" w:eastAsiaTheme="minorEastAsia" w:hAnsiTheme="minorEastAsia" w:cstheme="minorEastAsia" w:hint="eastAsia"/>
                <w:b/>
                <w:bCs/>
                <w:color w:val="FF0000"/>
                <w:spacing w:val="9"/>
                <w:kern w:val="0"/>
                <w:sz w:val="21"/>
                <w:szCs w:val="21"/>
              </w:rPr>
              <w:t xml:space="preserve"> 年，保修期以验收合格，双方代表签署“验收报告”之日起计算。</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lang w:val="en-US" w:eastAsia="zh-CN"/>
              </w:rPr>
              <w:t>1.2</w:t>
            </w:r>
            <w:r>
              <w:rPr>
                <w:rFonts w:asciiTheme="majorEastAsia" w:eastAsiaTheme="majorEastAsia" w:hAnsiTheme="majorEastAsia" w:cstheme="majorEastAsia" w:hint="eastAsia"/>
                <w:b/>
                <w:bCs/>
                <w:color w:val="FF0000"/>
                <w:sz w:val="21"/>
                <w:szCs w:val="21"/>
              </w:rPr>
              <w:t>保修期内更换零配件、软件升级、人工等服务如原厂需收费由</w:t>
            </w:r>
            <w:r>
              <w:rPr>
                <w:rFonts w:asciiTheme="majorEastAsia" w:eastAsiaTheme="majorEastAsia" w:hAnsiTheme="majorEastAsia" w:cstheme="majorEastAsia" w:hint="eastAsia"/>
                <w:b/>
                <w:bCs/>
                <w:color w:val="FF0000"/>
                <w:sz w:val="21"/>
                <w:szCs w:val="21"/>
                <w:lang w:val="en-US" w:eastAsia="zh-CN"/>
              </w:rPr>
              <w:t>中标人</w:t>
            </w:r>
            <w:r>
              <w:rPr>
                <w:rFonts w:asciiTheme="majorEastAsia" w:eastAsiaTheme="majorEastAsia" w:hAnsiTheme="majorEastAsia" w:cstheme="majorEastAsia" w:hint="eastAsia"/>
                <w:b/>
                <w:bCs/>
                <w:color w:val="FF0000"/>
                <w:sz w:val="21"/>
                <w:szCs w:val="21"/>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asciiTheme="majorEastAsia" w:eastAsiaTheme="majorEastAsia" w:hAnsiTheme="majorEastAsia" w:cstheme="majorEastAsia" w:hint="eastAsia"/>
                <w:b/>
                <w:bCs/>
                <w:color w:val="FF0000"/>
                <w:spacing w:val="0"/>
                <w:sz w:val="21"/>
                <w:szCs w:val="21"/>
                <w:lang w:eastAsia="zh-CN"/>
              </w:rPr>
            </w:pPr>
            <w:r>
              <w:rPr>
                <w:rFonts w:asciiTheme="majorEastAsia" w:eastAsiaTheme="majorEastAsia" w:hAnsiTheme="majorEastAsia" w:cstheme="majorEastAsia" w:hint="eastAsia"/>
                <w:b/>
                <w:bCs/>
                <w:color w:val="FF0000"/>
                <w:spacing w:val="0"/>
                <w:sz w:val="21"/>
                <w:szCs w:val="21"/>
                <w:lang w:val="en-US" w:eastAsia="zh-CN"/>
              </w:rPr>
              <w:t xml:space="preserve">1.3 </w:t>
            </w:r>
            <w:r>
              <w:rPr>
                <w:rFonts w:asciiTheme="majorEastAsia" w:eastAsiaTheme="majorEastAsia" w:hAnsiTheme="majorEastAsia" w:cstheme="majorEastAsia" w:hint="eastAsia"/>
                <w:b/>
                <w:bCs/>
                <w:color w:val="FF0000"/>
                <w:spacing w:val="0"/>
                <w:sz w:val="21"/>
                <w:szCs w:val="21"/>
                <w:lang w:eastAsia="zh-CN"/>
              </w:rPr>
              <w:t>在保修期内，中标人应确保设备安全正常运行，年开机率保证在95%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以上。因设备故障导致开机率不足95%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不含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Theme="majorEastAsia" w:eastAsiaTheme="majorEastAsia" w:hAnsiTheme="majorEastAsia" w:cstheme="majorEastAsia" w:hint="eastAsia"/>
                <w:b/>
                <w:bCs/>
                <w:color w:val="FF0000"/>
                <w:spacing w:val="0"/>
                <w:sz w:val="21"/>
                <w:szCs w:val="21"/>
                <w:lang w:eastAsia="zh-CN"/>
              </w:rPr>
            </w:pPr>
            <w:r>
              <w:rPr>
                <w:rFonts w:asciiTheme="majorEastAsia" w:eastAsiaTheme="majorEastAsia" w:hAnsiTheme="majorEastAsia" w:cstheme="majorEastAsia" w:hint="eastAsia"/>
                <w:b/>
                <w:bCs/>
                <w:color w:val="FF0000"/>
                <w:spacing w:val="0"/>
                <w:sz w:val="21"/>
                <w:szCs w:val="21"/>
                <w:lang w:eastAsia="zh-CN"/>
              </w:rPr>
              <w:t>a.年开机率在90%</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～95%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不含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Theme="majorEastAsia" w:eastAsiaTheme="majorEastAsia" w:hAnsiTheme="majorEastAsia" w:cstheme="majorEastAsia" w:hint="eastAsia"/>
                <w:b/>
                <w:bCs/>
                <w:color w:val="FF0000"/>
                <w:spacing w:val="0"/>
                <w:sz w:val="21"/>
                <w:szCs w:val="21"/>
                <w:lang w:eastAsia="zh-CN"/>
              </w:rPr>
            </w:pPr>
            <w:r>
              <w:rPr>
                <w:rFonts w:asciiTheme="majorEastAsia" w:eastAsiaTheme="majorEastAsia" w:hAnsiTheme="majorEastAsia" w:cstheme="majorEastAsia" w:hint="eastAsia"/>
                <w:b/>
                <w:bCs/>
                <w:color w:val="FF0000"/>
                <w:spacing w:val="0"/>
                <w:sz w:val="21"/>
                <w:szCs w:val="21"/>
                <w:lang w:eastAsia="zh-CN"/>
              </w:rPr>
              <w:t>b.年开机率在85%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～90%</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不含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Theme="majorEastAsia" w:eastAsiaTheme="majorEastAsia" w:hAnsiTheme="majorEastAsia" w:cstheme="majorEastAsia" w:hint="eastAsia"/>
                <w:b/>
                <w:bCs/>
                <w:color w:val="FF0000"/>
                <w:spacing w:val="0"/>
                <w:sz w:val="21"/>
                <w:szCs w:val="21"/>
                <w:lang w:eastAsia="zh-CN"/>
              </w:rPr>
            </w:pPr>
            <w:r>
              <w:rPr>
                <w:rFonts w:asciiTheme="majorEastAsia" w:eastAsiaTheme="majorEastAsia" w:hAnsiTheme="majorEastAsia" w:cstheme="majorEastAsia" w:hint="eastAsia"/>
                <w:b/>
                <w:bCs/>
                <w:color w:val="FF0000"/>
                <w:spacing w:val="0"/>
                <w:sz w:val="21"/>
                <w:szCs w:val="21"/>
                <w:lang w:eastAsia="zh-CN"/>
              </w:rPr>
              <w:t>c.年开机率低于85%</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highlight w:val="none"/>
                <w:lang w:val="en-US" w:eastAsia="zh-CN"/>
              </w:rPr>
              <w:t>不含</w:t>
            </w:r>
            <w:r>
              <w:rPr>
                <w:rFonts w:asciiTheme="majorEastAsia" w:eastAsiaTheme="majorEastAsia" w:hAnsiTheme="majorEastAsia" w:cstheme="majorEastAsia" w:hint="eastAsia"/>
                <w:b/>
                <w:bCs/>
                <w:color w:val="FF0000"/>
                <w:spacing w:val="0"/>
                <w:sz w:val="21"/>
                <w:szCs w:val="21"/>
                <w:highlight w:val="none"/>
                <w:lang w:eastAsia="zh-CN"/>
              </w:rPr>
              <w:t>）</w:t>
            </w:r>
            <w:r>
              <w:rPr>
                <w:rFonts w:asciiTheme="majorEastAsia" w:eastAsiaTheme="majorEastAsia" w:hAnsiTheme="majorEastAsia" w:cstheme="majorEastAsia" w:hint="eastAsia"/>
                <w:b/>
                <w:bCs/>
                <w:color w:val="FF0000"/>
                <w:spacing w:val="0"/>
                <w:sz w:val="21"/>
                <w:szCs w:val="21"/>
                <w:lang w:eastAsia="zh-CN"/>
              </w:rPr>
              <w:t>，中标人必须无条件更换新机，并重新计算保修期，以及赔偿</w:t>
            </w:r>
            <w:r>
              <w:rPr>
                <w:rFonts w:asciiTheme="majorEastAsia" w:eastAsiaTheme="majorEastAsia" w:hAnsiTheme="majorEastAsia" w:cstheme="majorEastAsia" w:hint="eastAsia"/>
                <w:b/>
                <w:bCs/>
                <w:color w:val="FF0000"/>
                <w:spacing w:val="0"/>
                <w:sz w:val="21"/>
                <w:szCs w:val="21"/>
                <w:lang w:val="en-US" w:eastAsia="zh-CN"/>
              </w:rPr>
              <w:t>采购人</w:t>
            </w:r>
            <w:r>
              <w:rPr>
                <w:rFonts w:asciiTheme="majorEastAsia" w:eastAsiaTheme="majorEastAsia" w:hAnsiTheme="majorEastAsia" w:cstheme="majorEastAsia" w:hint="eastAsia"/>
                <w:b/>
                <w:bCs/>
                <w:color w:val="FF0000"/>
                <w:spacing w:val="0"/>
                <w:sz w:val="21"/>
                <w:szCs w:val="21"/>
                <w:lang w:eastAsia="zh-CN"/>
              </w:rPr>
              <w:t>的直接经济损失和间接经济损失，</w:t>
            </w:r>
            <w:r>
              <w:rPr>
                <w:rFonts w:asciiTheme="majorEastAsia" w:eastAsiaTheme="majorEastAsia" w:hAnsiTheme="majorEastAsia" w:cstheme="majorEastAsia" w:hint="eastAsia"/>
                <w:b/>
                <w:bCs/>
                <w:color w:val="FF0000"/>
                <w:spacing w:val="0"/>
                <w:sz w:val="21"/>
                <w:szCs w:val="21"/>
                <w:lang w:val="en-US" w:eastAsia="zh-CN"/>
              </w:rPr>
              <w:t>同时，采购人还有权选择退货</w:t>
            </w:r>
            <w:r>
              <w:rPr>
                <w:rFonts w:asciiTheme="majorEastAsia" w:eastAsiaTheme="majorEastAsia" w:hAnsiTheme="majorEastAsia" w:cstheme="majorEastAsia" w:hint="eastAsia"/>
                <w:b/>
                <w:bCs/>
                <w:color w:val="FF0000"/>
                <w:spacing w:val="0"/>
                <w:sz w:val="21"/>
                <w:szCs w:val="21"/>
                <w:lang w:eastAsia="zh-CN"/>
              </w:rPr>
              <w:t>处理。</w:t>
            </w:r>
          </w:p>
          <w:p>
            <w:pPr>
              <w:pStyle w:val="BodyText"/>
              <w:rPr>
                <w:rFonts w:hint="eastAsia"/>
              </w:rPr>
            </w:pPr>
            <w:r>
              <w:rPr>
                <w:rFonts w:asciiTheme="majorEastAsia" w:eastAsiaTheme="majorEastAsia" w:hAnsiTheme="majorEastAsia" w:cstheme="majorEastAsia" w:hint="eastAsia"/>
                <w:b/>
                <w:bCs/>
                <w:color w:val="FF0000"/>
                <w:spacing w:val="0"/>
                <w:sz w:val="21"/>
                <w:szCs w:val="21"/>
                <w:lang w:eastAsia="zh-CN"/>
              </w:rPr>
              <w:t>注：年开机率 =（365-停机天数）/365。</w:t>
            </w:r>
          </w:p>
        </w:tc>
      </w:tr>
      <w:tr>
        <w:tblPrEx>
          <w:tblW w:w="5010" w:type="pct"/>
          <w:jc w:val="center"/>
          <w:tblCellMar>
            <w:top w:w="0" w:type="dxa"/>
            <w:left w:w="0" w:type="dxa"/>
            <w:bottom w:w="0" w:type="dxa"/>
            <w:right w:w="0" w:type="dxa"/>
          </w:tblCellMar>
        </w:tblPrEx>
        <w:trPr>
          <w:trHeight w:val="331"/>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position w:val="-1"/>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1.2由生产厂家提供售后服务，4 小时内响应，24小时维修到位。消耗品和零配件供应及时，</w:t>
            </w:r>
            <w:r>
              <w:rPr>
                <w:rFonts w:asciiTheme="majorEastAsia" w:eastAsiaTheme="majorEastAsia" w:hAnsiTheme="majorEastAsia" w:cstheme="majorEastAsia" w:hint="eastAsia"/>
                <w:bCs/>
                <w:sz w:val="21"/>
                <w:szCs w:val="21"/>
              </w:rPr>
              <w:t>发生突发问题厂家需携带可使用的备用机24小时内到场，根据现场情况采用现场维修或备用机替代的方法。</w:t>
            </w:r>
          </w:p>
        </w:tc>
      </w:tr>
      <w:tr>
        <w:tblPrEx>
          <w:tblW w:w="5010" w:type="pct"/>
          <w:jc w:val="center"/>
          <w:tblCellMar>
            <w:top w:w="0" w:type="dxa"/>
            <w:left w:w="0" w:type="dxa"/>
            <w:bottom w:w="0" w:type="dxa"/>
            <w:right w:w="0" w:type="dxa"/>
          </w:tblCellMar>
        </w:tblPrEx>
        <w:trPr>
          <w:trHeight w:val="331"/>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position w:val="-1"/>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W w:w="5010" w:type="pct"/>
          <w:jc w:val="center"/>
          <w:tblCellMar>
            <w:top w:w="0" w:type="dxa"/>
            <w:left w:w="0" w:type="dxa"/>
            <w:bottom w:w="0" w:type="dxa"/>
            <w:right w:w="0" w:type="dxa"/>
          </w:tblCellMar>
        </w:tblPrEx>
        <w:trPr>
          <w:trHeight w:val="331"/>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position w:val="-1"/>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1.4保修期内，设备主机及配件免费维修、免费更换、免工时费，并免费提供软件升级。</w:t>
            </w:r>
          </w:p>
        </w:tc>
      </w:tr>
      <w:tr>
        <w:tblPrEx>
          <w:tblW w:w="5010" w:type="pct"/>
          <w:jc w:val="center"/>
          <w:tblCellMar>
            <w:top w:w="0" w:type="dxa"/>
            <w:left w:w="0" w:type="dxa"/>
            <w:bottom w:w="0" w:type="dxa"/>
            <w:right w:w="0" w:type="dxa"/>
          </w:tblCellMar>
        </w:tblPrEx>
        <w:trPr>
          <w:trHeight w:val="331"/>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position w:val="-1"/>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1.5保修期内，投标人负责提供及开放数据接口，免费提供该设备与医院PACS、HIS、叫号系统等的数据接口服务，次数不限，涉及与第三方公司的接口费用，由投标人负责。</w:t>
            </w:r>
          </w:p>
        </w:tc>
      </w:tr>
      <w:tr>
        <w:tblPrEx>
          <w:tblW w:w="5010" w:type="pct"/>
          <w:jc w:val="center"/>
          <w:tblCellMar>
            <w:top w:w="0" w:type="dxa"/>
            <w:left w:w="0" w:type="dxa"/>
            <w:bottom w:w="0" w:type="dxa"/>
            <w:right w:w="0" w:type="dxa"/>
          </w:tblCellMar>
        </w:tblPrEx>
        <w:trPr>
          <w:trHeight w:val="458"/>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4"/>
                <w:kern w:val="0"/>
                <w:sz w:val="21"/>
                <w:szCs w:val="21"/>
              </w:rPr>
              <w:t>（二）免费保修期外售后服务要求</w:t>
            </w:r>
          </w:p>
        </w:tc>
      </w:tr>
      <w:tr>
        <w:tblPrEx>
          <w:tblW w:w="5010" w:type="pct"/>
          <w:jc w:val="center"/>
          <w:tblCellMar>
            <w:top w:w="0" w:type="dxa"/>
            <w:left w:w="0" w:type="dxa"/>
            <w:bottom w:w="0" w:type="dxa"/>
            <w:right w:w="0" w:type="dxa"/>
          </w:tblCellMar>
        </w:tblPrEx>
        <w:trPr>
          <w:trHeight w:val="604"/>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Theme="minorEastAsia" w:eastAsiaTheme="minorEastAsia" w:hAnsiTheme="minorEastAsia" w:cstheme="minorEastAsia" w:hint="default"/>
                <w:kern w:val="0"/>
                <w:sz w:val="21"/>
                <w:szCs w:val="21"/>
                <w:lang w:val="en-US" w:eastAsia="zh-CN"/>
              </w:rPr>
            </w:pPr>
            <w:r>
              <w:rPr>
                <w:rFonts w:asciiTheme="minorEastAsia" w:hAnsiTheme="minorEastAsia" w:cstheme="minorEastAsia" w:hint="eastAsia"/>
                <w:spacing w:val="9"/>
                <w:kern w:val="0"/>
                <w:sz w:val="21"/>
                <w:szCs w:val="21"/>
                <w:lang w:val="en-US" w:eastAsia="zh-CN"/>
              </w:rPr>
              <w:t>维修</w:t>
            </w:r>
            <w:r>
              <w:rPr>
                <w:rFonts w:asciiTheme="minorEastAsia" w:hAnsiTheme="minorEastAsia" w:cstheme="minorEastAsia" w:hint="eastAsia"/>
                <w:spacing w:val="6"/>
                <w:kern w:val="0"/>
                <w:sz w:val="21"/>
                <w:szCs w:val="21"/>
                <w:lang w:val="en-US" w:eastAsia="zh-CN"/>
              </w:rPr>
              <w:t>服务和优惠价格</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1.1由生产厂家提供售后服务，  4 小时内响应，  24  小时维修到位。消耗品和零配件供应及时，特殊情况下可提供备用机。</w:t>
            </w:r>
          </w:p>
        </w:tc>
      </w:tr>
      <w:tr>
        <w:tblPrEx>
          <w:tblW w:w="5010" w:type="pct"/>
          <w:jc w:val="center"/>
          <w:tblCellMar>
            <w:top w:w="0" w:type="dxa"/>
            <w:left w:w="0" w:type="dxa"/>
            <w:bottom w:w="0" w:type="dxa"/>
            <w:right w:w="0" w:type="dxa"/>
          </w:tblCellMar>
        </w:tblPrEx>
        <w:trPr>
          <w:trHeight w:val="604"/>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1.2终身维修，保修期满后，生产厂家对用户进行的售后服务只收更换部件的成本费，提供维修零配件、消耗品优惠价格。</w:t>
            </w:r>
            <w:r>
              <w:rPr>
                <w:rFonts w:asciiTheme="majorEastAsia" w:eastAsiaTheme="majorEastAsia" w:hAnsiTheme="majorEastAsia" w:cstheme="majorEastAsia" w:hint="eastAsia"/>
                <w:bCs/>
                <w:sz w:val="21"/>
                <w:szCs w:val="21"/>
                <w:lang w:eastAsia="zh-CN"/>
              </w:rPr>
              <w:t>中标人</w:t>
            </w:r>
            <w:r>
              <w:rPr>
                <w:rFonts w:asciiTheme="majorEastAsia" w:eastAsiaTheme="majorEastAsia" w:hAnsiTheme="majorEastAsia" w:cstheme="majorEastAsia" w:hint="eastAsia"/>
                <w:bCs/>
                <w:sz w:val="21"/>
                <w:szCs w:val="21"/>
              </w:rPr>
              <w:t>负责设备的终身维修并应继续提供优质的服务，储备足够的零配件备库并保证十年以上维修配件、耗材的正常供应。</w:t>
            </w:r>
            <w:r>
              <w:rPr>
                <w:rFonts w:asciiTheme="majorEastAsia" w:eastAsiaTheme="majorEastAsia" w:hAnsiTheme="majorEastAsia" w:cstheme="majorEastAsia" w:hint="eastAsia"/>
                <w:bCs/>
                <w:sz w:val="21"/>
                <w:szCs w:val="21"/>
                <w:lang w:val="en-US" w:eastAsia="zh-CN"/>
              </w:rPr>
              <w:t>十</w:t>
            </w:r>
            <w:r>
              <w:rPr>
                <w:rFonts w:asciiTheme="majorEastAsia" w:eastAsiaTheme="majorEastAsia" w:hAnsiTheme="majorEastAsia" w:cstheme="majorEastAsia" w:hint="eastAsia"/>
                <w:bCs/>
                <w:spacing w:val="0"/>
                <w:sz w:val="21"/>
                <w:szCs w:val="21"/>
                <w:lang w:eastAsia="zh-CN"/>
              </w:rPr>
              <w:t>年内免费提供软件升级服务。</w:t>
            </w:r>
          </w:p>
        </w:tc>
      </w:tr>
      <w:tr>
        <w:tblPrEx>
          <w:tblW w:w="5010" w:type="pct"/>
          <w:jc w:val="center"/>
          <w:tblCellMar>
            <w:top w:w="0" w:type="dxa"/>
            <w:left w:w="0" w:type="dxa"/>
            <w:bottom w:w="0" w:type="dxa"/>
            <w:right w:w="0" w:type="dxa"/>
          </w:tblCellMar>
        </w:tblPrEx>
        <w:trPr>
          <w:trHeight w:val="604"/>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1.3采购人可与投标人就优惠价进行谈判，但优惠价不得高于投标人在投标文件中承诺的消耗品、零配件报价。</w:t>
            </w:r>
          </w:p>
        </w:tc>
      </w:tr>
      <w:tr>
        <w:tblPrEx>
          <w:tblW w:w="5010" w:type="pct"/>
          <w:jc w:val="center"/>
          <w:tblCellMar>
            <w:top w:w="0" w:type="dxa"/>
            <w:left w:w="0" w:type="dxa"/>
            <w:bottom w:w="0" w:type="dxa"/>
            <w:right w:w="0" w:type="dxa"/>
          </w:tblCellMar>
        </w:tblPrEx>
        <w:trPr>
          <w:trHeight w:val="604"/>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1.4生产厂家维修的货物经采购人验收合格，且厂家提供维修发票后，采购人支付维修费用。</w:t>
            </w:r>
          </w:p>
        </w:tc>
      </w:tr>
      <w:tr>
        <w:tblPrEx>
          <w:tblW w:w="5010" w:type="pct"/>
          <w:jc w:val="center"/>
          <w:tblCellMar>
            <w:top w:w="0" w:type="dxa"/>
            <w:left w:w="0" w:type="dxa"/>
            <w:bottom w:w="0" w:type="dxa"/>
            <w:right w:w="0" w:type="dxa"/>
          </w:tblCellMar>
        </w:tblPrEx>
        <w:trPr>
          <w:trHeight w:val="604"/>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9"/>
                <w:kern w:val="0"/>
                <w:sz w:val="21"/>
                <w:szCs w:val="21"/>
              </w:rPr>
            </w:pPr>
            <w:r>
              <w:rPr>
                <w:rFonts w:asciiTheme="minorEastAsia" w:eastAsiaTheme="minorEastAsia" w:hAnsiTheme="minorEastAsia" w:cstheme="minorEastAsia" w:hint="eastAsia"/>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W w:w="5010" w:type="pct"/>
          <w:jc w:val="center"/>
          <w:tblCellMar>
            <w:top w:w="0" w:type="dxa"/>
            <w:left w:w="0" w:type="dxa"/>
            <w:bottom w:w="0" w:type="dxa"/>
            <w:right w:w="0" w:type="dxa"/>
          </w:tblCellMar>
        </w:tblPrEx>
        <w:trPr>
          <w:trHeight w:val="604"/>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asciiTheme="minorEastAsia" w:eastAsiaTheme="minorEastAsia" w:hAnsiTheme="minorEastAsia" w:cstheme="minorEastAsia" w:hint="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default"/>
                <w:spacing w:val="9"/>
                <w:kern w:val="0"/>
                <w:sz w:val="21"/>
                <w:szCs w:val="21"/>
                <w:lang w:val="en-US" w:eastAsia="zh-CN"/>
              </w:rPr>
            </w:pPr>
            <w:r>
              <w:rPr>
                <w:rFonts w:asciiTheme="minorEastAsia" w:hAnsiTheme="minorEastAsia" w:cstheme="minorEastAsia" w:hint="eastAsia"/>
                <w:spacing w:val="9"/>
                <w:kern w:val="0"/>
                <w:sz w:val="21"/>
                <w:szCs w:val="21"/>
                <w:lang w:val="en-US" w:eastAsia="zh-CN"/>
              </w:rPr>
              <w:t>1.6信息化系统：</w:t>
            </w:r>
            <w:r>
              <w:rPr>
                <w:rFonts w:asciiTheme="majorEastAsia" w:eastAsiaTheme="majorEastAsia" w:hAnsiTheme="majorEastAsia" w:cstheme="majorEastAsia" w:hint="eastAsia"/>
                <w:bCs/>
                <w:color w:val="auto"/>
                <w:spacing w:val="0"/>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Theme="majorEastAsia" w:eastAsiaTheme="majorEastAsia" w:hAnsiTheme="majorEastAsia" w:cstheme="majorEastAsia" w:hint="eastAsia"/>
                <w:bCs/>
                <w:spacing w:val="0"/>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W w:w="5010" w:type="pct"/>
          <w:jc w:val="center"/>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10"/>
                <w:kern w:val="0"/>
                <w:sz w:val="21"/>
                <w:szCs w:val="21"/>
              </w:rPr>
              <w:t>（三）其他商务要求</w:t>
            </w:r>
          </w:p>
        </w:tc>
      </w:tr>
      <w:tr>
        <w:tblPrEx>
          <w:tblW w:w="5010" w:type="pct"/>
          <w:jc w:val="center"/>
          <w:tblCellMar>
            <w:top w:w="0" w:type="dxa"/>
            <w:left w:w="0" w:type="dxa"/>
            <w:bottom w:w="0" w:type="dxa"/>
            <w:right w:w="0" w:type="dxa"/>
          </w:tblCellMar>
        </w:tblPrEx>
        <w:trPr>
          <w:trHeight w:val="325"/>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8"/>
                <w:kern w:val="0"/>
                <w:sz w:val="21"/>
                <w:szCs w:val="21"/>
              </w:rPr>
              <w:t>交货要求</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b/>
                <w:bCs/>
                <w:color w:val="FF0000"/>
                <w:spacing w:val="9"/>
                <w:kern w:val="0"/>
                <w:sz w:val="21"/>
                <w:szCs w:val="21"/>
              </w:rPr>
              <w:t>★</w:t>
            </w:r>
            <w:r>
              <w:rPr>
                <w:rFonts w:asciiTheme="minorEastAsia" w:hAnsiTheme="minorEastAsia" w:cstheme="minorEastAsia" w:hint="eastAsia"/>
                <w:b/>
                <w:bCs/>
                <w:color w:val="FF0000"/>
                <w:spacing w:val="8"/>
                <w:kern w:val="0"/>
                <w:sz w:val="21"/>
                <w:szCs w:val="21"/>
                <w:lang w:val="en-US" w:eastAsia="zh-CN"/>
              </w:rPr>
              <w:t>1.</w:t>
            </w:r>
            <w:r>
              <w:rPr>
                <w:rFonts w:asciiTheme="minorEastAsia" w:eastAsiaTheme="minorEastAsia" w:hAnsiTheme="minorEastAsia" w:cstheme="minorEastAsia" w:hint="eastAsia"/>
                <w:b/>
                <w:bCs/>
                <w:color w:val="FF0000"/>
                <w:spacing w:val="8"/>
                <w:kern w:val="0"/>
                <w:sz w:val="21"/>
                <w:szCs w:val="21"/>
              </w:rPr>
              <w:t>投标人在签订合同之日起</w:t>
            </w:r>
            <w:r>
              <w:rPr>
                <w:rFonts w:asciiTheme="minorEastAsia" w:hAnsiTheme="minorEastAsia" w:cstheme="minorEastAsia" w:hint="eastAsia"/>
                <w:b/>
                <w:bCs/>
                <w:color w:val="FF0000"/>
                <w:spacing w:val="8"/>
                <w:kern w:val="0"/>
                <w:sz w:val="21"/>
                <w:szCs w:val="21"/>
                <w:lang w:val="en-US" w:eastAsia="zh-CN"/>
              </w:rPr>
              <w:t>30</w:t>
            </w:r>
            <w:r>
              <w:rPr>
                <w:rFonts w:asciiTheme="minorEastAsia" w:eastAsiaTheme="minorEastAsia" w:hAnsiTheme="minorEastAsia" w:cstheme="minorEastAsia" w:hint="eastAsia"/>
                <w:b/>
                <w:bCs/>
                <w:color w:val="FF0000"/>
                <w:spacing w:val="8"/>
                <w:kern w:val="0"/>
                <w:sz w:val="21"/>
                <w:szCs w:val="21"/>
              </w:rPr>
              <w:t xml:space="preserve"> 天（日历日）内交货。</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default"/>
                <w:b/>
                <w:bCs/>
                <w:color w:val="FF0000"/>
                <w:spacing w:val="9"/>
                <w:kern w:val="0"/>
                <w:sz w:val="21"/>
                <w:szCs w:val="21"/>
                <w:lang w:val="en-US" w:eastAsia="zh-CN"/>
              </w:rPr>
            </w:pPr>
            <w:r>
              <w:rPr>
                <w:rFonts w:asciiTheme="minorEastAsia" w:eastAsiaTheme="minorEastAsia" w:hAnsiTheme="minorEastAsia" w:cstheme="minorEastAsia" w:hint="eastAsia"/>
                <w:spacing w:val="8"/>
                <w:kern w:val="0"/>
                <w:sz w:val="21"/>
                <w:szCs w:val="21"/>
                <w:lang w:val="en-US" w:eastAsia="zh-CN"/>
              </w:rPr>
              <w:t>2.交货地点：深圳市大鹏新区南澳人民医院</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3.</w:t>
            </w:r>
            <w:r>
              <w:rPr>
                <w:rFonts w:asciiTheme="minorEastAsia" w:eastAsiaTheme="minorEastAsia" w:hAnsiTheme="minorEastAsia" w:cstheme="minorEastAsia" w:hint="eastAsia"/>
                <w:spacing w:val="8"/>
                <w:kern w:val="0"/>
                <w:sz w:val="21"/>
                <w:szCs w:val="21"/>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4.</w:t>
            </w:r>
            <w:r>
              <w:rPr>
                <w:rFonts w:asciiTheme="minorEastAsia" w:eastAsiaTheme="minorEastAsia" w:hAnsiTheme="minorEastAsia" w:cstheme="minorEastAsia" w:hint="eastAsia"/>
                <w:spacing w:val="8"/>
                <w:kern w:val="0"/>
                <w:sz w:val="21"/>
                <w:szCs w:val="21"/>
              </w:rPr>
              <w:t>提供的货物须为全新、经检验合格的产品。产品如需要计量检定的应提供相关计量检定部门出具的合法检定报告。其中，进口设备必须提供相关进口资料。</w:t>
            </w:r>
          </w:p>
        </w:tc>
      </w:tr>
      <w:tr>
        <w:tblPrEx>
          <w:tblW w:w="5010" w:type="pct"/>
          <w:jc w:val="center"/>
          <w:tblCellMar>
            <w:top w:w="0" w:type="dxa"/>
            <w:left w:w="0" w:type="dxa"/>
            <w:bottom w:w="0" w:type="dxa"/>
            <w:right w:w="0" w:type="dxa"/>
          </w:tblCellMar>
        </w:tblPrEx>
        <w:trPr>
          <w:trHeight w:val="325"/>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val="en-US" w:eastAsia="zh-CN"/>
              </w:rPr>
            </w:pPr>
            <w:r>
              <w:rPr>
                <w:rFonts w:asciiTheme="minorEastAsia" w:hAnsiTheme="minorEastAsia" w:cstheme="minorEastAsia" w:hint="eastAsia"/>
                <w:kern w:val="0"/>
                <w:sz w:val="21"/>
                <w:szCs w:val="21"/>
                <w:lang w:val="en-US" w:eastAsia="zh-CN"/>
              </w:rPr>
              <w:t>2</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default"/>
                <w:spacing w:val="8"/>
                <w:kern w:val="0"/>
                <w:sz w:val="21"/>
                <w:szCs w:val="21"/>
                <w:lang w:val="en-US" w:eastAsia="zh-CN"/>
              </w:rPr>
            </w:pPr>
            <w:r>
              <w:rPr>
                <w:rFonts w:asciiTheme="minorEastAsia" w:hAnsiTheme="minorEastAsia" w:cstheme="minorEastAsia" w:hint="eastAsia"/>
                <w:spacing w:val="8"/>
                <w:kern w:val="0"/>
                <w:sz w:val="21"/>
                <w:szCs w:val="21"/>
                <w:lang w:val="en-US" w:eastAsia="zh-CN"/>
              </w:rPr>
              <w:t>报价要求</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ajorEastAsia" w:eastAsiaTheme="majorEastAsia" w:hAnsiTheme="majorEastAsia" w:cstheme="majorEastAsia" w:hint="eastAsia"/>
                <w:bCs/>
                <w:sz w:val="21"/>
                <w:szCs w:val="21"/>
              </w:rPr>
              <w:t>投标总价是完成该项目的一切费用总和，</w:t>
            </w:r>
            <w:r>
              <w:rPr>
                <w:rFonts w:asciiTheme="majorEastAsia" w:eastAsiaTheme="majorEastAsia" w:hAnsiTheme="majorEastAsia" w:cstheme="majorEastAsia" w:hint="eastAsia"/>
                <w:bCs/>
                <w:snapToGrid/>
                <w:color w:val="auto"/>
                <w:spacing w:val="0"/>
                <w:sz w:val="21"/>
                <w:szCs w:val="21"/>
                <w:lang w:val="en-US" w:eastAsia="zh-CN" w:bidi="ar-SA"/>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W w:w="5010" w:type="pct"/>
          <w:jc w:val="center"/>
          <w:tblCellMar>
            <w:top w:w="0" w:type="dxa"/>
            <w:left w:w="0" w:type="dxa"/>
            <w:bottom w:w="0" w:type="dxa"/>
            <w:right w:w="0" w:type="dxa"/>
          </w:tblCellMar>
        </w:tblPrEx>
        <w:trPr>
          <w:trHeight w:val="325"/>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val="en-US" w:eastAsia="zh-CN"/>
              </w:rPr>
            </w:pPr>
            <w:r>
              <w:rPr>
                <w:rFonts w:asciiTheme="minorEastAsia" w:hAnsiTheme="minorEastAsia" w:cstheme="minorEastAsia" w:hint="eastAsia"/>
                <w:kern w:val="0"/>
                <w:sz w:val="21"/>
                <w:szCs w:val="21"/>
                <w:lang w:val="en-US" w:eastAsia="zh-CN"/>
              </w:rPr>
              <w:t>3</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hAnsiTheme="minorEastAsia" w:cstheme="minorEastAsia" w:hint="default"/>
                <w:spacing w:val="8"/>
                <w:kern w:val="0"/>
                <w:sz w:val="21"/>
                <w:szCs w:val="21"/>
                <w:lang w:val="en-US" w:eastAsia="zh-CN"/>
              </w:rPr>
            </w:pPr>
            <w:r>
              <w:rPr>
                <w:rFonts w:asciiTheme="minorEastAsia" w:hAnsiTheme="minorEastAsia" w:cstheme="minorEastAsia" w:hint="eastAsia"/>
                <w:spacing w:val="8"/>
                <w:kern w:val="0"/>
                <w:sz w:val="21"/>
                <w:szCs w:val="21"/>
                <w:lang w:val="en-US" w:eastAsia="zh-CN"/>
              </w:rPr>
              <w:t>质量要求</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ajorEastAsia" w:eastAsiaTheme="majorEastAsia" w:hAnsiTheme="majorEastAsia" w:cstheme="majorEastAsia" w:hint="eastAsia"/>
                <w:bCs/>
                <w:sz w:val="21"/>
                <w:szCs w:val="21"/>
              </w:rPr>
            </w:pPr>
            <w:r>
              <w:rPr>
                <w:rFonts w:asciiTheme="majorEastAsia" w:eastAsiaTheme="majorEastAsia" w:hAnsiTheme="majorEastAsia" w:cstheme="majorEastAsia" w:hint="eastAsia"/>
                <w:b/>
                <w:bCs/>
                <w:color w:val="FF0000"/>
                <w:sz w:val="21"/>
                <w:szCs w:val="21"/>
              </w:rPr>
              <w:t>★</w:t>
            </w:r>
            <w:r>
              <w:rPr>
                <w:rFonts w:asciiTheme="majorEastAsia" w:eastAsiaTheme="majorEastAsia" w:hAnsiTheme="majorEastAsia" w:cstheme="majorEastAsia" w:hint="eastAsia"/>
                <w:b/>
                <w:bCs/>
                <w:color w:val="FF0000"/>
                <w:sz w:val="21"/>
                <w:szCs w:val="21"/>
                <w:highlight w:val="none"/>
                <w:lang w:val="en-US" w:eastAsia="zh-CN"/>
              </w:rPr>
              <w:t>投标人</w:t>
            </w:r>
            <w:r>
              <w:rPr>
                <w:rFonts w:asciiTheme="majorEastAsia" w:eastAsiaTheme="majorEastAsia" w:hAnsiTheme="majorEastAsia" w:cstheme="majorEastAsia" w:hint="eastAsia"/>
                <w:b/>
                <w:bCs/>
                <w:color w:val="FF0000"/>
                <w:sz w:val="21"/>
                <w:szCs w:val="21"/>
                <w:highlight w:val="none"/>
                <w:lang w:eastAsia="zh-CN"/>
              </w:rPr>
              <w:t>保证所提供的产品必须</w:t>
            </w:r>
            <w:r>
              <w:rPr>
                <w:rFonts w:asciiTheme="majorEastAsia" w:eastAsiaTheme="majorEastAsia" w:hAnsiTheme="majorEastAsia" w:cstheme="majorEastAsia" w:hint="eastAsia"/>
                <w:b/>
                <w:bCs/>
                <w:color w:val="FF0000"/>
                <w:sz w:val="21"/>
                <w:szCs w:val="21"/>
                <w:highlight w:val="none"/>
                <w:lang w:val="en-US" w:eastAsia="zh-CN"/>
              </w:rPr>
              <w:t>是</w:t>
            </w:r>
            <w:r>
              <w:rPr>
                <w:rFonts w:asciiTheme="majorEastAsia" w:eastAsiaTheme="majorEastAsia" w:hAnsiTheme="majorEastAsia" w:cstheme="majorEastAsia" w:hint="eastAsia"/>
                <w:b/>
                <w:bCs/>
                <w:color w:val="FF0000"/>
                <w:sz w:val="21"/>
                <w:szCs w:val="21"/>
                <w:highlight w:val="none"/>
                <w:lang w:eastAsia="zh-CN"/>
              </w:rPr>
              <w:t>生产日期在半年内未使用过的</w:t>
            </w:r>
            <w:r>
              <w:rPr>
                <w:rFonts w:asciiTheme="majorEastAsia" w:eastAsiaTheme="majorEastAsia" w:hAnsiTheme="majorEastAsia" w:cstheme="majorEastAsia" w:hint="eastAsia"/>
                <w:b/>
                <w:bCs/>
                <w:color w:val="FF0000"/>
                <w:sz w:val="21"/>
                <w:szCs w:val="21"/>
                <w:highlight w:val="none"/>
                <w:lang w:val="en-US" w:eastAsia="zh-CN"/>
              </w:rPr>
              <w:t>原厂</w:t>
            </w:r>
            <w:r>
              <w:rPr>
                <w:rFonts w:asciiTheme="majorEastAsia" w:eastAsiaTheme="majorEastAsia" w:hAnsiTheme="majorEastAsia" w:cstheme="majorEastAsia" w:hint="eastAsia"/>
                <w:b/>
                <w:bCs/>
                <w:color w:val="FF0000"/>
                <w:sz w:val="21"/>
                <w:szCs w:val="21"/>
                <w:highlight w:val="none"/>
                <w:lang w:eastAsia="zh-CN"/>
              </w:rPr>
              <w:t>全新产品（</w:t>
            </w:r>
            <w:r>
              <w:rPr>
                <w:rFonts w:asciiTheme="majorEastAsia" w:eastAsiaTheme="majorEastAsia" w:hAnsiTheme="majorEastAsia" w:cstheme="majorEastAsia" w:hint="eastAsia"/>
                <w:b/>
                <w:bCs/>
                <w:color w:val="FF0000"/>
                <w:sz w:val="21"/>
                <w:szCs w:val="21"/>
                <w:highlight w:val="none"/>
                <w:lang w:val="en-US" w:eastAsia="zh-CN"/>
              </w:rPr>
              <w:t>包括零部件</w:t>
            </w:r>
            <w:r>
              <w:rPr>
                <w:rFonts w:asciiTheme="majorEastAsia" w:eastAsiaTheme="majorEastAsia" w:hAnsiTheme="majorEastAsia" w:cstheme="majorEastAsia" w:hint="eastAsia"/>
                <w:b/>
                <w:bCs/>
                <w:color w:val="FF0000"/>
                <w:sz w:val="21"/>
                <w:szCs w:val="21"/>
                <w:highlight w:val="none"/>
                <w:lang w:eastAsia="zh-CN"/>
              </w:rPr>
              <w:t>），符合国家或省级行业质量标准。确保产品投入使用前，按照国家规定办理好产品所有启用所需的资质证件。</w:t>
            </w:r>
          </w:p>
        </w:tc>
      </w:tr>
      <w:tr>
        <w:tblPrEx>
          <w:tblW w:w="5010" w:type="pct"/>
          <w:jc w:val="center"/>
          <w:tblCellMar>
            <w:top w:w="0" w:type="dxa"/>
            <w:left w:w="0" w:type="dxa"/>
            <w:bottom w:w="0" w:type="dxa"/>
            <w:right w:w="0" w:type="dxa"/>
          </w:tblCellMar>
        </w:tblPrEx>
        <w:trPr>
          <w:trHeight w:val="325"/>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val="en-US" w:eastAsia="zh-CN"/>
              </w:rPr>
            </w:pPr>
            <w:r>
              <w:rPr>
                <w:rFonts w:asciiTheme="minorEastAsia" w:hAnsiTheme="minorEastAsia" w:cstheme="minorEastAsia" w:hint="eastAsia"/>
                <w:kern w:val="0"/>
                <w:sz w:val="21"/>
                <w:szCs w:val="21"/>
                <w:lang w:val="en-US" w:eastAsia="zh-CN"/>
              </w:rPr>
              <w:t>4</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Theme="minorEastAsia" w:eastAsiaTheme="minorEastAsia" w:hAnsiTheme="minorEastAsia" w:cstheme="minorEastAsia" w:hint="eastAsia"/>
                <w:spacing w:val="3"/>
                <w:kern w:val="0"/>
                <w:sz w:val="21"/>
                <w:szCs w:val="21"/>
                <w:lang w:val="en-US" w:eastAsia="zh-CN" w:bidi="ar-SA"/>
              </w:rPr>
            </w:pPr>
            <w:r>
              <w:rPr>
                <w:rFonts w:asciiTheme="minorEastAsia" w:hAnsiTheme="minorEastAsia" w:cstheme="minorEastAsia" w:hint="eastAsia"/>
                <w:spacing w:val="3"/>
                <w:kern w:val="0"/>
                <w:sz w:val="21"/>
                <w:szCs w:val="21"/>
                <w:lang w:val="en-US" w:eastAsia="zh-CN"/>
              </w:rPr>
              <w:t>付款方式</w:t>
            </w:r>
          </w:p>
        </w:tc>
        <w:tc>
          <w:tcPr>
            <w:tcW w:w="3498" w:type="pct"/>
            <w:vAlign w:val="top"/>
          </w:tcPr>
          <w:p>
            <w:pPr>
              <w:rPr>
                <w:rFonts w:hint="eastAsia"/>
              </w:rPr>
            </w:pPr>
            <w:r>
              <w:rPr>
                <w:rFonts w:hint="eastAsia"/>
              </w:rPr>
              <w:t>1.预付款支付</w:t>
            </w:r>
          </w:p>
          <w:p>
            <w:pPr>
              <w:rPr>
                <w:rFonts w:hint="eastAsia"/>
              </w:rPr>
            </w:pPr>
            <w:r>
              <w:rPr>
                <w:rFonts w:hint="eastAsia"/>
              </w:rPr>
              <w:t>合同签订后，中标人需向</w:t>
            </w:r>
            <w:r>
              <w:rPr>
                <w:rFonts w:hint="eastAsia"/>
                <w:lang w:val="en-US" w:eastAsia="zh-CN"/>
              </w:rPr>
              <w:t>采购人</w:t>
            </w:r>
            <w:r>
              <w:rPr>
                <w:rFonts w:hint="eastAsia"/>
              </w:rPr>
              <w:t>提供</w:t>
            </w:r>
            <w:r>
              <w:rPr>
                <w:rFonts w:hint="eastAsia"/>
                <w:lang w:val="en-US" w:eastAsia="zh-CN"/>
              </w:rPr>
              <w:t>全额</w:t>
            </w:r>
            <w:r>
              <w:rPr>
                <w:rFonts w:hint="eastAsia"/>
              </w:rPr>
              <w:t>发票</w:t>
            </w:r>
            <w:r>
              <w:rPr>
                <w:rFonts w:hint="eastAsia"/>
                <w:lang w:eastAsia="zh-CN"/>
              </w:rPr>
              <w:t>，</w:t>
            </w:r>
            <w:r>
              <w:rPr>
                <w:rFonts w:hint="eastAsia"/>
                <w:lang w:val="en-US" w:eastAsia="zh-CN"/>
              </w:rPr>
              <w:t>采购人</w:t>
            </w:r>
            <w:r>
              <w:rPr>
                <w:rFonts w:hint="eastAsia"/>
              </w:rPr>
              <w:t>在收到发票</w:t>
            </w:r>
            <w:r>
              <w:rPr>
                <w:rFonts w:hint="eastAsia"/>
                <w:lang w:val="en-US" w:eastAsia="zh-CN"/>
              </w:rPr>
              <w:t>且财政资金到位后</w:t>
            </w:r>
            <w:r>
              <w:rPr>
                <w:rFonts w:hint="eastAsia"/>
              </w:rPr>
              <w:t>，向中标人支付合同总金额50%的货物预付款。</w:t>
            </w:r>
          </w:p>
          <w:p>
            <w:pPr>
              <w:rPr>
                <w:rFonts w:hint="eastAsia"/>
              </w:rPr>
            </w:pPr>
            <w:r>
              <w:rPr>
                <w:rFonts w:hint="eastAsia"/>
              </w:rPr>
              <w:t>2.进度款（尾款）支付</w:t>
            </w:r>
          </w:p>
          <w:p>
            <w:pPr>
              <w:rPr>
                <w:rFonts w:hint="eastAsia"/>
              </w:rPr>
            </w:pPr>
            <w:r>
              <w:rPr>
                <w:rFonts w:hint="eastAsia"/>
              </w:rPr>
              <w:t>中标人将货物运至指定地点、完成安装调试、设备运行合格并通过性能验收后，</w:t>
            </w:r>
            <w:r>
              <w:rPr>
                <w:rFonts w:hint="eastAsia"/>
                <w:lang w:val="en-US" w:eastAsia="zh-CN"/>
              </w:rPr>
              <w:t>采购人</w:t>
            </w:r>
            <w:r>
              <w:rPr>
                <w:rFonts w:hint="eastAsia"/>
              </w:rPr>
              <w:t>根据财政拨款时间支付剩余50%货款。具体规则如下：</w:t>
            </w:r>
          </w:p>
          <w:p>
            <w:pPr>
              <w:rPr>
                <w:rFonts w:hint="eastAsia"/>
              </w:rPr>
            </w:pPr>
            <w:r>
              <w:rPr>
                <w:rFonts w:hint="eastAsia"/>
              </w:rPr>
              <w:t>2.1若财政资金足额到位且设备验收合格，</w:t>
            </w:r>
            <w:r>
              <w:rPr>
                <w:rFonts w:hint="eastAsia"/>
                <w:lang w:val="en-US" w:eastAsia="zh-CN"/>
              </w:rPr>
              <w:t>采购人</w:t>
            </w:r>
            <w:r>
              <w:rPr>
                <w:rFonts w:hint="eastAsia"/>
              </w:rPr>
              <w:t>按照财务审批流程支付剩余50%货款；</w:t>
            </w:r>
          </w:p>
          <w:p>
            <w:pPr>
              <w:rPr>
                <w:rFonts w:hint="eastAsia"/>
              </w:rPr>
            </w:pPr>
            <w:r>
              <w:rPr>
                <w:rFonts w:hint="eastAsia"/>
              </w:rPr>
              <w:t>2.2若财政资金不足以支付尾款，</w:t>
            </w:r>
            <w:r>
              <w:rPr>
                <w:rFonts w:hint="eastAsia"/>
                <w:lang w:val="en-US" w:eastAsia="zh-CN"/>
              </w:rPr>
              <w:t>采购人</w:t>
            </w:r>
            <w:r>
              <w:rPr>
                <w:rFonts w:hint="eastAsia"/>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textAlignment w:val="auto"/>
              <w:rPr>
                <w:rFonts w:asciiTheme="minorEastAsia" w:eastAsiaTheme="minorEastAsia" w:hAnsiTheme="minorEastAsia" w:cstheme="minorEastAsia" w:hint="eastAsia"/>
                <w:spacing w:val="8"/>
                <w:kern w:val="0"/>
                <w:sz w:val="21"/>
                <w:szCs w:val="21"/>
                <w:lang w:val="en-US" w:eastAsia="zh-CN" w:bidi="ar-SA"/>
              </w:rPr>
            </w:pPr>
            <w:r>
              <w:rPr>
                <w:rFonts w:hint="eastAsia"/>
              </w:rPr>
              <w:t>2.3若</w:t>
            </w:r>
            <w:r>
              <w:rPr>
                <w:rFonts w:hint="eastAsia"/>
                <w:lang w:val="en-US" w:eastAsia="zh-CN"/>
              </w:rPr>
              <w:t>采购人</w:t>
            </w:r>
            <w:r>
              <w:rPr>
                <w:rFonts w:hint="eastAsia"/>
              </w:rPr>
              <w:t>2025年资金预算不足，付款顺延至2026年。</w:t>
            </w:r>
          </w:p>
        </w:tc>
      </w:tr>
      <w:tr>
        <w:tblPrEx>
          <w:tblW w:w="5010" w:type="pct"/>
          <w:jc w:val="center"/>
          <w:tblCellMar>
            <w:top w:w="0" w:type="dxa"/>
            <w:left w:w="0" w:type="dxa"/>
            <w:bottom w:w="0" w:type="dxa"/>
            <w:right w:w="0" w:type="dxa"/>
          </w:tblCellMar>
        </w:tblPrEx>
        <w:trPr>
          <w:trHeight w:val="325"/>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eastAsia="zh-CN"/>
              </w:rPr>
            </w:pPr>
            <w:r>
              <w:rPr>
                <w:rFonts w:asciiTheme="minorEastAsia" w:hAnsiTheme="minorEastAsia" w:cstheme="minorEastAsia" w:hint="eastAsia"/>
                <w:kern w:val="0"/>
                <w:sz w:val="21"/>
                <w:szCs w:val="21"/>
                <w:lang w:val="en-US" w:eastAsia="zh-CN"/>
              </w:rPr>
              <w:t>5</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3"/>
                <w:kern w:val="0"/>
                <w:sz w:val="21"/>
                <w:szCs w:val="21"/>
              </w:rPr>
              <w:t>运输、安装和验收</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1.</w:t>
            </w:r>
            <w:r>
              <w:rPr>
                <w:rFonts w:asciiTheme="minorEastAsia" w:eastAsiaTheme="minorEastAsia" w:hAnsiTheme="minorEastAsia" w:cstheme="minorEastAsia" w:hint="eastAsia"/>
                <w:spacing w:val="8"/>
                <w:kern w:val="0"/>
                <w:sz w:val="21"/>
                <w:szCs w:val="21"/>
              </w:rPr>
              <w:t>投标人负责将货物安全无损运抵采购人指定地点，并承担设备的包装、运输、保险、装卸、安装调试、培训、商检及计量检测、关税、增值税和进口代理等费用。</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2.</w:t>
            </w:r>
            <w:r>
              <w:rPr>
                <w:rFonts w:asciiTheme="minorEastAsia" w:eastAsiaTheme="minorEastAsia" w:hAnsiTheme="minorEastAsia" w:cstheme="minorEastAsia" w:hint="eastAsia"/>
                <w:spacing w:val="8"/>
                <w:kern w:val="0"/>
                <w:sz w:val="21"/>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3.</w:t>
            </w:r>
            <w:r>
              <w:rPr>
                <w:rFonts w:asciiTheme="minorEastAsia" w:eastAsiaTheme="minorEastAsia" w:hAnsiTheme="minorEastAsia" w:cstheme="minorEastAsia" w:hint="eastAsia"/>
                <w:spacing w:val="8"/>
                <w:kern w:val="0"/>
                <w:sz w:val="21"/>
                <w:szCs w:val="21"/>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4.</w:t>
            </w:r>
            <w:r>
              <w:rPr>
                <w:rFonts w:asciiTheme="minorEastAsia" w:eastAsiaTheme="minorEastAsia" w:hAnsiTheme="minorEastAsia" w:cstheme="minorEastAsia" w:hint="eastAsia"/>
                <w:spacing w:val="8"/>
                <w:kern w:val="0"/>
                <w:sz w:val="21"/>
                <w:szCs w:val="21"/>
              </w:rPr>
              <w:t>供货时须确保产品外观清洁，标记编号以及盘面显示等字体清晰、明确，能够准确无误地表示产品的型号、规格、制造商等，并保证所提供的产品的可追溯性。</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5.</w:t>
            </w:r>
            <w:r>
              <w:rPr>
                <w:rFonts w:asciiTheme="minorEastAsia" w:eastAsiaTheme="minorEastAsia" w:hAnsiTheme="minorEastAsia" w:cstheme="minorEastAsia" w:hint="eastAsia"/>
                <w:spacing w:val="8"/>
                <w:kern w:val="0"/>
                <w:sz w:val="21"/>
                <w:szCs w:val="21"/>
              </w:rPr>
              <w:t>投标人负责货物的现场安装和调试，提供货物安装、调试和维修所需的专用工具和辅助材料。投标人应在货物运至指定地点后一周内开始安装调试，并在15天（日历日）内完成安装调试工作。</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3"/>
                <w:kern w:val="0"/>
                <w:sz w:val="21"/>
                <w:szCs w:val="21"/>
              </w:rPr>
            </w:pPr>
          </w:p>
        </w:tc>
        <w:tc>
          <w:tcPr>
            <w:tcW w:w="3498" w:type="pct"/>
            <w:vAlign w:val="top"/>
          </w:tcPr>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w:t>
            </w:r>
            <w:r>
              <w:rPr>
                <w:rFonts w:asciiTheme="majorEastAsia" w:eastAsiaTheme="majorEastAsia" w:hAnsiTheme="majorEastAsia" w:cstheme="majorEastAsia" w:hint="eastAsia"/>
                <w:b/>
                <w:bCs/>
                <w:color w:val="FF0000"/>
                <w:sz w:val="21"/>
                <w:szCs w:val="21"/>
                <w:lang w:val="en-US" w:eastAsia="zh-CN"/>
              </w:rPr>
              <w:t>6.</w:t>
            </w:r>
            <w:r>
              <w:rPr>
                <w:rFonts w:asciiTheme="majorEastAsia" w:eastAsiaTheme="majorEastAsia" w:hAnsiTheme="majorEastAsia" w:cstheme="majorEastAsia" w:hint="eastAsia"/>
                <w:b/>
                <w:bCs/>
                <w:color w:val="FF0000"/>
                <w:sz w:val="21"/>
                <w:szCs w:val="21"/>
              </w:rPr>
              <w:t>当满足以下条件时，采购人才向中标人签发货物验收报告：</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（1）设备全新,外观无伤痕变形或明显修饰痕迹。</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（3）技术文件资料、备件等已按规定数量移交完毕。</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（4）按照招标文件要求及投标文件提供的技术要求验收合格。</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spacing w:line="240" w:lineRule="auto"/>
              <w:jc w:val="left"/>
              <w:rPr>
                <w:rFonts w:asciiTheme="majorEastAsia" w:eastAsiaTheme="majorEastAsia" w:hAnsiTheme="majorEastAsia" w:cstheme="majorEastAsia" w:hint="eastAsia"/>
                <w:b/>
                <w:bCs/>
                <w:color w:val="FF0000"/>
                <w:sz w:val="21"/>
                <w:szCs w:val="21"/>
              </w:rPr>
            </w:pPr>
            <w:r>
              <w:rPr>
                <w:rFonts w:asciiTheme="majorEastAsia" w:eastAsiaTheme="majorEastAsia" w:hAnsiTheme="majorEastAsia" w:cstheme="majorEastAsia" w:hint="eastAsia"/>
                <w:b/>
                <w:bCs/>
                <w:color w:val="FF0000"/>
                <w:sz w:val="21"/>
                <w:szCs w:val="21"/>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ajorEastAsia" w:eastAsiaTheme="majorEastAsia" w:hAnsiTheme="majorEastAsia" w:cstheme="majorEastAsia" w:hint="eastAsia"/>
                <w:b/>
                <w:bCs/>
                <w:color w:val="FF0000"/>
                <w:sz w:val="21"/>
                <w:szCs w:val="21"/>
              </w:rPr>
              <w:t>（7）在货物安装调试合格后，所有技术指标达到技术规范书要求，经验收合格后，双方共同签署验收报告。</w:t>
            </w:r>
          </w:p>
        </w:tc>
      </w:tr>
      <w:tr>
        <w:tblPrEx>
          <w:tblW w:w="5010" w:type="pct"/>
          <w:jc w:val="center"/>
          <w:tblCellMar>
            <w:top w:w="0" w:type="dxa"/>
            <w:left w:w="0" w:type="dxa"/>
            <w:bottom w:w="0" w:type="dxa"/>
            <w:right w:w="0" w:type="dxa"/>
          </w:tblCellMar>
        </w:tblPrEx>
        <w:trPr>
          <w:trHeight w:val="325"/>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hAnsiTheme="minorEastAsia" w:cstheme="minorEastAsia" w:hint="default"/>
                <w:kern w:val="0"/>
                <w:sz w:val="21"/>
                <w:szCs w:val="21"/>
                <w:lang w:val="en-US" w:eastAsia="zh-CN"/>
              </w:rPr>
            </w:pPr>
            <w:r>
              <w:rPr>
                <w:rFonts w:asciiTheme="minorEastAsia" w:hAnsiTheme="minorEastAsia" w:cstheme="minorEastAsia" w:hint="eastAsia"/>
                <w:kern w:val="0"/>
                <w:sz w:val="21"/>
                <w:szCs w:val="21"/>
                <w:lang w:val="en-US" w:eastAsia="zh-CN"/>
              </w:rPr>
              <w:t>6</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hAnsiTheme="minorEastAsia" w:cstheme="minorEastAsia" w:hint="default"/>
                <w:spacing w:val="3"/>
                <w:kern w:val="0"/>
                <w:sz w:val="21"/>
                <w:szCs w:val="21"/>
                <w:lang w:val="en-US" w:eastAsia="zh-CN"/>
              </w:rPr>
            </w:pPr>
            <w:r>
              <w:rPr>
                <w:rFonts w:asciiTheme="minorEastAsia" w:hAnsiTheme="minorEastAsia" w:cstheme="minorEastAsia" w:hint="eastAsia"/>
                <w:spacing w:val="3"/>
                <w:kern w:val="0"/>
                <w:sz w:val="21"/>
                <w:szCs w:val="21"/>
                <w:lang w:val="en-US" w:eastAsia="zh-CN"/>
              </w:rPr>
              <w:t>履约保证金</w:t>
            </w:r>
          </w:p>
        </w:tc>
        <w:tc>
          <w:tcPr>
            <w:tcW w:w="3498" w:type="pct"/>
            <w:vAlign w:val="top"/>
          </w:tcPr>
          <w:p>
            <w:pPr>
              <w:rPr>
                <w:rFonts w:hint="eastAsia"/>
              </w:rPr>
            </w:pPr>
            <w:r>
              <w:rPr>
                <w:rFonts w:hint="eastAsia"/>
              </w:rPr>
              <w:t>1.履约</w:t>
            </w:r>
            <w:r>
              <w:rPr>
                <w:rFonts w:hint="eastAsia"/>
                <w:lang w:val="en-US" w:eastAsia="zh-CN"/>
              </w:rPr>
              <w:t>保证金</w:t>
            </w:r>
            <w:r>
              <w:rPr>
                <w:rFonts w:hint="eastAsia"/>
              </w:rPr>
              <w:t>提交要求</w:t>
            </w:r>
          </w:p>
          <w:p>
            <w:pPr>
              <w:rPr>
                <w:rFonts w:hint="eastAsia"/>
              </w:rPr>
            </w:pPr>
            <w:r>
              <w:rPr>
                <w:rFonts w:hint="eastAsia"/>
              </w:rPr>
              <w:t>1.1</w:t>
            </w:r>
            <w:r>
              <w:rPr>
                <w:rFonts w:hint="eastAsia"/>
                <w:lang w:val="en-US" w:eastAsia="zh-CN"/>
              </w:rPr>
              <w:t>中标人</w:t>
            </w:r>
            <w:r>
              <w:rPr>
                <w:rFonts w:hint="eastAsia"/>
              </w:rPr>
              <w:t>需向</w:t>
            </w:r>
            <w:r>
              <w:rPr>
                <w:rFonts w:hint="eastAsia"/>
                <w:lang w:val="en-US" w:eastAsia="zh-CN"/>
              </w:rPr>
              <w:t>采购人</w:t>
            </w:r>
            <w:r>
              <w:rPr>
                <w:rFonts w:hint="eastAsia"/>
              </w:rPr>
              <w:t>提供合同总额5%的</w:t>
            </w:r>
            <w:r>
              <w:rPr>
                <w:rFonts w:hint="eastAsia"/>
                <w:lang w:val="en-US" w:eastAsia="zh-CN"/>
              </w:rPr>
              <w:t>履约保证金，由中标人自主选择以支票、汇票、本票、保函等非现金或现金方式提交</w:t>
            </w:r>
            <w:r>
              <w:rPr>
                <w:rFonts w:hint="eastAsia"/>
              </w:rPr>
              <w:t>。</w:t>
            </w:r>
          </w:p>
          <w:p>
            <w:pPr>
              <w:rPr>
                <w:rFonts w:hint="eastAsia"/>
              </w:rPr>
            </w:pPr>
            <w:r>
              <w:rPr>
                <w:rFonts w:hint="eastAsia"/>
              </w:rPr>
              <w:t>1.2提交时间：合同签订后</w:t>
            </w:r>
            <w:r>
              <w:rPr>
                <w:rFonts w:hint="eastAsia"/>
                <w:lang w:val="en-US" w:eastAsia="zh-CN"/>
              </w:rPr>
              <w:t>10</w:t>
            </w:r>
            <w:r>
              <w:rPr>
                <w:rFonts w:hint="eastAsia"/>
              </w:rPr>
              <w:t>日内提交。</w:t>
            </w:r>
          </w:p>
          <w:p>
            <w:pPr>
              <w:rPr>
                <w:rFonts w:hint="eastAsia"/>
              </w:rPr>
            </w:pPr>
            <w:r>
              <w:rPr>
                <w:rFonts w:hint="eastAsia"/>
              </w:rPr>
              <w:t>1.3</w:t>
            </w:r>
            <w:r>
              <w:rPr>
                <w:rFonts w:hint="eastAsia"/>
                <w:lang w:val="en-US" w:eastAsia="zh-CN"/>
              </w:rPr>
              <w:t>如涉及相关费用的，</w:t>
            </w:r>
            <w:r>
              <w:rPr>
                <w:rFonts w:hint="eastAsia"/>
              </w:rPr>
              <w:t>均由</w:t>
            </w:r>
            <w:r>
              <w:rPr>
                <w:rFonts w:hint="eastAsia"/>
                <w:lang w:val="en-US" w:eastAsia="zh-CN"/>
              </w:rPr>
              <w:t>中标人</w:t>
            </w:r>
            <w:r>
              <w:rPr>
                <w:rFonts w:hint="eastAsia"/>
              </w:rPr>
              <w:t>自行承担。</w:t>
            </w:r>
          </w:p>
          <w:p>
            <w:pPr>
              <w:rPr>
                <w:rFonts w:hint="eastAsia"/>
              </w:rPr>
            </w:pPr>
            <w:r>
              <w:rPr>
                <w:rFonts w:hint="eastAsia"/>
              </w:rPr>
              <w:t>2</w:t>
            </w:r>
            <w:r>
              <w:rPr>
                <w:rFonts w:hint="eastAsia"/>
                <w:lang w:val="en-US" w:eastAsia="zh-CN"/>
              </w:rPr>
              <w:t>.</w:t>
            </w:r>
            <w:r>
              <w:rPr>
                <w:rFonts w:hint="eastAsia"/>
              </w:rPr>
              <w:t>保证金退还：</w:t>
            </w:r>
            <w:r>
              <w:rPr>
                <w:rFonts w:hint="eastAsia"/>
                <w:lang w:val="en-US" w:eastAsia="zh-CN"/>
              </w:rPr>
              <w:t>中标人完成供货且经过采购人验收合格后，采购人在30日内不计息退还</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hint="eastAsia"/>
                <w:lang w:val="en-US" w:eastAsia="zh-CN"/>
              </w:rPr>
              <w:t>3.</w:t>
            </w:r>
            <w:r>
              <w:rPr>
                <w:rFonts w:hint="eastAsia"/>
              </w:rPr>
              <w:t>违约处理：如</w:t>
            </w:r>
            <w:r>
              <w:rPr>
                <w:rFonts w:hint="eastAsia"/>
                <w:lang w:val="en-US" w:eastAsia="zh-CN"/>
              </w:rPr>
              <w:t>中标人</w:t>
            </w:r>
            <w:r>
              <w:rPr>
                <w:rFonts w:hint="eastAsia"/>
              </w:rPr>
              <w:t>发生违约行为，如设备出现质量问题，或</w:t>
            </w:r>
            <w:r>
              <w:rPr>
                <w:rFonts w:hint="eastAsia"/>
                <w:lang w:val="en-US" w:eastAsia="zh-CN"/>
              </w:rPr>
              <w:t>中标人</w:t>
            </w:r>
            <w:r>
              <w:rPr>
                <w:rFonts w:hint="eastAsia"/>
              </w:rPr>
              <w:t>未按</w:t>
            </w:r>
            <w:r>
              <w:rPr>
                <w:rFonts w:hint="eastAsia"/>
                <w:lang w:val="en-US" w:eastAsia="zh-CN"/>
              </w:rPr>
              <w:t>采购人</w:t>
            </w:r>
            <w:r>
              <w:rPr>
                <w:rFonts w:hint="eastAsia"/>
              </w:rPr>
              <w:t>要求维修或替换，则</w:t>
            </w:r>
            <w:r>
              <w:rPr>
                <w:rFonts w:hint="eastAsia"/>
                <w:lang w:val="en-US" w:eastAsia="zh-CN"/>
              </w:rPr>
              <w:t>采购人</w:t>
            </w:r>
            <w:r>
              <w:rPr>
                <w:rFonts w:hint="eastAsia"/>
              </w:rPr>
              <w:t>有权</w:t>
            </w:r>
            <w:r>
              <w:rPr>
                <w:rFonts w:hint="eastAsia"/>
                <w:lang w:val="en-US" w:eastAsia="zh-CN"/>
              </w:rPr>
              <w:t>扣除已收取的履约保证金</w:t>
            </w:r>
            <w:r>
              <w:rPr>
                <w:rFonts w:hint="eastAsia"/>
              </w:rPr>
              <w:t>，无需经过</w:t>
            </w:r>
            <w:r>
              <w:rPr>
                <w:rFonts w:hint="eastAsia"/>
                <w:lang w:val="en-US" w:eastAsia="zh-CN"/>
              </w:rPr>
              <w:t>中标人</w:t>
            </w:r>
            <w:r>
              <w:rPr>
                <w:rFonts w:hint="eastAsia"/>
              </w:rPr>
              <w:t>同意，由此造成的一切损失由</w:t>
            </w:r>
            <w:r>
              <w:rPr>
                <w:rFonts w:hint="eastAsia"/>
                <w:lang w:val="en-US" w:eastAsia="zh-CN"/>
              </w:rPr>
              <w:t>中标人</w:t>
            </w:r>
            <w:r>
              <w:rPr>
                <w:rFonts w:hint="eastAsia"/>
              </w:rPr>
              <w:t>承担。</w:t>
            </w:r>
          </w:p>
        </w:tc>
      </w:tr>
      <w:tr>
        <w:tblPrEx>
          <w:tblW w:w="5010" w:type="pct"/>
          <w:jc w:val="center"/>
          <w:tblCellMar>
            <w:top w:w="0" w:type="dxa"/>
            <w:left w:w="0" w:type="dxa"/>
            <w:bottom w:w="0" w:type="dxa"/>
            <w:right w:w="0" w:type="dxa"/>
          </w:tblCellMar>
        </w:tblPrEx>
        <w:trPr>
          <w:trHeight w:val="502"/>
          <w:jc w:val="center"/>
        </w:trPr>
        <w:tc>
          <w:tcPr>
            <w:tcW w:w="48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eastAsia="zh-CN"/>
              </w:rPr>
            </w:pPr>
            <w:r>
              <w:rPr>
                <w:rFonts w:asciiTheme="minorEastAsia" w:hAnsiTheme="minorEastAsia" w:cstheme="minorEastAsia" w:hint="eastAsia"/>
                <w:kern w:val="0"/>
                <w:sz w:val="21"/>
                <w:szCs w:val="21"/>
                <w:lang w:val="en-US" w:eastAsia="zh-CN"/>
              </w:rPr>
              <w:t>7</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5"/>
                <w:kern w:val="0"/>
                <w:sz w:val="21"/>
                <w:szCs w:val="21"/>
              </w:rPr>
              <w:t>培训</w:t>
            </w:r>
          </w:p>
        </w:tc>
        <w:tc>
          <w:tcPr>
            <w:tcW w:w="34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eastAsiaTheme="minorEastAsia" w:hAnsiTheme="minorEastAsia" w:cstheme="minorEastAsia" w:hint="eastAsia"/>
                <w:spacing w:val="8"/>
                <w:kern w:val="0"/>
                <w:sz w:val="21"/>
                <w:szCs w:val="21"/>
              </w:rPr>
              <w:t>中标人应派专业技术人员免费对采购单位制定人员进行定期培训及指导，直至其完全掌握设备的基本故障处理技术</w:t>
            </w:r>
            <w:r>
              <w:rPr>
                <w:rFonts w:asciiTheme="minorEastAsia" w:hAnsiTheme="minorEastAsia" w:cstheme="minorEastAsia" w:hint="eastAsia"/>
                <w:spacing w:val="8"/>
                <w:kern w:val="0"/>
                <w:sz w:val="21"/>
                <w:szCs w:val="21"/>
                <w:lang w:eastAsia="zh-CN"/>
              </w:rPr>
              <w:t>，</w:t>
            </w:r>
            <w:r>
              <w:rPr>
                <w:rFonts w:asciiTheme="minorEastAsia" w:hAnsiTheme="minorEastAsia" w:cstheme="minorEastAsia" w:hint="eastAsia"/>
                <w:spacing w:val="8"/>
                <w:kern w:val="0"/>
                <w:sz w:val="21"/>
                <w:szCs w:val="21"/>
                <w:lang w:val="en-US" w:eastAsia="zh-CN"/>
              </w:rPr>
              <w:t>其中第一次培训应在</w:t>
            </w:r>
            <w:r>
              <w:rPr>
                <w:rFonts w:asciiTheme="majorEastAsia" w:eastAsiaTheme="majorEastAsia" w:hAnsiTheme="majorEastAsia" w:cstheme="majorEastAsia" w:hint="eastAsia"/>
                <w:bCs/>
                <w:spacing w:val="0"/>
                <w:sz w:val="21"/>
                <w:szCs w:val="21"/>
                <w:lang w:val="en-US" w:eastAsia="zh-CN"/>
              </w:rPr>
              <w:t>设备验收后一周内有专业人员对采购人临床操作人员进行专业的培训。</w:t>
            </w:r>
          </w:p>
        </w:tc>
      </w:tr>
      <w:tr>
        <w:tblPrEx>
          <w:tblW w:w="5010" w:type="pct"/>
          <w:jc w:val="center"/>
          <w:tblCellMar>
            <w:top w:w="0" w:type="dxa"/>
            <w:left w:w="0" w:type="dxa"/>
            <w:bottom w:w="0" w:type="dxa"/>
            <w:right w:w="0" w:type="dxa"/>
          </w:tblCellMar>
        </w:tblPrEx>
        <w:trPr>
          <w:trHeight w:val="62"/>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hAnsiTheme="minorEastAsia" w:cstheme="minorEastAsia" w:hint="default"/>
                <w:kern w:val="0"/>
                <w:sz w:val="21"/>
                <w:szCs w:val="21"/>
                <w:lang w:val="en-US" w:eastAsia="zh-CN"/>
              </w:rPr>
            </w:pPr>
            <w:r>
              <w:rPr>
                <w:rFonts w:asciiTheme="minorEastAsia" w:hAnsiTheme="minorEastAsia" w:cstheme="minorEastAsia" w:hint="eastAsia"/>
                <w:kern w:val="0"/>
                <w:sz w:val="21"/>
                <w:szCs w:val="21"/>
                <w:lang w:val="en-US" w:eastAsia="zh-CN"/>
              </w:rPr>
              <w:t>8</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default"/>
                <w:spacing w:val="5"/>
                <w:kern w:val="0"/>
                <w:sz w:val="21"/>
                <w:szCs w:val="21"/>
                <w:lang w:val="en-US" w:eastAsia="zh-CN"/>
              </w:rPr>
            </w:pPr>
            <w:r>
              <w:rPr>
                <w:rFonts w:asciiTheme="minorEastAsia" w:hAnsiTheme="minorEastAsia" w:cstheme="minorEastAsia" w:hint="eastAsia"/>
                <w:spacing w:val="5"/>
                <w:kern w:val="0"/>
                <w:sz w:val="21"/>
                <w:szCs w:val="21"/>
                <w:lang w:val="en-US" w:eastAsia="zh-CN"/>
              </w:rPr>
              <w:t>违约条款</w:t>
            </w:r>
          </w:p>
        </w:tc>
        <w:tc>
          <w:tcPr>
            <w:tcW w:w="3498" w:type="pct"/>
            <w:vAlign w:val="center"/>
          </w:tcPr>
          <w:p>
            <w:pPr>
              <w:spacing w:line="240" w:lineRule="auto"/>
              <w:jc w:val="left"/>
              <w:rPr>
                <w:rFonts w:asciiTheme="majorEastAsia" w:eastAsiaTheme="majorEastAsia" w:hAnsiTheme="majorEastAsia" w:cstheme="majorEastAsia" w:hint="eastAsia"/>
                <w:bCs/>
                <w:kern w:val="2"/>
                <w:sz w:val="21"/>
                <w:szCs w:val="21"/>
                <w:lang w:val="en-US" w:eastAsia="zh-CN" w:bidi="ar-SA"/>
              </w:rPr>
            </w:pPr>
            <w:r>
              <w:rPr>
                <w:rFonts w:asciiTheme="majorEastAsia" w:eastAsiaTheme="majorEastAsia" w:hAnsiTheme="majorEastAsia" w:cstheme="majorEastAsia" w:hint="eastAsia"/>
                <w:bCs/>
                <w:sz w:val="21"/>
                <w:szCs w:val="21"/>
                <w:lang w:val="en-US" w:eastAsia="zh-CN"/>
              </w:rPr>
              <w:t>1.</w:t>
            </w:r>
            <w:r>
              <w:rPr>
                <w:rFonts w:asciiTheme="majorEastAsia" w:eastAsiaTheme="majorEastAsia" w:hAnsiTheme="majorEastAsia" w:cstheme="majorEastAsia" w:hint="eastAsia"/>
                <w:bCs/>
                <w:spacing w:val="0"/>
                <w:sz w:val="21"/>
                <w:szCs w:val="21"/>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pPr>
          </w:p>
        </w:tc>
        <w:tc>
          <w:tcPr>
            <w:tcW w:w="3498" w:type="pct"/>
            <w:vAlign w:val="center"/>
          </w:tcPr>
          <w:p>
            <w:pPr>
              <w:spacing w:line="240" w:lineRule="auto"/>
              <w:jc w:val="left"/>
              <w:rPr>
                <w:rFonts w:asciiTheme="majorEastAsia" w:eastAsiaTheme="majorEastAsia" w:hAnsiTheme="majorEastAsia" w:cstheme="majorEastAsia" w:hint="eastAsia"/>
                <w:bCs/>
                <w:kern w:val="2"/>
                <w:sz w:val="21"/>
                <w:szCs w:val="21"/>
                <w:lang w:val="en-US" w:eastAsia="zh-CN" w:bidi="ar-SA"/>
              </w:rPr>
            </w:pPr>
            <w:r>
              <w:rPr>
                <w:rFonts w:asciiTheme="majorEastAsia" w:eastAsiaTheme="majorEastAsia" w:hAnsiTheme="majorEastAsia" w:cstheme="majorEastAsia" w:hint="eastAsia"/>
                <w:bCs/>
                <w:spacing w:val="0"/>
                <w:sz w:val="21"/>
                <w:szCs w:val="21"/>
                <w:lang w:val="en-US"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3498" w:type="pct"/>
            <w:vAlign w:val="center"/>
          </w:tcPr>
          <w:p>
            <w:pPr>
              <w:spacing w:line="240" w:lineRule="auto"/>
              <w:jc w:val="left"/>
              <w:rPr>
                <w:rFonts w:asciiTheme="majorEastAsia" w:eastAsiaTheme="majorEastAsia" w:hAnsiTheme="majorEastAsia" w:cstheme="majorEastAsia" w:hint="eastAsia"/>
                <w:bCs/>
                <w:kern w:val="2"/>
                <w:sz w:val="21"/>
                <w:szCs w:val="21"/>
                <w:lang w:val="en-US" w:eastAsia="zh-CN" w:bidi="ar-SA"/>
              </w:rPr>
            </w:pPr>
            <w:r>
              <w:rPr>
                <w:rFonts w:asciiTheme="majorEastAsia" w:eastAsiaTheme="majorEastAsia" w:hAnsiTheme="majorEastAsia" w:cstheme="majorEastAsia" w:hint="eastAsia"/>
                <w:bCs/>
                <w:sz w:val="21"/>
                <w:szCs w:val="21"/>
                <w:lang w:val="en-US" w:eastAsia="zh-CN"/>
              </w:rPr>
              <w:t>3.</w:t>
            </w:r>
            <w:r>
              <w:rPr>
                <w:rFonts w:asciiTheme="majorEastAsia" w:eastAsiaTheme="majorEastAsia" w:hAnsiTheme="majorEastAsia" w:cstheme="majorEastAsia" w:hint="eastAsia"/>
                <w:bCs/>
                <w:spacing w:val="0"/>
                <w:sz w:val="21"/>
                <w:szCs w:val="21"/>
                <w:lang w:val="en-US"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3498" w:type="pct"/>
            <w:vAlign w:val="center"/>
          </w:tcPr>
          <w:p>
            <w:pPr>
              <w:spacing w:line="240" w:lineRule="auto"/>
              <w:jc w:val="left"/>
              <w:rPr>
                <w:rFonts w:asciiTheme="majorEastAsia" w:eastAsiaTheme="majorEastAsia" w:hAnsiTheme="majorEastAsia" w:cstheme="majorEastAsia" w:hint="eastAsia"/>
                <w:bCs/>
                <w:kern w:val="2"/>
                <w:sz w:val="21"/>
                <w:szCs w:val="21"/>
                <w:lang w:val="en-US" w:eastAsia="zh-CN" w:bidi="ar-SA"/>
              </w:rPr>
            </w:pPr>
            <w:r>
              <w:rPr>
                <w:rFonts w:asciiTheme="majorEastAsia" w:eastAsiaTheme="majorEastAsia" w:hAnsiTheme="majorEastAsia" w:cstheme="majorEastAsia" w:hint="eastAsia"/>
                <w:bCs/>
                <w:sz w:val="21"/>
                <w:szCs w:val="21"/>
                <w:lang w:val="en-US" w:eastAsia="zh-CN"/>
              </w:rPr>
              <w:t>4.</w:t>
            </w:r>
            <w:r>
              <w:rPr>
                <w:rFonts w:asciiTheme="majorEastAsia" w:eastAsiaTheme="majorEastAsia" w:hAnsiTheme="majorEastAsia" w:cstheme="majorEastAsia" w:hint="eastAsia"/>
                <w:bCs/>
                <w:spacing w:val="0"/>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3498" w:type="pct"/>
            <w:vAlign w:val="center"/>
          </w:tcPr>
          <w:p>
            <w:pPr>
              <w:spacing w:line="240" w:lineRule="auto"/>
              <w:jc w:val="left"/>
              <w:rPr>
                <w:rFonts w:asciiTheme="majorEastAsia" w:eastAsiaTheme="majorEastAsia" w:hAnsiTheme="majorEastAsia" w:cstheme="majorEastAsia" w:hint="eastAsia"/>
                <w:color w:val="FF0000"/>
                <w:kern w:val="2"/>
                <w:sz w:val="21"/>
                <w:szCs w:val="21"/>
                <w:lang w:val="en-US" w:eastAsia="zh-CN" w:bidi="ar-SA"/>
              </w:rPr>
            </w:pPr>
            <w:r>
              <w:rPr>
                <w:rFonts w:asciiTheme="majorEastAsia" w:eastAsiaTheme="majorEastAsia" w:hAnsiTheme="majorEastAsia" w:cstheme="majorEastAsia" w:hint="eastAsia"/>
                <w:bCs/>
                <w:spacing w:val="0"/>
                <w:sz w:val="21"/>
                <w:szCs w:val="21"/>
                <w:lang w:val="en-US" w:eastAsia="zh-CN"/>
              </w:rPr>
              <w:t>5.</w:t>
            </w:r>
            <w:r>
              <w:rPr>
                <w:rFonts w:asciiTheme="majorEastAsia" w:eastAsiaTheme="majorEastAsia" w:hAnsiTheme="majorEastAsia" w:cstheme="majorEastAsia" w:hint="eastAsia"/>
                <w:bCs/>
                <w:spacing w:val="0"/>
                <w:sz w:val="21"/>
                <w:szCs w:val="21"/>
                <w:lang w:eastAsia="zh-CN"/>
              </w:rPr>
              <w:t>由于中标人的原因，未能按时供货</w:t>
            </w:r>
            <w:r>
              <w:rPr>
                <w:rFonts w:asciiTheme="majorEastAsia" w:eastAsiaTheme="majorEastAsia" w:hAnsiTheme="majorEastAsia" w:cstheme="majorEastAsia" w:hint="eastAsia"/>
                <w:bCs/>
                <w:spacing w:val="0"/>
                <w:sz w:val="21"/>
                <w:szCs w:val="21"/>
                <w:lang w:val="en-US" w:eastAsia="zh-CN"/>
              </w:rPr>
              <w:t>或配合验收的</w:t>
            </w:r>
            <w:r>
              <w:rPr>
                <w:rFonts w:asciiTheme="majorEastAsia" w:eastAsiaTheme="majorEastAsia" w:hAnsiTheme="majorEastAsia" w:cstheme="majorEastAsia" w:hint="eastAsia"/>
                <w:bCs/>
                <w:spacing w:val="0"/>
                <w:sz w:val="21"/>
                <w:szCs w:val="21"/>
                <w:lang w:eastAsia="zh-CN"/>
              </w:rPr>
              <w:t>，每迟一天应给付采购人的违约金为合同总额的1%，总额不超过</w:t>
            </w:r>
            <w:r>
              <w:rPr>
                <w:rFonts w:asciiTheme="majorEastAsia" w:eastAsiaTheme="majorEastAsia" w:hAnsiTheme="majorEastAsia" w:cstheme="majorEastAsia" w:hint="eastAsia"/>
                <w:bCs/>
                <w:spacing w:val="0"/>
                <w:sz w:val="21"/>
                <w:szCs w:val="21"/>
                <w:lang w:val="en-US" w:eastAsia="zh-CN"/>
              </w:rPr>
              <w:t>合同总价</w:t>
            </w:r>
            <w:r>
              <w:rPr>
                <w:rFonts w:asciiTheme="majorEastAsia" w:eastAsiaTheme="majorEastAsia" w:hAnsiTheme="majorEastAsia" w:cstheme="majorEastAsia" w:hint="eastAsia"/>
                <w:bCs/>
                <w:spacing w:val="0"/>
                <w:sz w:val="21"/>
                <w:szCs w:val="21"/>
                <w:lang w:eastAsia="zh-CN"/>
              </w:rPr>
              <w:t>的30%；如超过供货期30日，采购人有权</w:t>
            </w:r>
            <w:r>
              <w:rPr>
                <w:rFonts w:asciiTheme="majorEastAsia" w:eastAsiaTheme="majorEastAsia" w:hAnsiTheme="majorEastAsia" w:cstheme="majorEastAsia" w:hint="eastAsia"/>
                <w:bCs/>
                <w:spacing w:val="0"/>
                <w:sz w:val="21"/>
                <w:szCs w:val="21"/>
                <w:lang w:val="en-US" w:eastAsia="zh-CN"/>
              </w:rPr>
              <w:t>解除</w:t>
            </w:r>
            <w:r>
              <w:rPr>
                <w:rFonts w:asciiTheme="majorEastAsia" w:eastAsiaTheme="majorEastAsia" w:hAnsiTheme="majorEastAsia" w:cstheme="majorEastAsia" w:hint="eastAsia"/>
                <w:bCs/>
                <w:spacing w:val="0"/>
                <w:sz w:val="21"/>
                <w:szCs w:val="21"/>
                <w:lang w:eastAsia="zh-CN"/>
              </w:rPr>
              <w:t>合同，</w:t>
            </w:r>
            <w:r>
              <w:rPr>
                <w:rFonts w:asciiTheme="majorEastAsia" w:eastAsiaTheme="majorEastAsia" w:hAnsiTheme="majorEastAsia" w:cstheme="majorEastAsia" w:hint="eastAsia"/>
                <w:bCs/>
                <w:spacing w:val="0"/>
                <w:sz w:val="21"/>
                <w:szCs w:val="21"/>
                <w:lang w:val="en-US" w:eastAsia="zh-CN"/>
              </w:rPr>
              <w:t>如采购人已支付货款的中标人还应立即退还，</w:t>
            </w:r>
            <w:r>
              <w:rPr>
                <w:rFonts w:asciiTheme="majorEastAsia" w:eastAsiaTheme="majorEastAsia" w:hAnsiTheme="majorEastAsia" w:cstheme="majorEastAsia" w:hint="eastAsia"/>
                <w:bCs/>
                <w:spacing w:val="0"/>
                <w:sz w:val="21"/>
                <w:szCs w:val="21"/>
                <w:lang w:eastAsia="zh-CN"/>
              </w:rPr>
              <w:t>违约金不足以弥补损失的，应赔偿相应损失。</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3498" w:type="pct"/>
            <w:vAlign w:val="center"/>
          </w:tcPr>
          <w:p>
            <w:pPr>
              <w:spacing w:line="240" w:lineRule="auto"/>
              <w:jc w:val="left"/>
              <w:rPr>
                <w:rFonts w:asciiTheme="majorEastAsia" w:eastAsiaTheme="majorEastAsia" w:hAnsiTheme="majorEastAsia" w:cstheme="majorEastAsia" w:hint="eastAsia"/>
                <w:color w:val="FF0000"/>
                <w:kern w:val="2"/>
                <w:sz w:val="21"/>
                <w:szCs w:val="21"/>
                <w:lang w:val="en-US" w:eastAsia="zh-CN" w:bidi="ar-SA"/>
              </w:rPr>
            </w:pPr>
            <w:r>
              <w:rPr>
                <w:rFonts w:asciiTheme="majorEastAsia" w:eastAsiaTheme="majorEastAsia" w:hAnsiTheme="majorEastAsia" w:cstheme="majorEastAsia" w:hint="eastAsia"/>
                <w:bCs/>
                <w:spacing w:val="0"/>
                <w:sz w:val="21"/>
                <w:szCs w:val="21"/>
                <w:lang w:val="en-US" w:eastAsia="zh-CN"/>
              </w:rPr>
              <w:t>6.</w:t>
            </w:r>
            <w:r>
              <w:rPr>
                <w:rFonts w:asciiTheme="majorEastAsia" w:eastAsiaTheme="majorEastAsia" w:hAnsiTheme="majorEastAsia" w:cstheme="majorEastAsia" w:hint="eastAsia"/>
                <w:bCs/>
                <w:spacing w:val="0"/>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3498" w:type="pct"/>
            <w:vAlign w:val="center"/>
          </w:tcPr>
          <w:p>
            <w:pPr>
              <w:spacing w:line="240" w:lineRule="auto"/>
              <w:jc w:val="left"/>
              <w:rPr>
                <w:rFonts w:asciiTheme="majorEastAsia" w:eastAsiaTheme="majorEastAsia" w:hAnsiTheme="majorEastAsia" w:cstheme="majorEastAsia" w:hint="eastAsia"/>
                <w:color w:val="auto"/>
                <w:kern w:val="2"/>
                <w:sz w:val="21"/>
                <w:szCs w:val="21"/>
                <w:lang w:val="en-US" w:eastAsia="zh-CN" w:bidi="ar-SA"/>
              </w:rPr>
            </w:pPr>
            <w:r>
              <w:rPr>
                <w:rFonts w:asciiTheme="majorEastAsia" w:eastAsiaTheme="majorEastAsia" w:hAnsiTheme="majorEastAsia" w:cstheme="majorEastAsia" w:hint="eastAsia"/>
                <w:bCs/>
                <w:spacing w:val="0"/>
                <w:sz w:val="21"/>
                <w:szCs w:val="21"/>
                <w:lang w:val="en-US" w:eastAsia="zh-CN"/>
              </w:rPr>
              <w:t>7.中标人提供的设备经调试验收合格后，在保修期内连续三个月内频繁（平均每月1次或1次以上）出现设备不能正常使用的情况，采购人有权要求中标人免费更换新机或者退货。</w:t>
            </w:r>
          </w:p>
        </w:tc>
      </w:tr>
      <w:tr>
        <w:tblPrEx>
          <w:tblW w:w="5010" w:type="pct"/>
          <w:jc w:val="center"/>
          <w:tblCellMar>
            <w:top w:w="0" w:type="dxa"/>
            <w:left w:w="0" w:type="dxa"/>
            <w:bottom w:w="0" w:type="dxa"/>
            <w:right w:w="0" w:type="dxa"/>
          </w:tblCellMar>
        </w:tblPrEx>
        <w:trPr>
          <w:trHeight w:val="62"/>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8"/>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p>
        </w:tc>
        <w:tc>
          <w:tcPr>
            <w:tcW w:w="3498" w:type="pct"/>
            <w:vAlign w:val="center"/>
          </w:tcPr>
          <w:p>
            <w:pPr>
              <w:spacing w:line="240" w:lineRule="auto"/>
              <w:jc w:val="left"/>
              <w:rPr>
                <w:rFonts w:asciiTheme="majorEastAsia" w:eastAsiaTheme="majorEastAsia" w:hAnsiTheme="majorEastAsia" w:cstheme="majorEastAsia" w:hint="eastAsia"/>
                <w:color w:val="auto"/>
                <w:kern w:val="2"/>
                <w:sz w:val="21"/>
                <w:szCs w:val="21"/>
                <w:lang w:val="en-US" w:eastAsia="zh-CN" w:bidi="ar-SA"/>
              </w:rPr>
            </w:pPr>
            <w:r>
              <w:rPr>
                <w:rFonts w:asciiTheme="majorEastAsia" w:eastAsiaTheme="majorEastAsia" w:hAnsiTheme="majorEastAsia" w:cstheme="majorEastAsia" w:hint="eastAsia"/>
                <w:color w:val="auto"/>
                <w:sz w:val="21"/>
                <w:szCs w:val="21"/>
                <w:lang w:val="en-US" w:eastAsia="zh-CN"/>
              </w:rPr>
              <w:t>8.</w:t>
            </w:r>
            <w:r>
              <w:rPr>
                <w:rFonts w:asciiTheme="majorEastAsia" w:eastAsiaTheme="majorEastAsia" w:hAnsiTheme="majorEastAsia" w:cstheme="majorEastAsia" w:hint="eastAsia"/>
                <w:color w:val="auto"/>
                <w:sz w:val="21"/>
                <w:szCs w:val="21"/>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W w:w="5010" w:type="pct"/>
          <w:jc w:val="center"/>
          <w:tblCellMar>
            <w:top w:w="0" w:type="dxa"/>
            <w:left w:w="0" w:type="dxa"/>
            <w:bottom w:w="0" w:type="dxa"/>
            <w:right w:w="0" w:type="dxa"/>
          </w:tblCellMar>
        </w:tblPrEx>
        <w:trPr>
          <w:trHeight w:val="325"/>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eastAsia="zh-CN"/>
              </w:rPr>
            </w:pPr>
            <w:r>
              <w:rPr>
                <w:rFonts w:asciiTheme="minorEastAsia" w:hAnsiTheme="minorEastAsia" w:cstheme="minorEastAsia" w:hint="eastAsia"/>
                <w:kern w:val="0"/>
                <w:sz w:val="21"/>
                <w:szCs w:val="21"/>
                <w:lang w:val="en-US" w:eastAsia="zh-CN"/>
              </w:rPr>
              <w:t>9</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spacing w:val="7"/>
                <w:kern w:val="0"/>
                <w:sz w:val="21"/>
                <w:szCs w:val="21"/>
              </w:rPr>
              <w:t>知识产权</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1.</w:t>
            </w:r>
            <w:r>
              <w:rPr>
                <w:rFonts w:asciiTheme="minorEastAsia" w:eastAsiaTheme="minorEastAsia" w:hAnsiTheme="minorEastAsia" w:cstheme="minorEastAsia" w:hint="eastAsia"/>
                <w:spacing w:val="8"/>
                <w:kern w:val="0"/>
                <w:sz w:val="21"/>
                <w:szCs w:val="21"/>
              </w:rPr>
              <w:t>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W w:w="5010" w:type="pct"/>
          <w:jc w:val="center"/>
          <w:tblCellMar>
            <w:top w:w="0" w:type="dxa"/>
            <w:left w:w="0" w:type="dxa"/>
            <w:bottom w:w="0" w:type="dxa"/>
            <w:right w:w="0" w:type="dxa"/>
          </w:tblCellMar>
        </w:tblPrEx>
        <w:trPr>
          <w:trHeight w:val="325"/>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spacing w:val="7"/>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2.</w:t>
            </w:r>
            <w:r>
              <w:rPr>
                <w:rFonts w:asciiTheme="minorEastAsia" w:eastAsiaTheme="minorEastAsia" w:hAnsiTheme="minorEastAsia" w:cstheme="minorEastAsia" w:hint="eastAsia"/>
                <w:spacing w:val="8"/>
                <w:kern w:val="0"/>
                <w:sz w:val="21"/>
                <w:szCs w:val="21"/>
              </w:rPr>
              <w:t>采购人购买产品后，有权对该产品与其他设备进行配套、整合或适当改进，而免受侵犯专利权的起诉。</w:t>
            </w:r>
          </w:p>
        </w:tc>
      </w:tr>
      <w:tr>
        <w:tblPrEx>
          <w:tblW w:w="5010" w:type="pct"/>
          <w:jc w:val="center"/>
          <w:tblCellMar>
            <w:top w:w="0" w:type="dxa"/>
            <w:left w:w="0" w:type="dxa"/>
            <w:bottom w:w="0" w:type="dxa"/>
            <w:right w:w="0" w:type="dxa"/>
          </w:tblCellMar>
        </w:tblPrEx>
        <w:trPr>
          <w:trHeight w:val="477"/>
          <w:jc w:val="center"/>
        </w:trPr>
        <w:tc>
          <w:tcPr>
            <w:tcW w:w="48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default"/>
                <w:kern w:val="0"/>
                <w:sz w:val="21"/>
                <w:szCs w:val="21"/>
                <w:lang w:val="en-US" w:eastAsia="zh-CN"/>
              </w:rPr>
            </w:pPr>
            <w:r>
              <w:rPr>
                <w:rFonts w:asciiTheme="minorEastAsia" w:hAnsiTheme="minorEastAsia" w:cstheme="minorEastAsia" w:hint="eastAsia"/>
                <w:kern w:val="0"/>
                <w:sz w:val="21"/>
                <w:szCs w:val="21"/>
                <w:lang w:val="en-US" w:eastAsia="zh-CN"/>
              </w:rPr>
              <w:t>10</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Theme="minorEastAsia" w:eastAsiaTheme="minorEastAsia" w:hAnsiTheme="minorEastAsia" w:cstheme="minorEastAsia" w:hint="eastAsia"/>
                <w:kern w:val="0"/>
                <w:sz w:val="21"/>
                <w:szCs w:val="21"/>
                <w:lang w:val="en-US" w:eastAsia="zh-CN"/>
              </w:rPr>
            </w:pPr>
            <w:r>
              <w:rPr>
                <w:rFonts w:asciiTheme="minorEastAsia" w:eastAsiaTheme="minorEastAsia" w:hAnsiTheme="minorEastAsia" w:cstheme="minorEastAsia" w:hint="eastAsia"/>
                <w:spacing w:val="7"/>
                <w:kern w:val="0"/>
                <w:sz w:val="21"/>
                <w:szCs w:val="21"/>
              </w:rPr>
              <w:t>其他</w:t>
            </w:r>
            <w:r>
              <w:rPr>
                <w:rFonts w:asciiTheme="minorEastAsia" w:hAnsiTheme="minorEastAsia" w:cstheme="minorEastAsia" w:hint="eastAsia"/>
                <w:spacing w:val="7"/>
                <w:kern w:val="0"/>
                <w:sz w:val="21"/>
                <w:szCs w:val="21"/>
                <w:lang w:val="en-US" w:eastAsia="zh-CN"/>
              </w:rPr>
              <w:t>要求</w:t>
            </w:r>
          </w:p>
        </w:tc>
        <w:tc>
          <w:tcPr>
            <w:tcW w:w="34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8"/>
                <w:kern w:val="0"/>
                <w:sz w:val="21"/>
                <w:szCs w:val="21"/>
              </w:rPr>
            </w:pPr>
            <w:r>
              <w:rPr>
                <w:rFonts w:asciiTheme="minorEastAsia" w:hAnsiTheme="minorEastAsia" w:cstheme="minorEastAsia" w:hint="eastAsia"/>
                <w:spacing w:val="8"/>
                <w:kern w:val="0"/>
                <w:sz w:val="21"/>
                <w:szCs w:val="21"/>
                <w:lang w:val="en-US" w:eastAsia="zh-CN"/>
              </w:rPr>
              <w:t>1.</w:t>
            </w:r>
            <w:r>
              <w:rPr>
                <w:rFonts w:asciiTheme="minorEastAsia" w:eastAsiaTheme="minorEastAsia" w:hAnsiTheme="minorEastAsia" w:cstheme="minorEastAsia" w:hint="eastAsia"/>
                <w:spacing w:val="8"/>
                <w:kern w:val="0"/>
                <w:sz w:val="21"/>
                <w:szCs w:val="21"/>
              </w:rPr>
              <w:t>投标人应按其投标文件中的承诺，进行其他售后服务工作。</w:t>
            </w:r>
          </w:p>
        </w:tc>
      </w:tr>
      <w:tr>
        <w:tblPrEx>
          <w:tblW w:w="5010" w:type="pct"/>
          <w:jc w:val="center"/>
          <w:tblCellMar>
            <w:top w:w="0" w:type="dxa"/>
            <w:left w:w="0" w:type="dxa"/>
            <w:bottom w:w="0" w:type="dxa"/>
            <w:right w:w="0" w:type="dxa"/>
          </w:tblCellMar>
        </w:tblPrEx>
        <w:trPr>
          <w:trHeight w:val="477"/>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7"/>
                <w:kern w:val="0"/>
                <w:sz w:val="21"/>
                <w:szCs w:val="21"/>
              </w:rPr>
            </w:pPr>
          </w:p>
        </w:tc>
        <w:tc>
          <w:tcPr>
            <w:tcW w:w="3498"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asciiTheme="minorEastAsia" w:eastAsiaTheme="minorEastAsia" w:hAnsiTheme="minorEastAsia" w:cstheme="minorEastAsia" w:hint="default"/>
                <w:spacing w:val="8"/>
                <w:kern w:val="0"/>
                <w:sz w:val="21"/>
                <w:szCs w:val="21"/>
                <w:lang w:val="en-US" w:eastAsia="zh-CN"/>
              </w:rPr>
            </w:pPr>
            <w:r>
              <w:rPr>
                <w:rFonts w:asciiTheme="minorEastAsia" w:eastAsiaTheme="minorEastAsia" w:hAnsiTheme="minorEastAsia" w:cstheme="minorEastAsia" w:hint="eastAsia"/>
                <w:b/>
                <w:bCs/>
                <w:color w:val="FF0000"/>
                <w:spacing w:val="9"/>
                <w:kern w:val="0"/>
                <w:sz w:val="21"/>
                <w:szCs w:val="21"/>
              </w:rPr>
              <w:t>★</w:t>
            </w:r>
            <w:r>
              <w:rPr>
                <w:rFonts w:asciiTheme="minorEastAsia" w:hAnsiTheme="minorEastAsia" w:cstheme="minorEastAsia" w:hint="eastAsia"/>
                <w:b/>
                <w:bCs/>
                <w:color w:val="FF0000"/>
                <w:spacing w:val="9"/>
                <w:kern w:val="0"/>
                <w:sz w:val="21"/>
                <w:szCs w:val="21"/>
                <w:lang w:val="en-US" w:eastAsia="zh-CN"/>
              </w:rPr>
              <w:t>2.</w:t>
            </w:r>
            <w:r>
              <w:rPr>
                <w:rFonts w:asciiTheme="minorEastAsia" w:eastAsiaTheme="minorEastAsia" w:hAnsiTheme="minorEastAsia" w:cstheme="minorEastAsia" w:hint="eastAsia"/>
                <w:b/>
                <w:bCs/>
                <w:color w:val="FF0000"/>
                <w:spacing w:val="8"/>
                <w:kern w:val="0"/>
                <w:sz w:val="21"/>
                <w:szCs w:val="21"/>
                <w:lang w:val="en-US" w:eastAsia="zh-CN"/>
              </w:rPr>
              <w:t>投标人所投产品</w:t>
            </w:r>
            <w:r>
              <w:rPr>
                <w:rFonts w:asciiTheme="minorEastAsia" w:hAnsiTheme="minorEastAsia" w:cstheme="minorEastAsia" w:hint="eastAsia"/>
                <w:b/>
                <w:bCs/>
                <w:color w:val="FF0000"/>
                <w:spacing w:val="8"/>
                <w:kern w:val="0"/>
                <w:sz w:val="21"/>
                <w:szCs w:val="21"/>
                <w:lang w:val="en-US" w:eastAsia="zh-CN"/>
              </w:rPr>
              <w:t>（双位联动磁场刺激仪、压电式冲击波治疗仪、生物刺激反馈仪）</w:t>
            </w:r>
            <w:r>
              <w:rPr>
                <w:rFonts w:asciiTheme="minorEastAsia" w:eastAsiaTheme="minorEastAsia" w:hAnsiTheme="minorEastAsia" w:cstheme="minorEastAsia" w:hint="eastAsia"/>
                <w:b/>
                <w:bCs/>
                <w:color w:val="FF0000"/>
                <w:spacing w:val="8"/>
                <w:kern w:val="0"/>
                <w:sz w:val="21"/>
                <w:szCs w:val="21"/>
                <w:lang w:val="en-US" w:eastAsia="zh-CN"/>
              </w:rPr>
              <w:t>，必须提供医疗器械注册证书（或者备案凭证）扫描件，原件备查。开标时，该证应在有效期内，若不在有效期内，则需提供该证和所投产品在该证有效期内生产的药监局出具的证明文件。</w:t>
            </w:r>
          </w:p>
        </w:tc>
      </w:tr>
      <w:tr>
        <w:tblPrEx>
          <w:tblW w:w="5010" w:type="pct"/>
          <w:jc w:val="center"/>
          <w:tblCellMar>
            <w:top w:w="0" w:type="dxa"/>
            <w:left w:w="0" w:type="dxa"/>
            <w:bottom w:w="0" w:type="dxa"/>
            <w:right w:w="0" w:type="dxa"/>
          </w:tblCellMar>
        </w:tblPrEx>
        <w:trPr>
          <w:trHeight w:val="477"/>
          <w:jc w:val="center"/>
        </w:trPr>
        <w:tc>
          <w:tcPr>
            <w:tcW w:w="484"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kern w:val="0"/>
                <w:sz w:val="21"/>
                <w:szCs w:val="21"/>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Theme="minorEastAsia" w:eastAsiaTheme="minorEastAsia" w:hAnsiTheme="minorEastAsia" w:cstheme="minorEastAsia" w:hint="eastAsia"/>
                <w:spacing w:val="7"/>
                <w:kern w:val="0"/>
                <w:sz w:val="21"/>
                <w:szCs w:val="21"/>
              </w:rPr>
            </w:pPr>
          </w:p>
        </w:tc>
        <w:tc>
          <w:tcPr>
            <w:tcW w:w="3498"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asciiTheme="minorEastAsia" w:eastAsiaTheme="minorEastAsia" w:hAnsiTheme="minorEastAsia" w:cstheme="minorEastAsia" w:hint="eastAsia"/>
                <w:b/>
                <w:bCs/>
                <w:color w:val="FF0000"/>
                <w:spacing w:val="9"/>
                <w:kern w:val="0"/>
                <w:sz w:val="21"/>
                <w:szCs w:val="21"/>
              </w:rPr>
            </w:pPr>
            <w:r>
              <w:rPr>
                <w:rFonts w:hint="eastAsia"/>
                <w:b/>
                <w:bCs/>
                <w:color w:val="FF0000"/>
              </w:rPr>
              <w:t>★</w:t>
            </w:r>
            <w:r>
              <w:rPr>
                <w:rFonts w:hint="eastAsia"/>
                <w:b/>
                <w:bCs/>
                <w:color w:val="FF0000"/>
                <w:lang w:val="en-US" w:eastAsia="zh-CN"/>
              </w:rPr>
              <w:t>3.</w:t>
            </w:r>
            <w:r>
              <w:rPr>
                <w:rFonts w:hint="eastAsia"/>
                <w:b/>
                <w:bCs/>
                <w:color w:val="FF0000"/>
              </w:rPr>
              <w:t>投标人提供</w:t>
            </w:r>
            <w:r>
              <w:rPr>
                <w:rFonts w:hint="eastAsia"/>
                <w:b/>
                <w:bCs/>
                <w:color w:val="FF0000"/>
                <w:lang w:val="en-US" w:eastAsia="zh-CN"/>
              </w:rPr>
              <w:t>本项目</w:t>
            </w:r>
            <w:r>
              <w:rPr>
                <w:rFonts w:hint="eastAsia"/>
                <w:b/>
                <w:bCs/>
                <w:color w:val="FF0000"/>
              </w:rPr>
              <w:t>的投标授权代表（提供投标截止日前缴纳的近1个月（由于社保部门原因最近一个月的社保证明无法提供的可往前顺延一个月）的社保证明</w:t>
            </w:r>
            <w:r>
              <w:rPr>
                <w:rFonts w:hint="eastAsia"/>
                <w:b/>
                <w:bCs/>
                <w:color w:val="FF0000"/>
                <w:lang w:eastAsia="zh-CN"/>
              </w:rPr>
              <w:t>；</w:t>
            </w:r>
            <w:r>
              <w:rPr>
                <w:rFonts w:hint="eastAsia"/>
                <w:b/>
                <w:bCs/>
                <w:color w:val="FF0000"/>
                <w:lang w:val="en-US" w:eastAsia="zh-CN"/>
              </w:rPr>
              <w:t>如</w:t>
            </w:r>
            <w:r>
              <w:rPr>
                <w:rFonts w:hint="eastAsia"/>
                <w:b/>
                <w:bCs/>
                <w:color w:val="FF0000"/>
              </w:rPr>
              <w:t>投标授权代表</w:t>
            </w:r>
            <w:r>
              <w:rPr>
                <w:rFonts w:hint="eastAsia"/>
                <w:b/>
                <w:bCs/>
                <w:color w:val="FF0000"/>
                <w:lang w:val="en-US" w:eastAsia="zh-CN"/>
              </w:rPr>
              <w:t>与本项目其他投标</w:t>
            </w:r>
            <w:r>
              <w:rPr>
                <w:rFonts w:hint="eastAsia"/>
                <w:b/>
                <w:bCs/>
                <w:color w:val="FF0000"/>
              </w:rPr>
              <w:t>授权代表</w:t>
            </w:r>
            <w:r>
              <w:rPr>
                <w:rFonts w:hint="eastAsia"/>
                <w:b/>
                <w:bCs/>
                <w:color w:val="FF0000"/>
                <w:lang w:val="en-US" w:eastAsia="zh-CN"/>
              </w:rPr>
              <w:t>在同一公司缴纳社保，均作投标无效处理</w:t>
            </w:r>
            <w:r>
              <w:rPr>
                <w:rFonts w:hint="eastAsia"/>
                <w:b/>
                <w:bCs/>
                <w:color w:val="FF0000"/>
              </w:rPr>
              <w:t>；如为新成立企业</w:t>
            </w:r>
            <w:r>
              <w:rPr>
                <w:rFonts w:hint="eastAsia"/>
                <w:b/>
                <w:bCs/>
                <w:color w:val="FF0000"/>
                <w:lang w:val="en-US" w:eastAsia="zh-CN"/>
              </w:rPr>
              <w:t>且</w:t>
            </w:r>
            <w:r>
              <w:rPr>
                <w:rFonts w:hint="eastAsia"/>
                <w:b/>
                <w:bCs/>
                <w:color w:val="FF0000"/>
              </w:rPr>
              <w:t>成立时间不足一个月</w:t>
            </w:r>
            <w:r>
              <w:rPr>
                <w:rFonts w:hint="eastAsia"/>
                <w:b/>
                <w:bCs/>
                <w:color w:val="FF0000"/>
                <w:lang w:val="en-US" w:eastAsia="zh-CN"/>
              </w:rPr>
              <w:t>或</w:t>
            </w:r>
            <w:r>
              <w:rPr>
                <w:rFonts w:hint="eastAsia"/>
                <w:b/>
                <w:bCs/>
                <w:color w:val="FF0000"/>
              </w:rPr>
              <w:t>投标授权代表</w:t>
            </w:r>
            <w:r>
              <w:rPr>
                <w:rFonts w:hint="eastAsia"/>
                <w:b/>
                <w:bCs/>
                <w:color w:val="FF0000"/>
                <w:lang w:val="en-US" w:eastAsia="zh-CN"/>
              </w:rPr>
              <w:t>为本公司法人的</w:t>
            </w:r>
            <w:r>
              <w:rPr>
                <w:rFonts w:hint="eastAsia"/>
                <w:b/>
                <w:bCs/>
                <w:color w:val="FF0000"/>
              </w:rPr>
              <w:t>可提供情况说明或证明材料亦视为符合；如投标授权代表为新入职员工</w:t>
            </w:r>
            <w:r>
              <w:rPr>
                <w:rFonts w:hint="eastAsia"/>
                <w:b/>
                <w:bCs/>
                <w:color w:val="FF0000"/>
                <w:lang w:val="en-US" w:eastAsia="zh-CN"/>
              </w:rPr>
              <w:t>或退休返聘人员</w:t>
            </w:r>
            <w:r>
              <w:rPr>
                <w:rFonts w:hint="eastAsia"/>
                <w:b/>
                <w:bCs/>
                <w:color w:val="FF0000"/>
              </w:rPr>
              <w:t>，尚未办理社保参保手续的，则需提供劳动合同）</w:t>
            </w:r>
            <w:r>
              <w:rPr>
                <w:rFonts w:hint="eastAsia"/>
                <w:b/>
                <w:bCs/>
                <w:color w:val="FF0000"/>
                <w:lang w:eastAsia="zh-CN"/>
              </w:rPr>
              <w:t>。</w:t>
            </w:r>
          </w:p>
        </w:tc>
      </w:tr>
    </w:tbl>
    <w:p>
      <w:pPr>
        <w:rPr>
          <w:rFonts w:ascii="Times New Roman" w:eastAsia="宋体" w:hAnsi="Times New Roman" w:cs="Times New Roman"/>
          <w:b/>
        </w:rPr>
      </w:pPr>
    </w:p>
    <w:p>
      <w:pPr>
        <w:pStyle w:val="NormalIndent"/>
        <w:spacing w:before="60" w:beforeLines="25" w:after="60" w:afterLines="25"/>
        <w:ind w:firstLine="0" w:firstLineChars="0"/>
        <w:rPr>
          <w:rFonts w:ascii="宋体" w:hAnsi="宋体"/>
          <w:szCs w:val="21"/>
        </w:rPr>
      </w:pPr>
    </w:p>
    <w:p>
      <w:pPr>
        <w:pStyle w:val="Heading2"/>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NormalIndent"/>
        <w:spacing w:before="60" w:beforeLines="25" w:after="60" w:afterLines="25"/>
        <w:ind w:firstLine="393"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、除政府采购合同继续履行将损害国家利益和社会公共利益外，双方当事人不得擅自变更、中止或者终止合同。</w:t>
      </w:r>
    </w:p>
    <w:p>
      <w:pPr>
        <w:ind w:firstLine="420" w:firstLineChars="200"/>
        <w:rPr>
          <w:rFonts w:eastAsia="宋体" w:hint="eastAsia"/>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pStyle w:val="BodyText2"/>
      </w:pPr>
    </w:p>
    <w:p>
      <w:pPr>
        <w:pStyle w:val="BodyText"/>
        <w:rPr>
          <w:rFonts w:ascii="宋体" w:hAnsi="宋体"/>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2"/>
        <w:rPr>
          <w:kern w:val="2"/>
        </w:rPr>
      </w:pPr>
      <w:r>
        <w:rPr>
          <w:rFonts w:hint="eastAsia"/>
          <w:kern w:val="2"/>
        </w:rPr>
        <w:t>第四章</w:t>
      </w:r>
      <w:r>
        <w:rPr>
          <w:kern w:val="2"/>
        </w:rPr>
        <w:t xml:space="preserve"> </w:t>
      </w:r>
      <w:r>
        <w:rPr>
          <w:rFonts w:hint="eastAsia"/>
          <w:kern w:val="2"/>
        </w:rPr>
        <w:t xml:space="preserve"> 投标文件组成要求及格式</w:t>
      </w:r>
    </w:p>
    <w:p>
      <w:pPr>
        <w:rPr>
          <w:rStyle w:val="3Char"/>
          <w:sz w:val="24"/>
        </w:rPr>
      </w:pPr>
      <w:r>
        <w:rPr>
          <w:rStyle w:val="3Char"/>
          <w:rFonts w:hint="eastAsia"/>
          <w:sz w:val="24"/>
        </w:rPr>
        <w:t>特别提醒：</w:t>
      </w:r>
    </w:p>
    <w:p>
      <w:pPr>
        <w:ind w:firstLine="420" w:firstLineChars="200"/>
        <w:rPr>
          <w:rFonts w:ascii="仿宋_GB2312" w:eastAsia="仿宋_GB2312"/>
          <w:sz w:val="24"/>
        </w:rPr>
      </w:pPr>
      <w:r>
        <w:rPr>
          <w:rFonts w:ascii="仿宋_GB2312" w:eastAsia="仿宋_GB2312" w:hint="eastAsia"/>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rPr>
      </w:pPr>
      <w:r>
        <w:rPr>
          <w:rFonts w:ascii="仿宋_GB2312" w:eastAsia="仿宋_GB2312" w:hint="eastAsia"/>
          <w:sz w:val="24"/>
        </w:rPr>
        <w:t xml:space="preserve">    投标文件正文（信息公开部分）必须编制于“正文（公开部分）”部分，投标文件附件（非信息公开部分）必须编制于“附件（不公开部分）”部分，如下图所示。</w:t>
      </w:r>
    </w:p>
    <w:p>
      <w:pPr>
        <w:widowControl/>
        <w:jc w:val="left"/>
        <w:rPr>
          <w:rFonts w:ascii="宋体" w:hAnsi="宋体" w:cs="宋体"/>
          <w:kern w:val="0"/>
          <w:sz w:val="24"/>
        </w:rPr>
      </w:pPr>
      <w:r>
        <w:drawing>
          <wp:inline distT="0" distB="0" distL="114300" distR="114300">
            <wp:extent cx="5162550" cy="4011295"/>
            <wp:effectExtent l="0" t="0" r="3810" b="1206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xmlns:r="http://schemas.openxmlformats.org/officeDocument/2006/relationships" r:embed="rId7"/>
                    <a:stretch>
                      <a:fillRect/>
                    </a:stretch>
                  </pic:blipFill>
                  <pic:spPr>
                    <a:xfrm>
                      <a:off x="0" y="0"/>
                      <a:ext cx="5162550" cy="4011295"/>
                    </a:xfrm>
                    <a:prstGeom prst="rect">
                      <a:avLst/>
                    </a:prstGeom>
                  </pic:spPr>
                </pic:pic>
              </a:graphicData>
            </a:graphic>
          </wp:inline>
        </w:drawing>
      </w:r>
    </w:p>
    <w:p>
      <w:pPr>
        <w:ind w:firstLine="420" w:firstLineChars="200"/>
        <w:rPr>
          <w:rFonts w:ascii="仿宋_GB2312" w:eastAsia="仿宋_GB2312"/>
          <w:sz w:val="24"/>
        </w:rPr>
      </w:pPr>
      <w:bookmarkStart w:id="46" w:name="_Hlk72257167"/>
      <w:r>
        <w:rPr>
          <w:rFonts w:ascii="仿宋_GB2312" w:eastAsia="仿宋_GB2312" w:hint="eastAsia"/>
          <w:sz w:val="24"/>
        </w:rPr>
        <w:t>政府集中采购机构公布投标文件正文（信息公开部分）时为计算机截取信息自动公布，</w:t>
      </w:r>
      <w:r>
        <w:rPr>
          <w:rFonts w:ascii="仿宋_GB2312" w:eastAsia="仿宋_GB2312" w:hint="eastAsia"/>
          <w:b/>
          <w:bCs/>
          <w:sz w:val="24"/>
        </w:rPr>
        <w:t>如投标人误将涉及个人隐私的信息放入投标文件正文，相关后果由投标人自负；</w:t>
      </w:r>
      <w:r>
        <w:rPr>
          <w:rFonts w:ascii="仿宋_GB2312" w:eastAsia="仿宋_GB2312" w:hint="eastAsia"/>
          <w:sz w:val="24"/>
          <w:highlight w:val="yellow"/>
        </w:rPr>
        <w:t>如投标人将必须放于投标文件正文（信息公开部分）的内容放入投标文件附件（非信息公开部分），将作投标无效处理。</w:t>
      </w:r>
    </w:p>
    <w:p>
      <w:pPr>
        <w:rPr>
          <w:rFonts w:ascii="宋体" w:hAnsi="宋体"/>
          <w:szCs w:val="21"/>
        </w:rPr>
      </w:pPr>
      <w:bookmarkEnd w:id="46"/>
      <w:r>
        <w:rPr>
          <w:rFonts w:ascii="宋体" w:hAnsi="宋体"/>
          <w:szCs w:val="21"/>
        </w:rPr>
        <w:br w:type="page"/>
      </w:r>
    </w:p>
    <w:p>
      <w:pPr>
        <w:rPr>
          <w:rFonts w:ascii="仿宋_GB2312" w:eastAsia="仿宋_GB2312"/>
          <w:sz w:val="24"/>
        </w:rPr>
      </w:pPr>
    </w:p>
    <w:p>
      <w:pPr>
        <w:outlineLvl w:val="0"/>
        <w:rPr>
          <w:rStyle w:val="3Char"/>
          <w:sz w:val="28"/>
          <w:szCs w:val="28"/>
        </w:rPr>
      </w:pPr>
      <w:r>
        <w:rPr>
          <w:rStyle w:val="3Char"/>
          <w:rFonts w:hint="eastAsia"/>
          <w:sz w:val="28"/>
          <w:szCs w:val="28"/>
        </w:rPr>
        <w:t>投标文件组成：</w:t>
      </w:r>
    </w:p>
    <w:p>
      <w:pPr>
        <w:ind w:firstLine="1050" w:firstLineChars="500"/>
        <w:outlineLvl w:val="0"/>
        <w:rPr>
          <w:rFonts w:ascii="宋体" w:hAnsi="宋体"/>
          <w:sz w:val="24"/>
        </w:rPr>
      </w:pPr>
      <w:bookmarkStart w:id="47" w:name="_Hlk72257253"/>
      <w:r>
        <w:rPr>
          <w:rFonts w:ascii="宋体" w:hAnsi="宋体" w:hint="eastAsia"/>
          <w:sz w:val="24"/>
        </w:rPr>
        <w:t>1.投标文件正文</w:t>
      </w:r>
      <w:r>
        <w:rPr>
          <w:rFonts w:ascii="宋体" w:hAnsi="宋体" w:hint="eastAsia"/>
          <w:b/>
          <w:color w:val="FF0000"/>
          <w:sz w:val="24"/>
        </w:rPr>
        <w:t>（信息公开部分）</w:t>
      </w:r>
      <w:r>
        <w:rPr>
          <w:rFonts w:ascii="宋体" w:hAnsi="宋体" w:hint="eastAsia"/>
          <w:sz w:val="24"/>
        </w:rPr>
        <w:t>，主要包括以下内容：</w:t>
      </w:r>
    </w:p>
    <w:p>
      <w:pPr>
        <w:ind w:left="718" w:firstLine="1418" w:leftChars="342" w:firstLineChars="675"/>
        <w:rPr>
          <w:szCs w:val="21"/>
        </w:rPr>
      </w:pPr>
      <w:r>
        <w:rPr>
          <w:rFonts w:hint="eastAsia"/>
          <w:szCs w:val="21"/>
        </w:rPr>
        <w:t>（1）</w:t>
      </w:r>
      <w:bookmarkStart w:id="48" w:name="_Hlk72070784"/>
      <w:r>
        <w:rPr>
          <w:rFonts w:hint="eastAsia"/>
          <w:szCs w:val="21"/>
        </w:rPr>
        <w:t>投标函</w:t>
      </w:r>
      <w:bookmarkEnd w:id="48"/>
    </w:p>
    <w:p>
      <w:pPr>
        <w:ind w:left="718" w:firstLine="1418" w:leftChars="342" w:firstLineChars="675"/>
        <w:rPr>
          <w:szCs w:val="21"/>
        </w:rPr>
      </w:pPr>
      <w:r>
        <w:rPr>
          <w:rFonts w:hint="eastAsia"/>
          <w:szCs w:val="21"/>
        </w:rPr>
        <w:t>（2）</w:t>
      </w:r>
      <w:bookmarkStart w:id="49" w:name="_Hlk72062521"/>
      <w:r>
        <w:rPr>
          <w:rFonts w:hint="eastAsia"/>
          <w:szCs w:val="21"/>
        </w:rPr>
        <w:t>政府采购投标及履约承诺函</w:t>
      </w:r>
      <w:bookmarkEnd w:id="49"/>
    </w:p>
    <w:p>
      <w:pPr>
        <w:ind w:left="718" w:firstLine="1418" w:leftChars="342" w:firstLineChars="675"/>
        <w:rPr>
          <w:szCs w:val="21"/>
        </w:rPr>
      </w:pPr>
      <w:r>
        <w:rPr>
          <w:rFonts w:hint="eastAsia"/>
          <w:szCs w:val="21"/>
        </w:rPr>
        <w:t>（</w:t>
      </w:r>
      <w:r>
        <w:rPr>
          <w:szCs w:val="21"/>
        </w:rPr>
        <w:t>3</w:t>
      </w:r>
      <w:r>
        <w:rPr>
          <w:rFonts w:hint="eastAsia"/>
          <w:szCs w:val="21"/>
        </w:rPr>
        <w:t>）投标人情况及资格证明文件</w:t>
      </w:r>
    </w:p>
    <w:p>
      <w:pPr>
        <w:ind w:left="718" w:firstLine="1418" w:leftChars="342" w:firstLineChars="675"/>
        <w:rPr>
          <w:rFonts w:hint="eastAsia"/>
          <w:szCs w:val="21"/>
        </w:rPr>
      </w:pPr>
      <w:bookmarkStart w:id="50" w:name="_Hlk72257201"/>
      <w:r>
        <w:rPr>
          <w:rFonts w:hint="eastAsia"/>
          <w:szCs w:val="21"/>
        </w:rPr>
        <w:t>（</w:t>
      </w:r>
      <w:r>
        <w:rPr>
          <w:szCs w:val="21"/>
        </w:rPr>
        <w:t>4</w:t>
      </w:r>
      <w:r>
        <w:rPr>
          <w:rFonts w:hint="eastAsia"/>
          <w:szCs w:val="21"/>
        </w:rPr>
        <w:t>）项目详细报价</w:t>
      </w:r>
    </w:p>
    <w:p>
      <w:pPr>
        <w:ind w:left="718" w:firstLine="1418" w:leftChars="342" w:firstLineChars="675"/>
        <w:rPr>
          <w:rFonts w:eastAsia="宋体" w:hint="default"/>
          <w:szCs w:val="21"/>
          <w:lang w:val="en-US" w:eastAsia="zh-CN"/>
        </w:rPr>
      </w:pPr>
    </w:p>
    <w:p>
      <w:pPr>
        <w:ind w:left="718" w:firstLine="1628" w:leftChars="342" w:firstLineChars="775"/>
        <w:rPr>
          <w:szCs w:val="21"/>
        </w:rPr>
      </w:pPr>
      <w:bookmarkEnd w:id="50"/>
    </w:p>
    <w:p>
      <w:pPr>
        <w:ind w:firstLine="1050" w:firstLineChars="500"/>
        <w:outlineLvl w:val="0"/>
        <w:rPr>
          <w:rFonts w:ascii="宋体" w:hAnsi="宋体"/>
          <w:sz w:val="24"/>
        </w:rPr>
      </w:pPr>
      <w:r>
        <w:rPr>
          <w:rFonts w:ascii="宋体" w:hAnsi="宋体" w:hint="eastAsia"/>
          <w:sz w:val="24"/>
        </w:rPr>
        <w:t>2.投标文件附件</w:t>
      </w:r>
      <w:r>
        <w:rPr>
          <w:rFonts w:ascii="宋体" w:hAnsi="宋体" w:hint="eastAsia"/>
          <w:b/>
          <w:color w:val="FF0000"/>
          <w:sz w:val="24"/>
        </w:rPr>
        <w:t>（信息不公开部分）</w:t>
      </w:r>
      <w:r>
        <w:rPr>
          <w:rFonts w:ascii="宋体" w:hAnsi="宋体" w:hint="eastAsia"/>
          <w:sz w:val="24"/>
        </w:rPr>
        <w:t>：主要包括以下内容：</w:t>
      </w:r>
    </w:p>
    <w:p>
      <w:pPr>
        <w:ind w:firstLine="2100" w:firstLineChars="1000"/>
        <w:rPr>
          <w:rFonts w:eastAsia="宋体" w:hint="eastAsia"/>
          <w:szCs w:val="21"/>
          <w:lang w:eastAsia="zh-CN"/>
        </w:rPr>
      </w:pPr>
      <w:r>
        <w:rPr>
          <w:rFonts w:hint="eastAsia"/>
          <w:szCs w:val="21"/>
          <w:lang w:eastAsia="zh-CN"/>
        </w:rPr>
        <w:t>（</w:t>
      </w:r>
      <w:r>
        <w:rPr>
          <w:rFonts w:hint="eastAsia"/>
          <w:szCs w:val="21"/>
          <w:lang w:val="en-US" w:eastAsia="zh-CN"/>
        </w:rPr>
        <w:t>1</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2</w:t>
      </w:r>
      <w:r>
        <w:rPr>
          <w:rFonts w:hint="eastAsia"/>
          <w:szCs w:val="21"/>
        </w:rPr>
        <w:t>）法定代表人（负责人）证明书</w:t>
      </w:r>
    </w:p>
    <w:p>
      <w:pPr>
        <w:ind w:left="718" w:firstLine="1418" w:leftChars="342" w:firstLineChars="675"/>
        <w:rPr>
          <w:szCs w:val="21"/>
        </w:rPr>
      </w:pPr>
      <w:r>
        <w:rPr>
          <w:rFonts w:hint="eastAsia"/>
          <w:szCs w:val="21"/>
        </w:rPr>
        <w:t>（</w:t>
      </w:r>
      <w:r>
        <w:rPr>
          <w:rFonts w:hint="eastAsia"/>
          <w:szCs w:val="21"/>
          <w:lang w:val="en-US" w:eastAsia="zh-CN"/>
        </w:rPr>
        <w:t>3</w:t>
      </w:r>
      <w:r>
        <w:rPr>
          <w:rFonts w:hint="eastAsia"/>
          <w:szCs w:val="21"/>
        </w:rPr>
        <w:t>）投标文件签署授权委托书</w:t>
      </w:r>
    </w:p>
    <w:p>
      <w:pPr>
        <w:ind w:left="718" w:firstLine="1418" w:leftChars="342" w:firstLineChars="675"/>
        <w:rPr>
          <w:szCs w:val="21"/>
        </w:rPr>
      </w:pPr>
      <w:r>
        <w:rPr>
          <w:rFonts w:hint="eastAsia"/>
          <w:szCs w:val="21"/>
        </w:rPr>
        <w:t>（</w:t>
      </w:r>
      <w:r>
        <w:rPr>
          <w:rFonts w:hint="eastAsia"/>
          <w:szCs w:val="21"/>
          <w:lang w:val="en-US" w:eastAsia="zh-CN"/>
        </w:rPr>
        <w:t>4</w:t>
      </w:r>
      <w:r>
        <w:rPr>
          <w:rFonts w:hint="eastAsia"/>
          <w:szCs w:val="21"/>
        </w:rPr>
        <w:t>）实质性条款响应情况表</w:t>
      </w:r>
    </w:p>
    <w:p>
      <w:pPr>
        <w:ind w:left="718" w:firstLine="1418" w:leftChars="342" w:firstLineChars="675"/>
        <w:rPr>
          <w:szCs w:val="21"/>
        </w:rPr>
      </w:pPr>
      <w:r>
        <w:rPr>
          <w:rFonts w:hint="eastAsia"/>
          <w:szCs w:val="21"/>
        </w:rPr>
        <w:t>（</w:t>
      </w:r>
      <w:r>
        <w:rPr>
          <w:rFonts w:hint="eastAsia"/>
          <w:szCs w:val="21"/>
          <w:lang w:val="en-US" w:eastAsia="zh-CN"/>
        </w:rPr>
        <w:t>5</w:t>
      </w:r>
      <w:r>
        <w:rPr>
          <w:rFonts w:hint="eastAsia"/>
          <w:szCs w:val="21"/>
        </w:rPr>
        <w:t>）技术要求偏离表</w:t>
      </w:r>
    </w:p>
    <w:p>
      <w:pPr>
        <w:ind w:left="718" w:firstLine="1418" w:leftChars="342" w:firstLineChars="675"/>
        <w:rPr>
          <w:rFonts w:hint="eastAsia"/>
          <w:szCs w:val="21"/>
        </w:rPr>
      </w:pPr>
      <w:r>
        <w:rPr>
          <w:rFonts w:hint="eastAsia"/>
          <w:szCs w:val="21"/>
        </w:rPr>
        <w:t>（</w:t>
      </w:r>
      <w:r>
        <w:rPr>
          <w:rFonts w:hint="eastAsia"/>
          <w:szCs w:val="21"/>
          <w:lang w:val="en-US" w:eastAsia="zh-CN"/>
        </w:rPr>
        <w:t>6</w:t>
      </w:r>
      <w:r>
        <w:rPr>
          <w:rFonts w:hint="eastAsia"/>
          <w:szCs w:val="21"/>
        </w:rPr>
        <w:t>）</w:t>
      </w:r>
      <w:r>
        <w:rPr>
          <w:rFonts w:ascii="宋体" w:eastAsia="宋体" w:hAnsi="宋体" w:cs="宋体" w:hint="eastAsia"/>
          <w:color w:val="auto"/>
          <w:sz w:val="21"/>
          <w:szCs w:val="21"/>
          <w:lang w:val="en-US" w:eastAsia="zh-CN"/>
        </w:rPr>
        <w:t>项目服务方案</w:t>
      </w:r>
    </w:p>
    <w:p>
      <w:pPr>
        <w:ind w:left="718" w:firstLine="1418" w:leftChars="342" w:firstLineChars="675"/>
        <w:rPr>
          <w:rFonts w:asciiTheme="minorEastAsia" w:eastAsiaTheme="minorEastAsia" w:hAnsiTheme="minorEastAsia"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asciiTheme="minorEastAsia" w:eastAsiaTheme="minorEastAsia" w:hAnsiTheme="minorEastAsia" w:hint="eastAsia"/>
          <w:szCs w:val="21"/>
        </w:rPr>
        <w:t>技术保障措施</w:t>
      </w:r>
    </w:p>
    <w:p>
      <w:pPr>
        <w:ind w:left="718" w:firstLine="1418" w:leftChars="342" w:firstLineChars="675"/>
        <w:rPr>
          <w:rFonts w:eastAsia="宋体" w:hint="default"/>
          <w:szCs w:val="21"/>
          <w:lang w:val="en-US"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lang w:val="en-US" w:eastAsia="zh-CN"/>
        </w:rPr>
        <w:t>同类业绩</w:t>
      </w:r>
    </w:p>
    <w:p>
      <w:pPr>
        <w:ind w:left="718" w:firstLine="1418" w:leftChars="342" w:firstLineChars="675"/>
        <w:rPr>
          <w:rFonts w:hint="eastAsia"/>
          <w:szCs w:val="21"/>
        </w:rPr>
      </w:pPr>
      <w:r>
        <w:rPr>
          <w:rFonts w:hint="eastAsia"/>
          <w:szCs w:val="21"/>
        </w:rPr>
        <w:t>（</w:t>
      </w:r>
      <w:r>
        <w:rPr>
          <w:rFonts w:hint="eastAsia"/>
          <w:szCs w:val="21"/>
          <w:lang w:val="en-US" w:eastAsia="zh-CN"/>
        </w:rPr>
        <w:t>9</w:t>
      </w:r>
      <w:r>
        <w:rPr>
          <w:rFonts w:hint="eastAsia"/>
          <w:szCs w:val="21"/>
        </w:rPr>
        <w:t>）投标人认为需要加以说明的其他内容</w:t>
      </w:r>
    </w:p>
    <w:p>
      <w:pPr>
        <w:ind w:left="718" w:firstLine="1418" w:leftChars="342" w:firstLineChars="675"/>
        <w:rPr>
          <w:rFonts w:ascii="宋体" w:hAnsi="宋体"/>
          <w:szCs w:val="21"/>
        </w:rPr>
      </w:pPr>
    </w:p>
    <w:p>
      <w:pPr>
        <w:pStyle w:val="BodyText"/>
      </w:pPr>
    </w:p>
    <w:p>
      <w:pPr>
        <w:ind w:left="718" w:firstLine="1418" w:leftChars="342" w:firstLineChars="675"/>
        <w:rPr>
          <w:szCs w:val="21"/>
        </w:rPr>
      </w:pPr>
      <w:bookmarkEnd w:id="47"/>
    </w:p>
    <w:p>
      <w:pPr>
        <w:ind w:firstLine="424" w:firstLineChars="202"/>
        <w:rPr>
          <w:rFonts w:ascii="宋体" w:hAnsi="宋体"/>
          <w:b/>
          <w:szCs w:val="21"/>
        </w:rPr>
      </w:pPr>
      <w:bookmarkStart w:id="51" w:name="_Hlk72257771"/>
      <w:r>
        <w:rPr>
          <w:rFonts w:ascii="宋体" w:hAnsi="宋体" w:hint="eastAsia"/>
          <w:b/>
          <w:szCs w:val="21"/>
        </w:rPr>
        <w:t>备注：</w:t>
      </w:r>
    </w:p>
    <w:p>
      <w:pPr>
        <w:ind w:firstLine="424" w:firstLineChars="202"/>
        <w:rPr>
          <w:rFonts w:ascii="宋体" w:hAnsi="宋体"/>
          <w:b/>
          <w:szCs w:val="21"/>
        </w:rPr>
      </w:pPr>
      <w:r>
        <w:rPr>
          <w:rFonts w:ascii="宋体" w:hAnsi="宋体" w:hint="eastAsia"/>
          <w:b/>
          <w:szCs w:val="21"/>
        </w:rPr>
        <w:t>1.本项目为网上电子投标项目，投标文件不需法人或授权委托人另行签字，无需加盖单位公章，招标文件另有规定的除外。</w:t>
      </w:r>
    </w:p>
    <w:p>
      <w:pPr>
        <w:ind w:firstLine="420" w:firstLineChars="200"/>
        <w:rPr>
          <w:rFonts w:ascii="宋体" w:hAnsi="宋体"/>
          <w:color w:val="FF0000"/>
          <w:sz w:val="24"/>
        </w:rPr>
      </w:pPr>
      <w:bookmarkStart w:id="52" w:name="_Hlk72263559"/>
      <w:r>
        <w:rPr>
          <w:rFonts w:ascii="宋体" w:hAnsi="宋体" w:hint="eastAsia"/>
          <w:b/>
          <w:szCs w:val="21"/>
        </w:rPr>
        <w:t>2.关于填写“开标一览表”的说明：“开标一览表”中除“投标总价”外，其他信息不作评审依据。</w:t>
      </w:r>
      <w:bookmarkEnd w:id="51"/>
      <w:bookmarkEnd w:id="52"/>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outlineLvl w:val="1"/>
        <w:rPr>
          <w:rFonts w:ascii="宋体" w:hAnsi="宋体"/>
          <w:b/>
          <w:color w:val="FF0000"/>
          <w:sz w:val="28"/>
          <w:szCs w:val="28"/>
        </w:rPr>
      </w:pPr>
      <w:r>
        <w:rPr>
          <w:rFonts w:ascii="宋体" w:hAnsi="宋体" w:hint="eastAsia"/>
          <w:b/>
          <w:color w:val="FF0000"/>
          <w:sz w:val="28"/>
          <w:szCs w:val="28"/>
        </w:rPr>
        <w:t>投标文件正文（信息公开部分）</w:t>
      </w:r>
    </w:p>
    <w:p>
      <w:pPr>
        <w:pStyle w:val="Heading3"/>
        <w:jc w:val="center"/>
        <w:rPr>
          <w:rFonts w:ascii="黑体" w:eastAsia="黑体"/>
          <w:b w:val="0"/>
          <w:sz w:val="24"/>
        </w:rPr>
      </w:pPr>
      <w:r>
        <w:rPr>
          <w:rFonts w:ascii="黑体" w:eastAsia="黑体" w:hint="eastAsia"/>
          <w:b w:val="0"/>
          <w:sz w:val="24"/>
        </w:rPr>
        <w:t>一、投标函</w:t>
      </w:r>
    </w:p>
    <w:p>
      <w:pPr>
        <w:spacing w:line="360" w:lineRule="auto"/>
        <w:rPr>
          <w:rFonts w:ascii="宋体" w:hAnsi="宋体"/>
          <w:szCs w:val="21"/>
        </w:rPr>
      </w:pPr>
      <w:bookmarkStart w:id="53" w:name="_Hlk72257506"/>
      <w:r>
        <w:rPr>
          <w:rFonts w:ascii="宋体" w:hAnsi="宋体" w:hint="eastAsia"/>
          <w:szCs w:val="21"/>
        </w:rPr>
        <w:t>致：</w:t>
      </w:r>
      <w:r>
        <w:rPr>
          <w:rFonts w:ascii="宋体" w:hAnsi="宋体" w:hint="eastAsia"/>
          <w:szCs w:val="21"/>
          <w:u w:val="single"/>
        </w:rPr>
        <w:t xml:space="preserve">  </w:t>
      </w:r>
      <w:r>
        <w:rPr>
          <w:rFonts w:ascii="宋体" w:hAnsi="宋体" w:hint="eastAsia"/>
          <w:color w:val="FF0000"/>
          <w:szCs w:val="21"/>
          <w:u w:val="single"/>
        </w:rPr>
        <w:t>深圳公共资源交易中心</w:t>
      </w:r>
      <w:r>
        <w:rPr>
          <w:rFonts w:ascii="宋体" w:hAnsi="宋体"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bookmarkStart w:id="54"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5" w:name="_Hlk72263588"/>
      <w:r>
        <w:rPr>
          <w:rFonts w:hint="eastAsia"/>
          <w:szCs w:val="21"/>
        </w:rPr>
        <w:t>愿意按照招标文件要求承包上述项目并修补其任何缺陷。</w:t>
      </w:r>
      <w:bookmarkEnd w:id="55"/>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szCs w:val="21"/>
        </w:rPr>
        <w:t>2</w:t>
      </w:r>
      <w:r>
        <w:rPr>
          <w:rFonts w:ascii="宋体" w:hAnsi="宋体" w:hint="eastAsia"/>
          <w:szCs w:val="21"/>
        </w:rPr>
        <w:t>、</w:t>
      </w:r>
      <w:bookmarkStart w:id="56" w:name="_Hlk73819847"/>
      <w:r>
        <w:rPr>
          <w:rFonts w:ascii="宋体" w:hAnsi="宋体" w:hint="eastAsia"/>
          <w:szCs w:val="21"/>
        </w:rPr>
        <w:t>投标价格见</w:t>
      </w:r>
      <w:r>
        <w:rPr>
          <w:rFonts w:hint="eastAsia"/>
          <w:szCs w:val="21"/>
        </w:rPr>
        <w:t>投标书编制软件中《开标一览表》中填写的投标总价。</w:t>
      </w:r>
      <w:bookmarkEnd w:id="56"/>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hint="eastAsia"/>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hint="eastAsia"/>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hint="eastAsia"/>
          <w:szCs w:val="21"/>
          <w:lang w:eastAsia="zh-CN"/>
        </w:rPr>
      </w:pPr>
      <w:r>
        <w:rPr>
          <w:rFonts w:ascii="宋体" w:hAnsi="宋体" w:hint="eastAsia"/>
          <w:szCs w:val="21"/>
        </w:rPr>
        <w:t>6、我单位理解贵单位将不受必须接受所收到的最低报价或其它任何投标文件的约束</w:t>
      </w:r>
      <w:bookmarkEnd w:id="54"/>
      <w:r>
        <w:rPr>
          <w:rFonts w:ascii="宋体" w:hAnsi="宋体" w:hint="eastAsia"/>
          <w:szCs w:val="21"/>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b/>
          <w:szCs w:val="21"/>
        </w:rPr>
      </w:pPr>
      <w:r>
        <w:rPr>
          <w:rFonts w:ascii="宋体" w:hAnsi="宋体" w:hint="eastAsia"/>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firstLine="210" w:leftChars="200" w:firstLineChars="100"/>
        <w:rPr>
          <w:rFonts w:hint="eastAsia"/>
          <w:szCs w:val="21"/>
        </w:rPr>
      </w:pPr>
    </w:p>
    <w:p>
      <w:pPr>
        <w:ind w:left="420" w:firstLine="210" w:leftChars="20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firstLine="210" w:leftChars="20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firstLine="210" w:leftChars="20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firstLine="210" w:leftChars="200" w:firstLineChars="100"/>
        <w:rPr>
          <w:sz w:val="24"/>
        </w:rPr>
      </w:pPr>
      <w:r>
        <w:rPr>
          <w:rFonts w:ascii="宋体" w:hAnsi="宋体" w:hint="eastAsia"/>
          <w:szCs w:val="21"/>
        </w:rPr>
        <w:t>日期：</w:t>
      </w:r>
      <w:r>
        <w:rPr>
          <w:rFonts w:ascii="宋体" w:hAnsi="宋体" w:hint="eastAsia"/>
          <w:szCs w:val="21"/>
          <w:u w:val="thick"/>
        </w:rPr>
        <w:t xml:space="preserve">       </w:t>
      </w:r>
      <w:r>
        <w:rPr>
          <w:rFonts w:ascii="宋体" w:hAnsi="宋体" w:hint="eastAsia"/>
          <w:szCs w:val="21"/>
        </w:rPr>
        <w:t>年</w:t>
      </w:r>
      <w:r>
        <w:rPr>
          <w:rFonts w:ascii="宋体" w:hAnsi="宋体" w:hint="eastAsia"/>
          <w:szCs w:val="21"/>
          <w:u w:val="thick"/>
        </w:rPr>
        <w:t xml:space="preserve">     </w:t>
      </w:r>
      <w:r>
        <w:rPr>
          <w:rFonts w:ascii="宋体" w:hAnsi="宋体" w:hint="eastAsia"/>
          <w:szCs w:val="21"/>
        </w:rPr>
        <w:t>月</w:t>
      </w:r>
      <w:r>
        <w:rPr>
          <w:rFonts w:ascii="宋体" w:hAnsi="宋体" w:hint="eastAsia"/>
          <w:szCs w:val="21"/>
          <w:u w:val="thick"/>
        </w:rPr>
        <w:t xml:space="preserve">    </w:t>
      </w:r>
      <w:r>
        <w:rPr>
          <w:rFonts w:ascii="宋体" w:hAnsi="宋体" w:hint="eastAsia"/>
          <w:szCs w:val="21"/>
        </w:rPr>
        <w:t>日</w:t>
      </w:r>
      <w:r>
        <w:rPr>
          <w:rFonts w:hint="eastAsia"/>
          <w:sz w:val="24"/>
        </w:rPr>
        <w:t xml:space="preserve">                                </w:t>
      </w:r>
    </w:p>
    <w:p>
      <w:pPr>
        <w:rPr>
          <w:rFonts w:ascii="黑体" w:eastAsia="黑体" w:hAnsi="宋体"/>
        </w:rPr>
      </w:pPr>
    </w:p>
    <w:p>
      <w:pPr>
        <w:rPr>
          <w:rFonts w:ascii="黑体" w:eastAsia="黑体" w:hAnsi="宋体"/>
        </w:rPr>
      </w:pPr>
      <w:r>
        <w:rPr>
          <w:rFonts w:ascii="黑体" w:eastAsia="黑体" w:hAnsi="宋体"/>
        </w:rPr>
        <w:br w:type="page"/>
      </w:r>
    </w:p>
    <w:p>
      <w:pPr>
        <w:pStyle w:val="Heading3"/>
        <w:jc w:val="center"/>
        <w:rPr>
          <w:rFonts w:ascii="黑体" w:eastAsia="黑体"/>
          <w:b w:val="0"/>
          <w:sz w:val="24"/>
        </w:rPr>
      </w:pPr>
      <w:bookmarkEnd w:id="53"/>
      <w:r>
        <w:rPr>
          <w:rFonts w:ascii="黑体" w:eastAsia="黑体" w:hint="eastAsia"/>
          <w:b w:val="0"/>
          <w:sz w:val="24"/>
        </w:rPr>
        <w:t>二、政府采购投标及履约承诺函</w:t>
      </w:r>
    </w:p>
    <w:p>
      <w:pPr>
        <w:rPr>
          <w:rFonts w:ascii="宋体" w:hAnsi="宋体"/>
          <w:color w:val="FF0000"/>
          <w:szCs w:val="21"/>
        </w:rPr>
      </w:pPr>
      <w:bookmarkStart w:id="57" w:name="_Hlk72257530"/>
      <w:r>
        <w:rPr>
          <w:rFonts w:ascii="宋体" w:hAnsi="宋体" w:hint="eastAsia"/>
          <w:color w:val="FF0000"/>
          <w:szCs w:val="21"/>
        </w:rPr>
        <w:t>致：</w:t>
      </w:r>
      <w:r>
        <w:rPr>
          <w:rFonts w:ascii="宋体" w:hAnsi="宋体" w:hint="eastAsia"/>
          <w:color w:val="FF0000"/>
          <w:szCs w:val="21"/>
          <w:u w:val="single"/>
        </w:rPr>
        <w:t>深圳公共资源交易中心</w:t>
      </w:r>
    </w:p>
    <w:p>
      <w:pPr>
        <w:ind w:right="-815" w:firstLine="420" w:firstLineChars="200"/>
        <w:rPr>
          <w:rFonts w:ascii="宋体" w:hAnsi="宋体"/>
          <w:szCs w:val="21"/>
        </w:rPr>
      </w:pPr>
      <w:r>
        <w:rPr>
          <w:rFonts w:ascii="宋体" w:hAnsi="宋体" w:hint="eastAsia"/>
          <w:szCs w:val="21"/>
        </w:rPr>
        <w:t>我单位承诺：</w:t>
      </w:r>
    </w:p>
    <w:p>
      <w:pPr>
        <w:ind w:firstLine="420" w:firstLineChars="200"/>
        <w:rPr>
          <w:rFonts w:ascii="宋体" w:hAnsi="宋体" w:hint="eastAsia"/>
          <w:b/>
          <w:szCs w:val="21"/>
        </w:rPr>
      </w:pPr>
      <w:r>
        <w:rPr>
          <w:rFonts w:ascii="宋体" w:hAnsi="宋体" w:hint="eastAsia"/>
          <w:b w:val="0"/>
          <w:bCs/>
          <w:szCs w:val="21"/>
        </w:rPr>
        <w:t>1.我单位参与本项目所投标（响应）的货物、工程或服务，不存在侵犯知识产权的情况。</w:t>
      </w:r>
    </w:p>
    <w:p>
      <w:pPr>
        <w:ind w:firstLine="420" w:firstLineChars="200"/>
        <w:rPr>
          <w:rFonts w:ascii="宋体" w:hAnsi="宋体"/>
          <w:szCs w:val="21"/>
        </w:rPr>
      </w:pPr>
      <w:r>
        <w:rPr>
          <w:rFonts w:ascii="宋体" w:hAnsi="宋体" w:hint="eastAsia"/>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ascii="宋体" w:hAnsi="宋体" w:hint="eastAsia"/>
          <w:szCs w:val="21"/>
        </w:rPr>
        <w:t>3.我单位具备《中华人民共和国政府采购法》第二十二条第一款规定的六项条件。</w:t>
      </w:r>
    </w:p>
    <w:p>
      <w:pPr>
        <w:ind w:firstLine="420" w:firstLineChars="200"/>
        <w:rPr>
          <w:rFonts w:hint="eastAsia"/>
        </w:rPr>
      </w:pPr>
      <w:r>
        <w:rPr>
          <w:rFonts w:ascii="宋体" w:hAnsi="宋体" w:hint="eastAsia"/>
          <w:szCs w:val="21"/>
        </w:rPr>
        <w:t>4.我单位</w:t>
      </w:r>
      <w:r>
        <w:rPr>
          <w:rFonts w:hint="eastAsia"/>
        </w:rPr>
        <w:t>未被列入失信被执行人、重大税收违法案件当事人名单、政府采购严重违法失信行为记录名单。</w:t>
      </w:r>
    </w:p>
    <w:p>
      <w:pPr>
        <w:ind w:firstLine="420" w:firstLineChars="200"/>
        <w:rPr>
          <w:rFonts w:eastAsia="宋体" w:hint="default"/>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ascii="宋体" w:hAnsi="宋体" w:hint="eastAsia"/>
          <w:szCs w:val="21"/>
          <w:lang w:val="en-US" w:eastAsia="zh-CN"/>
        </w:rPr>
        <w:t>6</w:t>
      </w:r>
      <w:r>
        <w:rPr>
          <w:rFonts w:ascii="宋体" w:hAnsi="宋体" w:hint="eastAsia"/>
          <w:szCs w:val="21"/>
        </w:rPr>
        <w:t>.</w:t>
      </w:r>
      <w:bookmarkStart w:id="58" w:name="_Hlk72587269"/>
      <w:bookmarkStart w:id="59" w:name="_Hlk72587299"/>
      <w:r>
        <w:rPr>
          <w:rFonts w:ascii="宋体" w:hAnsi="宋体" w:hint="eastAsia"/>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8"/>
      <w:r>
        <w:rPr>
          <w:rFonts w:ascii="宋体" w:hAnsi="宋体" w:hint="eastAsia"/>
          <w:szCs w:val="21"/>
        </w:rPr>
        <w:t>。</w:t>
      </w:r>
    </w:p>
    <w:p>
      <w:pPr>
        <w:ind w:firstLine="420" w:firstLineChars="200"/>
        <w:rPr>
          <w:rFonts w:ascii="宋体" w:hAnsi="宋体"/>
          <w:szCs w:val="21"/>
        </w:rPr>
      </w:pPr>
      <w:bookmarkEnd w:id="59"/>
      <w:r>
        <w:rPr>
          <w:rFonts w:ascii="宋体" w:hAnsi="宋体" w:hint="eastAsia"/>
          <w:szCs w:val="21"/>
          <w:lang w:val="en-US" w:eastAsia="zh-CN"/>
        </w:rPr>
        <w:t>7</w:t>
      </w:r>
      <w:r>
        <w:rPr>
          <w:rFonts w:ascii="宋体" w:hAnsi="宋体" w:hint="eastAsia"/>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ascii="宋体" w:hAnsi="宋体" w:hint="eastAsia"/>
          <w:szCs w:val="21"/>
          <w:lang w:val="en-US" w:eastAsia="zh-CN"/>
        </w:rPr>
        <w:t>8</w:t>
      </w:r>
      <w:r>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ascii="宋体" w:hAnsi="宋体" w:hint="eastAsia"/>
          <w:szCs w:val="21"/>
          <w:lang w:val="en-US" w:eastAsia="zh-CN"/>
        </w:rPr>
        <w:t>9</w:t>
      </w:r>
      <w:r>
        <w:rPr>
          <w:rFonts w:ascii="宋体" w:hAnsi="宋体" w:hint="eastAsia"/>
          <w:szCs w:val="21"/>
        </w:rPr>
        <w:t>.我单位承诺中标后项目不转包，未经采购人同意不进行分包。</w:t>
      </w:r>
    </w:p>
    <w:p>
      <w:pPr>
        <w:ind w:firstLine="420" w:firstLineChars="200"/>
        <w:rPr>
          <w:rFonts w:ascii="宋体" w:hAnsi="宋体"/>
        </w:rPr>
      </w:pPr>
      <w:r>
        <w:rPr>
          <w:rFonts w:ascii="宋体" w:hAnsi="宋体" w:hint="eastAsia"/>
          <w:szCs w:val="21"/>
          <w:lang w:val="en-US" w:eastAsia="zh-CN"/>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eastAsia="宋体" w:hAnsi="宋体" w:hint="eastAsia"/>
          <w:lang w:val="en-US" w:eastAsia="zh-CN"/>
        </w:rPr>
      </w:pPr>
      <w:r>
        <w:rPr>
          <w:rFonts w:ascii="宋体" w:hAnsi="宋体" w:hint="eastAsia"/>
        </w:rPr>
        <w:t>1</w:t>
      </w:r>
      <w:r>
        <w:rPr>
          <w:rFonts w:ascii="宋体" w:hAnsi="宋体" w:hint="eastAsia"/>
          <w:lang w:val="en-US" w:eastAsia="zh-CN"/>
        </w:rPr>
        <w:t>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w:t>
      </w:r>
      <w:r>
        <w:rPr>
          <w:rFonts w:ascii="宋体" w:hAnsi="宋体" w:hint="eastAsia"/>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ascii="宋体" w:hAnsi="宋体" w:cs="宋体" w:hint="eastAsia"/>
          <w:b w:val="0"/>
          <w:bCs/>
          <w:kern w:val="0"/>
          <w:szCs w:val="21"/>
        </w:rPr>
        <w:t>1</w:t>
      </w:r>
      <w:r>
        <w:rPr>
          <w:rFonts w:ascii="宋体" w:hAnsi="宋体" w:cs="宋体" w:hint="eastAsia"/>
          <w:b w:val="0"/>
          <w:bCs/>
          <w:kern w:val="0"/>
          <w:szCs w:val="21"/>
          <w:lang w:val="en-US" w:eastAsia="zh-CN"/>
        </w:rPr>
        <w:t>2</w:t>
      </w:r>
      <w:r>
        <w:rPr>
          <w:rFonts w:ascii="宋体" w:hAnsi="宋体" w:cs="宋体" w:hint="eastAsia"/>
          <w:b w:val="0"/>
          <w:bCs/>
          <w:kern w:val="0"/>
          <w:szCs w:val="21"/>
        </w:rPr>
        <w:t>.</w:t>
      </w:r>
      <w:r>
        <w:rPr>
          <w:rFonts w:ascii="宋体" w:hAnsi="宋体" w:hint="eastAsia"/>
          <w:b w:val="0"/>
          <w:bCs/>
        </w:rPr>
        <w:t>我单位已知悉并同意中标（成交）结果信息公示（公开）的内容。</w:t>
      </w:r>
    </w:p>
    <w:p>
      <w:pPr>
        <w:ind w:firstLine="420" w:firstLineChars="200"/>
        <w:rPr>
          <w:rFonts w:ascii="宋体" w:eastAsia="宋体" w:hAnsi="宋体" w:cs="宋体" w:hint="eastAsia"/>
          <w:b/>
          <w:color w:val="FF0000"/>
          <w:kern w:val="0"/>
          <w:szCs w:val="21"/>
          <w:lang w:eastAsia="zh-CN"/>
        </w:rPr>
      </w:pPr>
      <w:r>
        <w:rPr>
          <w:rFonts w:ascii="宋体" w:hAnsi="宋体" w:hint="eastAsia"/>
          <w:b w:val="0"/>
          <w:bCs/>
        </w:rPr>
        <w:t>1</w:t>
      </w:r>
      <w:r>
        <w:rPr>
          <w:rFonts w:ascii="宋体" w:hAnsi="宋体" w:hint="eastAsia"/>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ascii="宋体" w:hAnsi="宋体" w:hint="eastAsia"/>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ascii="宋体" w:hAnsi="宋体" w:hint="eastAsia"/>
          <w:b w:val="0"/>
          <w:bCs/>
          <w:color w:val="auto"/>
          <w:lang w:val="en-US" w:eastAsia="zh-CN"/>
        </w:rPr>
        <w:t>若</w:t>
      </w:r>
      <w:r>
        <w:rPr>
          <w:rFonts w:ascii="宋体" w:hAnsi="宋体" w:hint="eastAsia"/>
          <w:b w:val="0"/>
          <w:bCs/>
          <w:color w:val="auto"/>
        </w:rPr>
        <w:t>存在“不同供应商的董事、股东或其他高级管理人员为同一人的”情形的，</w:t>
      </w:r>
      <w:r>
        <w:rPr>
          <w:rFonts w:ascii="宋体" w:hAnsi="宋体" w:hint="eastAsia"/>
          <w:b w:val="0"/>
          <w:bCs/>
          <w:color w:val="auto"/>
          <w:lang w:val="en-US" w:eastAsia="zh-CN"/>
        </w:rPr>
        <w:t>我单位保证</w:t>
      </w:r>
      <w:r>
        <w:rPr>
          <w:rFonts w:ascii="宋体" w:hAnsi="宋体" w:hint="eastAsia"/>
          <w:b w:val="0"/>
          <w:bCs/>
          <w:color w:val="auto"/>
        </w:rPr>
        <w:t>不存在串通投标、恶意串通或者视为串通投标的情形</w:t>
      </w:r>
      <w:r>
        <w:rPr>
          <w:rFonts w:ascii="宋体" w:hAnsi="宋体" w:hint="eastAsia"/>
          <w:b w:val="0"/>
          <w:bCs/>
          <w:color w:val="auto"/>
          <w:lang w:eastAsia="zh-CN"/>
        </w:rPr>
        <w:t>。</w:t>
      </w:r>
    </w:p>
    <w:p>
      <w:pPr>
        <w:ind w:firstLine="420" w:firstLineChars="200"/>
        <w:rPr>
          <w:rFonts w:ascii="宋体" w:hAnsi="宋体" w:hint="default"/>
          <w:b/>
          <w:szCs w:val="21"/>
          <w:lang w:val="en-US"/>
        </w:rPr>
      </w:pPr>
      <w:r>
        <w:rPr>
          <w:rFonts w:ascii="宋体" w:hAnsi="宋体" w:hint="eastAsia"/>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ascii="宋体" w:hAnsi="宋体" w:hint="eastAsia"/>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ascii="宋体" w:hAnsi="宋体" w:hint="eastAsia"/>
          <w:szCs w:val="21"/>
        </w:rPr>
        <w:t xml:space="preserve">                                    </w:t>
      </w:r>
    </w:p>
    <w:p>
      <w:pPr>
        <w:spacing w:before="60" w:beforeLines="25" w:after="60" w:afterLines="25"/>
        <w:ind w:firstLine="5460" w:firstLineChars="2600"/>
        <w:rPr>
          <w:rFonts w:eastAsia="宋体" w:hint="eastAsia"/>
          <w:color w:val="FF0000"/>
          <w:u w:val="none"/>
          <w:lang w:eastAsia="zh-CN"/>
        </w:rPr>
      </w:pPr>
      <w:bookmarkEnd w:id="57"/>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ascii="宋体" w:hAnsi="宋体" w:hint="eastAsia"/>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ascii="宋体" w:hAnsi="宋体" w:hint="eastAsia"/>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ascii="宋体" w:hAnsi="宋体" w:hint="eastAsia"/>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ascii="宋体" w:hAnsi="宋体" w:hint="eastAsia"/>
          <w:color w:val="FF0000"/>
          <w:szCs w:val="21"/>
        </w:rPr>
        <w:t>日</w:t>
      </w:r>
    </w:p>
    <w:p>
      <w:pPr>
        <w:ind w:firstLine="645"/>
        <w:rPr>
          <w:rFonts w:ascii="宋体" w:hAnsi="宋体"/>
          <w:szCs w:val="21"/>
        </w:rPr>
      </w:pPr>
    </w:p>
    <w:p>
      <w:pPr>
        <w:rPr>
          <w:rFonts w:ascii="宋体"/>
          <w:b/>
          <w:szCs w:val="21"/>
        </w:rPr>
      </w:pPr>
      <w:r>
        <w:rPr>
          <w:rFonts w:ascii="宋体"/>
          <w:b/>
          <w:szCs w:val="21"/>
        </w:rPr>
        <w:br w:type="page"/>
      </w:r>
    </w:p>
    <w:p>
      <w:pPr>
        <w:pStyle w:val="Heading3"/>
        <w:jc w:val="center"/>
        <w:rPr>
          <w:rFonts w:ascii="黑体" w:eastAsia="黑体"/>
          <w:b w:val="0"/>
          <w:sz w:val="24"/>
          <w:szCs w:val="24"/>
        </w:rPr>
      </w:pPr>
      <w:r>
        <w:rPr>
          <w:rFonts w:ascii="黑体" w:eastAsia="黑体" w:hint="eastAsia"/>
          <w:b w:val="0"/>
          <w:sz w:val="24"/>
          <w:szCs w:val="24"/>
        </w:rPr>
        <w:t>三、投标人情况及资格证明文件</w:t>
      </w:r>
    </w:p>
    <w:p>
      <w:pPr>
        <w:rPr>
          <w:b/>
          <w:bCs/>
          <w:sz w:val="24"/>
        </w:rPr>
      </w:pPr>
    </w:p>
    <w:p>
      <w:pPr>
        <w:ind w:firstLine="2310" w:firstLineChars="1100"/>
        <w:outlineLvl w:val="3"/>
        <w:rPr>
          <w:rFonts w:ascii="黑体" w:eastAsia="黑体" w:hAnsi="宋体"/>
          <w:bCs/>
          <w:kern w:val="0"/>
          <w:sz w:val="24"/>
          <w:szCs w:val="32"/>
        </w:rPr>
      </w:pPr>
      <w:bookmarkStart w:id="60" w:name="_Hlk72257590"/>
      <w:r>
        <w:rPr>
          <w:rFonts w:ascii="黑体" w:eastAsia="黑体" w:hAnsi="宋体" w:hint="eastAsia"/>
          <w:bCs/>
          <w:kern w:val="0"/>
          <w:sz w:val="24"/>
          <w:szCs w:val="32"/>
        </w:rPr>
        <w:t>（一）投标人资格证明文件</w:t>
      </w:r>
    </w:p>
    <w:p>
      <w:pPr>
        <w:spacing w:before="120" w:beforeLines="50"/>
        <w:ind w:firstLine="420"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其中要求提供《政府采购投标及履约承诺函》《供应商基本情况表》且已在规定章节中提供的，此处不重复提供</w:t>
      </w:r>
      <w:r>
        <w:rPr>
          <w:rFonts w:hint="eastAsia"/>
          <w:b/>
          <w:bCs/>
          <w:color w:val="FF0000"/>
        </w:rPr>
        <w:t>。）</w:t>
      </w:r>
    </w:p>
    <w:p>
      <w:pPr>
        <w:rPr>
          <w:b/>
          <w:bCs/>
          <w:sz w:val="24"/>
        </w:rPr>
      </w:pPr>
    </w:p>
    <w:p>
      <w:pPr>
        <w:ind w:firstLine="420" w:firstLineChars="200"/>
        <w:outlineLvl w:val="3"/>
        <w:rPr>
          <w:rFonts w:ascii="黑体" w:eastAsia="黑体" w:hAnsi="宋体"/>
          <w:bCs/>
          <w:kern w:val="0"/>
          <w:sz w:val="24"/>
          <w:szCs w:val="32"/>
        </w:rPr>
      </w:pPr>
      <w:bookmarkStart w:id="61" w:name="_Hlk72257908"/>
      <w:r>
        <w:rPr>
          <w:rFonts w:ascii="黑体" w:eastAsia="黑体" w:hAnsi="宋体" w:hint="eastAsia"/>
          <w:bCs/>
          <w:kern w:val="0"/>
          <w:sz w:val="24"/>
          <w:szCs w:val="32"/>
        </w:rPr>
        <w:t>（二）中小企业声明函、残疾人福利性单位声明函及监狱企业声明函</w:t>
      </w:r>
    </w:p>
    <w:p>
      <w:pPr>
        <w:jc w:val="left"/>
        <w:outlineLvl w:val="9"/>
        <w:rPr>
          <w:rFonts w:ascii="黑体" w:eastAsia="黑体" w:hAnsi="宋体"/>
          <w:bCs/>
          <w:kern w:val="0"/>
          <w:sz w:val="24"/>
          <w:szCs w:val="32"/>
        </w:rPr>
      </w:pPr>
      <w:bookmarkEnd w:id="60"/>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填写指引：</w:t>
      </w:r>
    </w:p>
    <w:p>
      <w:pPr>
        <w:ind w:firstLine="420" w:firstLineChars="200"/>
        <w:outlineLvl w:val="9"/>
        <w:rPr>
          <w:rFonts w:ascii="黑体" w:eastAsia="黑体" w:hAnsi="黑体"/>
          <w:color w:val="FF0000"/>
          <w:szCs w:val="21"/>
        </w:rPr>
      </w:pPr>
      <w:r>
        <w:rPr>
          <w:rFonts w:ascii="黑体" w:eastAsia="黑体" w:hAnsi="宋体" w:hint="eastAsia"/>
          <w:bCs/>
          <w:color w:val="FF0000"/>
          <w:kern w:val="0"/>
          <w:szCs w:val="21"/>
        </w:rPr>
        <w:t>1、该部分内容由投标人根据自身实际情况填写，不符合要求的投标人可以不填写或直接删除相应的声明函。</w:t>
      </w:r>
      <w:r>
        <w:rPr>
          <w:rFonts w:ascii="黑体" w:eastAsia="黑体" w:hAnsi="黑体" w:hint="eastAsia"/>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eastAsia="黑体" w:hAnsi="黑体"/>
          <w:color w:val="FF0000"/>
          <w:szCs w:val="21"/>
        </w:rPr>
      </w:pPr>
      <w:r>
        <w:rPr>
          <w:rFonts w:ascii="黑体" w:eastAsia="黑体" w:hAnsi="黑体" w:hint="eastAsia"/>
          <w:color w:val="FF0000"/>
          <w:szCs w:val="21"/>
        </w:rPr>
        <w:t>2、该部分内容填写需要参考的相关文件：</w:t>
      </w:r>
    </w:p>
    <w:p>
      <w:pPr>
        <w:ind w:firstLine="420" w:firstLineChars="200"/>
        <w:outlineLvl w:val="9"/>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1</w:t>
      </w:r>
      <w:r>
        <w:rPr>
          <w:rFonts w:ascii="黑体" w:eastAsia="黑体" w:hAnsi="黑体" w:hint="eastAsia"/>
          <w:color w:val="FF0000"/>
          <w:szCs w:val="21"/>
        </w:rPr>
        <w:t>)财政部《政府采购促进中小企业发展管理办法》（财库〔2020〕46号）；</w:t>
      </w:r>
    </w:p>
    <w:p>
      <w:pPr>
        <w:ind w:firstLine="420" w:firstLineChars="200"/>
        <w:outlineLvl w:val="9"/>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2</w:t>
      </w:r>
      <w:r>
        <w:rPr>
          <w:rFonts w:ascii="黑体" w:eastAsia="黑体" w:hAnsi="黑体" w:hint="eastAsia"/>
          <w:color w:val="FF0000"/>
          <w:szCs w:val="21"/>
        </w:rPr>
        <w:t>)《工业和信息化部、国家统计局、国家发展和改革委员会、财政部关于印发中小企业划型标准规定的通知》（工信部联企业〔2011〕300号）</w:t>
      </w:r>
      <w:r>
        <w:rPr>
          <w:rFonts w:ascii="黑体" w:eastAsia="黑体" w:hAnsi="黑体" w:hint="eastAsia"/>
          <w:color w:val="FF0000"/>
          <w:szCs w:val="21"/>
          <w:lang w:eastAsia="zh-CN"/>
        </w:rPr>
        <w:t>；</w:t>
      </w:r>
    </w:p>
    <w:p>
      <w:pPr>
        <w:ind w:firstLine="420" w:firstLineChars="200"/>
        <w:outlineLvl w:val="9"/>
        <w:rPr>
          <w:rFonts w:ascii="黑体" w:eastAsia="黑体" w:hAnsi="黑体" w:hint="eastAsia"/>
          <w:color w:val="FF0000"/>
          <w:szCs w:val="21"/>
          <w:lang w:eastAsia="zh-CN"/>
        </w:rPr>
      </w:pPr>
      <w:r>
        <w:rPr>
          <w:rFonts w:ascii="黑体" w:eastAsia="黑体" w:hAnsi="黑体" w:hint="eastAsia"/>
          <w:color w:val="FF0000"/>
          <w:szCs w:val="21"/>
        </w:rPr>
        <w:t>(3)《统计上大中小微型企业划分办法(2017)》（国统字〔2017〕213号）</w:t>
      </w:r>
      <w:r>
        <w:rPr>
          <w:rFonts w:ascii="黑体" w:eastAsia="黑体" w:hAnsi="黑体" w:hint="eastAsia"/>
          <w:color w:val="FF0000"/>
          <w:szCs w:val="21"/>
          <w:lang w:eastAsia="zh-CN"/>
        </w:rPr>
        <w:t>；</w:t>
      </w:r>
    </w:p>
    <w:p>
      <w:pPr>
        <w:ind w:firstLine="420" w:firstLineChars="200"/>
        <w:outlineLvl w:val="9"/>
        <w:rPr>
          <w:rFonts w:ascii="黑体" w:eastAsia="黑体" w:hAnsi="黑体" w:hint="eastAsia"/>
          <w:color w:val="FF0000"/>
          <w:szCs w:val="21"/>
          <w:lang w:eastAsia="zh-CN"/>
        </w:rPr>
      </w:pPr>
      <w:r>
        <w:rPr>
          <w:rFonts w:ascii="黑体" w:eastAsia="黑体" w:hAnsi="黑体" w:hint="eastAsia"/>
          <w:color w:val="FF0000"/>
          <w:szCs w:val="21"/>
        </w:rPr>
        <w:t>(4)《关于促进残疾人就业政府采购政策的通知》（财库〔2017〕141号）</w:t>
      </w:r>
      <w:r>
        <w:rPr>
          <w:rFonts w:ascii="黑体" w:eastAsia="黑体" w:hAnsi="黑体" w:hint="eastAsia"/>
          <w:color w:val="FF0000"/>
          <w:szCs w:val="21"/>
          <w:lang w:eastAsia="zh-CN"/>
        </w:rPr>
        <w:t>；</w:t>
      </w:r>
    </w:p>
    <w:p>
      <w:pPr>
        <w:ind w:firstLine="420" w:firstLineChars="200"/>
        <w:outlineLvl w:val="9"/>
        <w:rPr>
          <w:rFonts w:ascii="黑体" w:eastAsia="黑体" w:hAnsi="黑体"/>
          <w:color w:val="FF0000"/>
          <w:szCs w:val="21"/>
        </w:rPr>
      </w:pPr>
      <w:r>
        <w:rPr>
          <w:rFonts w:ascii="黑体" w:eastAsia="黑体" w:hAnsi="黑体" w:hint="eastAsia"/>
          <w:color w:val="FF0000"/>
          <w:szCs w:val="21"/>
        </w:rPr>
        <w:t>(5)《关于政府采购支持监狱企业发展有关问题的通知》（财库〔2014〕68号）</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3、请依照提供的格式和内容填写声明函，不要随意变更格式；声明函不需要盖章或签字；</w:t>
      </w:r>
      <w:r>
        <w:rPr>
          <w:rFonts w:ascii="黑体" w:eastAsia="黑体" w:hAnsi="黑体" w:hint="eastAsia"/>
          <w:color w:val="FF0000"/>
          <w:szCs w:val="21"/>
        </w:rPr>
        <w:t>满足多项优惠政策的投标人，不重复享受多项价格扣除政策。</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4、声明函具体填写要求：</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（1）声明是中小企业须填写《中小企业声明函》的以下内容：</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第二处，在“项目名称”下划线处如实填写采购</w:t>
      </w:r>
      <w:r>
        <w:rPr>
          <w:rFonts w:ascii="黑体" w:eastAsia="黑体" w:hAnsi="宋体" w:hint="eastAsia"/>
          <w:bCs/>
          <w:color w:val="FF0000"/>
          <w:kern w:val="0"/>
          <w:szCs w:val="21"/>
          <w:lang w:val="en-US" w:eastAsia="zh-CN"/>
        </w:rPr>
        <w:t>文件中确定的</w:t>
      </w:r>
      <w:r>
        <w:rPr>
          <w:rFonts w:ascii="黑体" w:eastAsia="黑体" w:hAnsi="宋体" w:hint="eastAsia"/>
          <w:bCs/>
          <w:color w:val="FF0000"/>
          <w:kern w:val="0"/>
          <w:szCs w:val="21"/>
        </w:rPr>
        <w:t>项目名称</w:t>
      </w:r>
      <w:r>
        <w:rPr>
          <w:rFonts w:ascii="黑体" w:eastAsia="黑体" w:hAnsi="宋体" w:hint="eastAsia"/>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kern w:val="0"/>
          <w:szCs w:val="21"/>
        </w:rPr>
        <w:t>；</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第三处，在“标的名称”下划线处填写所采购货物（标的）的具体名称（以招标文件第一册第三章用户需求书“货物</w:t>
      </w:r>
      <w:r>
        <w:rPr>
          <w:rFonts w:ascii="黑体" w:eastAsia="黑体" w:hAnsi="宋体" w:hint="eastAsia"/>
          <w:bCs/>
          <w:color w:val="FF0000"/>
          <w:kern w:val="0"/>
          <w:szCs w:val="21"/>
          <w:lang w:val="en-US" w:eastAsia="zh-CN"/>
        </w:rPr>
        <w:t>清单</w:t>
      </w:r>
      <w:r>
        <w:rPr>
          <w:rFonts w:ascii="黑体" w:eastAsia="黑体" w:hAnsi="宋体" w:hint="eastAsia"/>
          <w:bCs/>
          <w:color w:val="FF0000"/>
          <w:kern w:val="0"/>
          <w:szCs w:val="21"/>
        </w:rPr>
        <w:t>明细”的“货物名称”一栏为准）；如果涉及多项货物（标的）为同一企业制造，“标的名称”下划线处可以如实填写多项货物；对于分包方式面向中小企业采购的项目</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第四处，在“</w:t>
      </w:r>
      <w:r>
        <w:rPr>
          <w:rFonts w:ascii="黑体" w:eastAsia="黑体" w:hAnsi="宋体" w:hint="eastAsia"/>
          <w:bCs/>
          <w:color w:val="FF0000"/>
          <w:kern w:val="0"/>
          <w:szCs w:val="21"/>
          <w:lang w:val="en-US" w:eastAsia="zh-CN"/>
        </w:rPr>
        <w:t>采购</w:t>
      </w:r>
      <w:r>
        <w:rPr>
          <w:rFonts w:ascii="黑体" w:eastAsia="黑体" w:hAnsi="宋体" w:hint="eastAsia"/>
          <w:bCs/>
          <w:color w:val="FF0000"/>
          <w:kern w:val="0"/>
          <w:szCs w:val="21"/>
        </w:rPr>
        <w:t>文件中明确的所属行业”下划线处填写采购标的对应的中小企业划分标准所属行业（所属行业以招标文件第一册第三章用户需求书“货物清单明细”的“</w:t>
      </w:r>
      <w:r>
        <w:rPr>
          <w:rFonts w:ascii="黑体" w:eastAsia="黑体" w:hAnsi="宋体" w:hint="eastAsia"/>
          <w:bCs/>
          <w:color w:val="FF0000"/>
          <w:kern w:val="0"/>
          <w:szCs w:val="21"/>
          <w:lang w:val="en-US" w:eastAsia="zh-CN"/>
        </w:rPr>
        <w:t>标的所属行业</w:t>
      </w:r>
      <w:r>
        <w:rPr>
          <w:rFonts w:ascii="黑体" w:eastAsia="黑体" w:hAnsi="宋体" w:hint="eastAsia"/>
          <w:bCs/>
          <w:color w:val="FF0000"/>
          <w:kern w:val="0"/>
          <w:szCs w:val="21"/>
        </w:rPr>
        <w:t>”一栏为准）</w:t>
      </w:r>
      <w:r>
        <w:rPr>
          <w:rFonts w:ascii="黑体" w:eastAsia="黑体" w:hAnsi="宋体" w:hint="eastAsia"/>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ascii="黑体" w:eastAsia="黑体" w:hAnsi="宋体" w:hint="eastAsia"/>
          <w:bCs/>
          <w:color w:val="FF0000"/>
          <w:kern w:val="0"/>
          <w:szCs w:val="21"/>
          <w:lang w:eastAsia="zh-CN"/>
        </w:rPr>
      </w:pPr>
      <w:r>
        <w:rPr>
          <w:rFonts w:ascii="黑体" w:eastAsia="黑体" w:hAnsi="宋体" w:hint="eastAsia"/>
          <w:bCs/>
          <w:color w:val="FF0000"/>
          <w:kern w:val="0"/>
          <w:szCs w:val="21"/>
        </w:rPr>
        <w:t>第五处，在“企业名称”下划线处如实填写</w:t>
      </w:r>
      <w:r>
        <w:rPr>
          <w:rFonts w:ascii="黑体" w:eastAsia="黑体" w:hAnsi="宋体" w:hint="eastAsia"/>
          <w:b/>
          <w:bCs w:val="0"/>
          <w:color w:val="FF0000"/>
          <w:kern w:val="0"/>
          <w:szCs w:val="21"/>
          <w:lang w:val="en-US" w:eastAsia="zh-CN"/>
        </w:rPr>
        <w:t>货物</w:t>
      </w:r>
      <w:r>
        <w:rPr>
          <w:rFonts w:ascii="黑体" w:eastAsia="黑体" w:hAnsi="宋体" w:hint="eastAsia"/>
          <w:b/>
          <w:bCs w:val="0"/>
          <w:color w:val="FF0000"/>
          <w:kern w:val="0"/>
          <w:szCs w:val="21"/>
        </w:rPr>
        <w:t>制造商名称</w:t>
      </w:r>
      <w:r>
        <w:rPr>
          <w:rFonts w:ascii="黑体" w:eastAsia="黑体" w:hAnsi="宋体" w:hint="eastAsia"/>
          <w:b/>
          <w:bCs w:val="0"/>
          <w:color w:val="FF0000"/>
          <w:kern w:val="0"/>
          <w:szCs w:val="21"/>
          <w:lang w:eastAsia="zh-CN"/>
        </w:rPr>
        <w:t>。</w:t>
      </w:r>
      <w:r>
        <w:rPr>
          <w:rFonts w:ascii="黑体" w:eastAsia="黑体" w:hAnsi="宋体" w:hint="eastAsia"/>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ascii="黑体" w:eastAsia="黑体" w:hAnsi="宋体" w:hint="eastAsia"/>
          <w:bCs/>
          <w:color w:val="FF0000"/>
          <w:kern w:val="0"/>
          <w:szCs w:val="21"/>
        </w:rPr>
      </w:pPr>
      <w:r>
        <w:rPr>
          <w:rFonts w:ascii="黑体" w:eastAsia="黑体" w:hAnsi="宋体" w:cs="Times New Roman" w:hint="eastAsia"/>
          <w:bCs/>
          <w:color w:val="FF0000"/>
          <w:kern w:val="0"/>
          <w:sz w:val="21"/>
          <w:szCs w:val="21"/>
          <w:lang w:val="en-US" w:eastAsia="zh-CN" w:bidi="ar-SA"/>
        </w:rPr>
        <w:t>第六、</w:t>
      </w:r>
      <w:r>
        <w:rPr>
          <w:rFonts w:ascii="黑体" w:eastAsia="黑体" w:hAnsi="宋体" w:hint="eastAsia"/>
          <w:bCs/>
          <w:color w:val="FF0000"/>
          <w:kern w:val="0"/>
          <w:szCs w:val="21"/>
          <w:lang w:val="en-US" w:eastAsia="zh-CN"/>
        </w:rPr>
        <w:t>七、八处，</w:t>
      </w:r>
      <w:r>
        <w:rPr>
          <w:rFonts w:ascii="黑体" w:eastAsia="黑体" w:hAnsi="宋体" w:hint="eastAsia"/>
          <w:bCs/>
          <w:color w:val="FF0000"/>
          <w:kern w:val="0"/>
          <w:szCs w:val="21"/>
        </w:rPr>
        <w:t>在“从业人员”、“营业收入”、“资产总额”下划线处如实填写从业人员、营业收入、资产总额</w:t>
      </w:r>
      <w:r>
        <w:rPr>
          <w:rFonts w:ascii="黑体" w:eastAsia="黑体" w:hAnsi="宋体" w:hint="eastAsia"/>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ascii="黑体" w:eastAsia="黑体" w:hAnsi="宋体" w:hint="eastAsia"/>
          <w:bCs/>
          <w:color w:val="FF0000"/>
          <w:kern w:val="0"/>
          <w:szCs w:val="21"/>
        </w:rPr>
      </w:pPr>
      <w:r>
        <w:rPr>
          <w:rFonts w:ascii="黑体" w:eastAsia="黑体" w:hAnsi="宋体" w:hint="eastAsia"/>
          <w:bCs/>
          <w:color w:val="FF0000"/>
          <w:kern w:val="0"/>
          <w:szCs w:val="21"/>
          <w:lang w:val="en-US" w:eastAsia="zh-CN"/>
        </w:rPr>
        <w:t>第九处，</w:t>
      </w:r>
      <w:r>
        <w:rPr>
          <w:rFonts w:ascii="黑体" w:eastAsia="黑体" w:hAnsi="宋体" w:hint="eastAsia"/>
          <w:bCs/>
          <w:color w:val="FF0000"/>
          <w:kern w:val="0"/>
          <w:szCs w:val="21"/>
        </w:rPr>
        <w:t>在“中型企业、小型企业、微型企业”下划线处应依据企业上年度从业人员、营业收入、资产总额等指标</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按照《中小企业划型标准规定》（工信部联企业〔2011〕300号）、《金融业企业划型标准规定》（银发〔2015〕309号）</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判断《中小企业声明函》载明的货物制造商是否属于采购文件所属行业的中型企业/小型企业/微型企业。</w:t>
      </w:r>
    </w:p>
    <w:p>
      <w:pPr>
        <w:pStyle w:val="NoSpacing"/>
        <w:ind w:firstLine="420" w:firstLineChars="200"/>
        <w:outlineLvl w:val="9"/>
        <w:rPr>
          <w:rFonts w:ascii="黑体" w:eastAsia="黑体" w:hAnsi="宋体" w:hint="eastAsia"/>
          <w:bCs/>
          <w:color w:val="FF0000"/>
          <w:kern w:val="0"/>
          <w:szCs w:val="21"/>
          <w:lang w:eastAsia="zh-CN"/>
        </w:rPr>
      </w:pPr>
      <w:r>
        <w:rPr>
          <w:rFonts w:ascii="黑体" w:eastAsia="黑体" w:hAnsi="宋体" w:hint="eastAsia"/>
          <w:bCs/>
          <w:color w:val="FF0000"/>
          <w:kern w:val="0"/>
          <w:szCs w:val="21"/>
          <w:lang w:eastAsia="zh-CN"/>
        </w:rPr>
        <w:t>（</w:t>
      </w:r>
      <w:r>
        <w:rPr>
          <w:rFonts w:ascii="黑体" w:eastAsia="黑体" w:hAnsi="宋体" w:hint="eastAsia"/>
          <w:bCs/>
          <w:color w:val="FF0000"/>
          <w:kern w:val="0"/>
          <w:szCs w:val="21"/>
          <w:lang w:val="en-US" w:eastAsia="zh-CN"/>
        </w:rPr>
        <w:t>2</w:t>
      </w:r>
      <w:r>
        <w:rPr>
          <w:rFonts w:ascii="黑体" w:eastAsia="黑体" w:hAnsi="宋体" w:hint="eastAsia"/>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lang w:eastAsia="zh-CN"/>
        </w:rPr>
        <w:t>（</w:t>
      </w:r>
      <w:r>
        <w:rPr>
          <w:rFonts w:ascii="黑体" w:eastAsia="黑体" w:hAnsi="宋体" w:hint="eastAsia"/>
          <w:bCs/>
          <w:color w:val="FF0000"/>
          <w:kern w:val="0"/>
          <w:szCs w:val="21"/>
          <w:lang w:val="en-US" w:eastAsia="zh-CN"/>
        </w:rPr>
        <w:t>3</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w:t>
      </w:r>
      <w:r>
        <w:rPr>
          <w:rFonts w:ascii="黑体" w:eastAsia="黑体" w:hAnsi="宋体" w:hint="eastAsia"/>
          <w:bCs/>
          <w:color w:val="FF0000"/>
          <w:kern w:val="0"/>
          <w:szCs w:val="21"/>
          <w:lang w:val="en-US" w:eastAsia="zh-CN"/>
        </w:rPr>
        <w:t>4</w:t>
      </w:r>
      <w:r>
        <w:rPr>
          <w:rFonts w:ascii="黑体" w:eastAsia="黑体" w:hAnsi="宋体" w:hint="eastAsia"/>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w:t>
      </w:r>
      <w:r>
        <w:rPr>
          <w:rFonts w:ascii="黑体" w:eastAsia="黑体" w:hAnsi="宋体" w:hint="eastAsia"/>
          <w:bCs/>
          <w:color w:val="FF0000"/>
          <w:kern w:val="0"/>
          <w:szCs w:val="21"/>
          <w:lang w:val="en-US" w:eastAsia="zh-CN"/>
        </w:rPr>
        <w:t>5</w:t>
      </w:r>
      <w:r>
        <w:rPr>
          <w:rFonts w:ascii="黑体" w:eastAsia="黑体" w:hAnsi="宋体" w:hint="eastAsia"/>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ascii="黑体" w:eastAsia="黑体" w:hAnsi="宋体" w:hint="eastAsia"/>
          <w:bCs/>
          <w:color w:val="FF0000"/>
          <w:kern w:val="0"/>
          <w:szCs w:val="21"/>
        </w:rPr>
      </w:pPr>
      <w:r>
        <w:rPr>
          <w:rFonts w:ascii="黑体" w:eastAsia="黑体" w:hAnsi="宋体" w:hint="eastAsia"/>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NoSpacing"/>
        <w:ind w:firstLine="420" w:firstLineChars="200"/>
        <w:outlineLvl w:val="9"/>
        <w:rPr>
          <w:rFonts w:eastAsia="黑体" w:hint="eastAsia"/>
          <w:lang w:val="en-US" w:eastAsia="zh-CN"/>
        </w:rPr>
      </w:pPr>
      <w:r>
        <w:rPr>
          <w:rFonts w:ascii="黑体" w:eastAsia="黑体" w:hAnsi="宋体" w:hint="eastAsia"/>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7"/>
        </w:numPr>
        <w:jc w:val="center"/>
        <w:outlineLvl w:val="9"/>
        <w:rPr>
          <w:b/>
          <w:sz w:val="24"/>
        </w:rPr>
      </w:pPr>
      <w:r>
        <w:rPr>
          <w:b/>
          <w:sz w:val="24"/>
        </w:rPr>
        <w:t>中小企业声明函（货物）</w:t>
      </w:r>
    </w:p>
    <w:p>
      <w:pPr>
        <w:pStyle w:val="BodyText"/>
        <w:widowControl w:val="0"/>
        <w:numPr>
          <w:ilvl w:val="0"/>
          <w:numId w:val="0"/>
        </w:numPr>
        <w:spacing w:line="360" w:lineRule="auto"/>
        <w:jc w:val="both"/>
        <w:outlineLvl w:val="9"/>
      </w:pPr>
    </w:p>
    <w:p>
      <w:pPr>
        <w:pStyle w:val="BodyText2"/>
        <w:ind w:firstLine="420" w:firstLineChars="200"/>
        <w:outlineLvl w:val="9"/>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（单位名称）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的</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（项目名称）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采购活动，提供的货物全部由符合政策要求的中小企业制造。相关企业（含联合体中的中小企业、签订分包意向协议的中小企业）的具体情况如下：</w:t>
      </w:r>
    </w:p>
    <w:p>
      <w:pPr>
        <w:pStyle w:val="BodyText2"/>
        <w:ind w:firstLine="420" w:firstLineChars="200"/>
        <w:outlineLvl w:val="9"/>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lang w:val="en-US" w:eastAsia="zh-CN"/>
        </w:rPr>
        <w:t>1.</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（标的名称）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sz w:val="21"/>
          <w:szCs w:val="21"/>
        </w:rPr>
        <w:t>，属于</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（采购文件中明确的所属行业）</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行业；制造商为</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（企业名称</w:t>
      </w:r>
      <w:r>
        <w:rPr>
          <w:rFonts w:asciiTheme="minorEastAsia" w:eastAsiaTheme="minorEastAsia" w:hAnsiTheme="minorEastAsia" w:cstheme="minorEastAsia" w:hint="eastAsia"/>
          <w:b/>
          <w:bCs/>
          <w:i/>
          <w:iCs/>
          <w:sz w:val="21"/>
          <w:szCs w:val="21"/>
          <w:u w:val="single"/>
          <w:lang w:eastAsia="zh-CN"/>
        </w:rPr>
        <w:t>，要求制造商</w:t>
      </w:r>
      <w:r>
        <w:rPr>
          <w:rFonts w:asciiTheme="minorEastAsia" w:eastAsiaTheme="minorEastAsia" w:hAnsiTheme="minorEastAsia" w:cstheme="minorEastAsia" w:hint="eastAsia"/>
          <w:b/>
          <w:bCs/>
          <w:i/>
          <w:iCs/>
          <w:sz w:val="21"/>
          <w:szCs w:val="21"/>
          <w:u w:val="single"/>
          <w:lang w:val="en-US" w:eastAsia="zh-CN"/>
        </w:rPr>
        <w:t>本身</w:t>
      </w:r>
      <w:r>
        <w:rPr>
          <w:rFonts w:asciiTheme="minorEastAsia" w:eastAsiaTheme="minorEastAsia" w:hAnsiTheme="minorEastAsia" w:cstheme="minorEastAsia" w:hint="eastAsia"/>
          <w:b/>
          <w:bCs/>
          <w:i/>
          <w:iCs/>
          <w:sz w:val="21"/>
          <w:szCs w:val="21"/>
          <w:u w:val="single"/>
          <w:lang w:eastAsia="zh-CN"/>
        </w:rPr>
        <w:t>所属行业应当与招标文件要求的行业相一致</w:t>
      </w:r>
      <w:r>
        <w:rPr>
          <w:rFonts w:asciiTheme="minorEastAsia" w:eastAsiaTheme="minorEastAsia" w:hAnsiTheme="minorEastAsia" w:cstheme="minorEastAsia" w:hint="eastAsia"/>
          <w:b/>
          <w:bCs/>
          <w:i/>
          <w:iCs/>
          <w:sz w:val="21"/>
          <w:szCs w:val="21"/>
          <w:u w:val="single"/>
        </w:rPr>
        <w:t>）</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，从业人员</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人，营业收入为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万元，资产总额为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万元，属于</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（中型企业、小型企业、微型企业）</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i w:val="0"/>
          <w:iCs w:val="0"/>
          <w:sz w:val="21"/>
          <w:szCs w:val="21"/>
          <w:u w:val="none"/>
          <w:lang w:val="en-US" w:eastAsia="zh-CN"/>
        </w:rPr>
        <w:t>；</w:t>
      </w:r>
    </w:p>
    <w:p>
      <w:pPr>
        <w:pStyle w:val="BodyText2"/>
        <w:ind w:firstLine="420" w:firstLineChars="200"/>
        <w:outlineLvl w:val="9"/>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lang w:val="en-US" w:eastAsia="zh-CN"/>
        </w:rPr>
        <w:t>2.</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（标的名称）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sz w:val="21"/>
          <w:szCs w:val="21"/>
        </w:rPr>
        <w:t>，属于</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（采购文件中明确的所属行业）</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行业；制造商为</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（企业名称</w:t>
      </w:r>
      <w:r>
        <w:rPr>
          <w:rFonts w:asciiTheme="minorEastAsia" w:eastAsiaTheme="minorEastAsia" w:hAnsiTheme="minorEastAsia" w:cstheme="minorEastAsia" w:hint="eastAsia"/>
          <w:b/>
          <w:bCs/>
          <w:i/>
          <w:iCs/>
          <w:sz w:val="21"/>
          <w:szCs w:val="21"/>
          <w:u w:val="single"/>
          <w:lang w:eastAsia="zh-CN"/>
        </w:rPr>
        <w:t>，要求制造商</w:t>
      </w:r>
      <w:r>
        <w:rPr>
          <w:rFonts w:asciiTheme="minorEastAsia" w:eastAsiaTheme="minorEastAsia" w:hAnsiTheme="minorEastAsia" w:cstheme="minorEastAsia" w:hint="eastAsia"/>
          <w:b/>
          <w:bCs/>
          <w:i/>
          <w:iCs/>
          <w:sz w:val="21"/>
          <w:szCs w:val="21"/>
          <w:u w:val="single"/>
          <w:lang w:val="en-US" w:eastAsia="zh-CN"/>
        </w:rPr>
        <w:t>本身</w:t>
      </w:r>
      <w:r>
        <w:rPr>
          <w:rFonts w:asciiTheme="minorEastAsia" w:eastAsiaTheme="minorEastAsia" w:hAnsiTheme="minorEastAsia" w:cstheme="minorEastAsia" w:hint="eastAsia"/>
          <w:b/>
          <w:bCs/>
          <w:i/>
          <w:iCs/>
          <w:sz w:val="21"/>
          <w:szCs w:val="21"/>
          <w:u w:val="single"/>
          <w:lang w:eastAsia="zh-CN"/>
        </w:rPr>
        <w:t>所属行业应当与招标文件要求的行业相一致</w:t>
      </w:r>
      <w:r>
        <w:rPr>
          <w:rFonts w:asciiTheme="minorEastAsia" w:eastAsiaTheme="minorEastAsia" w:hAnsiTheme="minorEastAsia" w:cstheme="minorEastAsia" w:hint="eastAsia"/>
          <w:b/>
          <w:bCs/>
          <w:i/>
          <w:iCs/>
          <w:sz w:val="21"/>
          <w:szCs w:val="21"/>
          <w:u w:val="single"/>
        </w:rPr>
        <w:t>）</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，从业人员</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人，营业收入为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万元，资产总额为</w:t>
      </w:r>
      <w:r>
        <w:rPr>
          <w:rFonts w:asciiTheme="minorEastAsia" w:eastAsiaTheme="minorEastAsia" w:hAnsiTheme="minorEastAsia" w:cstheme="minorEastAsia" w:hint="eastAsia"/>
          <w:b/>
          <w:bCs/>
          <w:i/>
          <w:iCs/>
          <w:sz w:val="21"/>
          <w:szCs w:val="21"/>
          <w:u w:val="single"/>
        </w:rPr>
        <w:t xml:space="preserve"> </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sz w:val="21"/>
          <w:szCs w:val="21"/>
        </w:rPr>
        <w:t>万元，属于</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（中型企业、小型企业、微型企业）</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i w:val="0"/>
          <w:iCs w:val="0"/>
          <w:sz w:val="21"/>
          <w:szCs w:val="21"/>
          <w:u w:val="none"/>
          <w:lang w:val="en-US" w:eastAsia="zh-CN"/>
        </w:rPr>
        <w:t>；</w:t>
      </w:r>
    </w:p>
    <w:p>
      <w:pPr>
        <w:pStyle w:val="BodyText2"/>
        <w:ind w:firstLine="420" w:firstLineChars="200"/>
        <w:outlineLvl w:val="9"/>
        <w:rPr>
          <w:rFonts w:asciiTheme="minorEastAsia" w:eastAsiaTheme="minorEastAsia" w:hAnsiTheme="minorEastAsia" w:cstheme="minorEastAsia" w:hint="eastAsia"/>
          <w:sz w:val="21"/>
          <w:szCs w:val="21"/>
          <w:lang w:val="en-US" w:eastAsia="zh-CN"/>
        </w:rPr>
      </w:pPr>
      <w:r>
        <w:rPr>
          <w:rFonts w:asciiTheme="minorEastAsia" w:eastAsiaTheme="minorEastAsia" w:hAnsiTheme="minorEastAsia" w:cstheme="minorEastAsia" w:hint="eastAsia"/>
          <w:sz w:val="21"/>
          <w:szCs w:val="21"/>
          <w:lang w:val="en-US" w:eastAsia="zh-CN"/>
        </w:rPr>
        <w:t>……</w:t>
      </w:r>
    </w:p>
    <w:p>
      <w:pPr>
        <w:pStyle w:val="BodyText2"/>
        <w:ind w:firstLine="420" w:firstLineChars="200"/>
        <w:outlineLvl w:val="9"/>
        <w:rPr>
          <w:rFonts w:asciiTheme="minorEastAsia" w:eastAsiaTheme="minorEastAsia" w:hAnsiTheme="minorEastAsia" w:cstheme="minorEastAsia"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r>
        <w:rPr>
          <w:rFonts w:asciiTheme="minorEastAsia" w:eastAsiaTheme="minorEastAsia" w:hAnsiTheme="minorEastAsia" w:cstheme="minorEastAsia" w:hint="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bookmarkStart w:id="62" w:name="_Hlk73562203"/>
      <w:r>
        <w:rPr>
          <w:rFonts w:asciiTheme="minorEastAsia" w:eastAsiaTheme="minorEastAsia" w:hAnsiTheme="minorEastAsia" w:cstheme="minorEastAsia" w:hint="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imes New Roman" w:eastAsia="宋体" w:hAnsi="Times New Roman" w:cs="Times New Roman" w:hint="eastAsia"/>
          <w:kern w:val="2"/>
          <w:sz w:val="24"/>
          <w:szCs w:val="24"/>
          <w:lang w:val="en-US" w:eastAsia="zh-CN" w:bidi="ar-SA"/>
        </w:rPr>
      </w:pPr>
      <w:r>
        <w:rPr>
          <w:rFonts w:asciiTheme="minorEastAsia" w:eastAsiaTheme="minorEastAsia" w:hAnsiTheme="minorEastAsia" w:cstheme="minorEastAsia" w:hint="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2"/>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bookmarkStart w:id="63" w:name="_Hlk73562331"/>
      <w:bookmarkStart w:id="64" w:name="_Hlk73562245"/>
      <w:r>
        <w:rPr>
          <w:rFonts w:asciiTheme="minorEastAsia" w:eastAsiaTheme="minorEastAsia" w:hAnsiTheme="minorEastAsia" w:cstheme="minorEastAsia" w:hint="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（单位名称）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kern w:val="2"/>
          <w:sz w:val="21"/>
          <w:szCs w:val="21"/>
          <w:lang w:val="en-US" w:eastAsia="zh-CN" w:bidi="ar-SA"/>
        </w:rPr>
        <w:t>单位的</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b/>
          <w:bCs/>
          <w:i/>
          <w:iCs/>
          <w:sz w:val="21"/>
          <w:szCs w:val="21"/>
          <w:u w:val="single"/>
        </w:rPr>
        <w:t>（项目名称）</w:t>
      </w:r>
      <w:r>
        <w:rPr>
          <w:rFonts w:asciiTheme="minorEastAsia" w:eastAsiaTheme="minorEastAsia" w:hAnsiTheme="minorEastAsia" w:cstheme="minorEastAsia" w:hint="eastAsia"/>
          <w:b/>
          <w:bCs/>
          <w:i/>
          <w:iCs/>
          <w:sz w:val="21"/>
          <w:szCs w:val="21"/>
          <w:u w:val="single"/>
          <w:lang w:val="en-US" w:eastAsia="zh-CN"/>
        </w:rPr>
        <w:t xml:space="preserve">    </w:t>
      </w:r>
      <w:r>
        <w:rPr>
          <w:rFonts w:asciiTheme="minorEastAsia" w:eastAsiaTheme="minorEastAsia" w:hAnsiTheme="minorEastAsia" w:cstheme="minorEastAsia" w:hint="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r>
        <w:rPr>
          <w:rFonts w:asciiTheme="minorEastAsia" w:eastAsiaTheme="minorEastAsia" w:hAnsiTheme="minorEastAsia" w:cstheme="minorEastAsia" w:hint="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kern w:val="2"/>
          <w:sz w:val="21"/>
          <w:szCs w:val="21"/>
          <w:lang w:val="en-US" w:eastAsia="zh-CN" w:bidi="ar-SA"/>
        </w:rPr>
      </w:pPr>
      <w:r>
        <w:rPr>
          <w:rFonts w:asciiTheme="minorEastAsia" w:eastAsiaTheme="minorEastAsia" w:hAnsiTheme="minorEastAsia" w:cstheme="minorEastAsia" w:hint="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3"/>
    </w:p>
    <w:p>
      <w:pPr>
        <w:ind w:firstLine="420" w:firstLineChars="200"/>
        <w:outlineLvl w:val="9"/>
        <w:rPr>
          <w:rFonts w:ascii="宋体" w:hAnsi="宋体"/>
          <w:szCs w:val="21"/>
        </w:rPr>
      </w:pPr>
      <w:bookmarkEnd w:id="64"/>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hint="eastAsia"/>
          <w:sz w:val="21"/>
          <w:szCs w:val="21"/>
        </w:rPr>
        <w:t>本投标人郑重声明，根据《财政部司法部关于政府采购支持监狱企业发展有关问题的通知》（财库〔</w:t>
      </w:r>
      <w:r>
        <w:rPr>
          <w:rFonts w:ascii="宋体" w:hAnsi="宋体"/>
          <w:sz w:val="21"/>
          <w:szCs w:val="21"/>
        </w:rPr>
        <w:t>2014</w:t>
      </w:r>
      <w:r>
        <w:rPr>
          <w:rFonts w:ascii="宋体" w:hAnsi="宋体" w:hint="eastAsia"/>
          <w:sz w:val="21"/>
          <w:szCs w:val="21"/>
        </w:rPr>
        <w:t>〕</w:t>
      </w:r>
      <w:r>
        <w:rPr>
          <w:rFonts w:ascii="宋体" w:hAnsi="宋体"/>
          <w:sz w:val="21"/>
          <w:szCs w:val="21"/>
        </w:rPr>
        <w:t>68</w:t>
      </w:r>
      <w:r>
        <w:rPr>
          <w:rFonts w:ascii="宋体" w:hAnsi="宋体" w:hint="eastAsia"/>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ascii="宋体" w:hAnsi="宋体" w:hint="eastAsia"/>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ascii="宋体" w:hAnsi="宋体" w:hint="eastAsia"/>
          <w:sz w:val="21"/>
          <w:szCs w:val="21"/>
        </w:rPr>
        <w:t>监狱企业</w:t>
      </w:r>
      <w:r>
        <w:rPr>
          <w:rFonts w:ascii="宋体" w:hAnsi="宋体"/>
          <w:sz w:val="21"/>
          <w:szCs w:val="21"/>
        </w:rPr>
        <w:t>制造。相关</w:t>
      </w:r>
      <w:r>
        <w:rPr>
          <w:rFonts w:ascii="宋体" w:hAnsi="宋体" w:hint="eastAsia"/>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ascii="宋体" w:hAnsi="宋体" w:hint="eastAsia"/>
          <w:b/>
          <w:bCs/>
          <w:i/>
          <w:iCs/>
          <w:sz w:val="21"/>
          <w:szCs w:val="21"/>
          <w:u w:val="single"/>
          <w:lang w:val="en-US" w:eastAsia="zh-CN"/>
        </w:rPr>
        <w:t xml:space="preserve">   </w:t>
      </w:r>
      <w:r>
        <w:rPr>
          <w:rFonts w:ascii="宋体" w:hAnsi="宋体"/>
          <w:b/>
          <w:bCs/>
          <w:i/>
          <w:iCs/>
          <w:sz w:val="21"/>
          <w:szCs w:val="21"/>
          <w:u w:val="single"/>
        </w:rPr>
        <w:t>（标的名称）</w:t>
      </w:r>
      <w:r>
        <w:rPr>
          <w:rFonts w:ascii="宋体" w:hAnsi="宋体" w:hint="eastAsia"/>
          <w:b/>
          <w:bCs/>
          <w:i/>
          <w:iCs/>
          <w:sz w:val="21"/>
          <w:szCs w:val="21"/>
          <w:u w:val="single"/>
          <w:lang w:val="en-US" w:eastAsia="zh-CN"/>
        </w:rPr>
        <w:t xml:space="preserve">    </w:t>
      </w:r>
      <w:r>
        <w:rPr>
          <w:rFonts w:ascii="宋体" w:hAnsi="宋体" w:hint="eastAsia"/>
          <w:sz w:val="21"/>
          <w:szCs w:val="21"/>
        </w:rPr>
        <w:t>，</w:t>
      </w:r>
      <w:r>
        <w:rPr>
          <w:rFonts w:ascii="宋体" w:hAnsi="宋体"/>
          <w:sz w:val="21"/>
          <w:szCs w:val="21"/>
        </w:rPr>
        <w:t>制造商为</w:t>
      </w:r>
      <w:r>
        <w:rPr>
          <w:rFonts w:ascii="宋体" w:hAnsi="宋体" w:hint="eastAsia"/>
          <w:sz w:val="21"/>
          <w:szCs w:val="21"/>
          <w:u w:val="single"/>
          <w:lang w:val="en-US" w:eastAsia="zh-CN"/>
        </w:rPr>
        <w:t xml:space="preserve">    </w:t>
      </w:r>
      <w:r>
        <w:rPr>
          <w:rFonts w:ascii="宋体" w:hAnsi="宋体"/>
          <w:b/>
          <w:bCs/>
          <w:i/>
          <w:iCs/>
          <w:sz w:val="21"/>
          <w:szCs w:val="21"/>
          <w:u w:val="single"/>
        </w:rPr>
        <w:t>（</w:t>
      </w:r>
      <w:r>
        <w:rPr>
          <w:rFonts w:ascii="宋体" w:hAnsi="宋体" w:hint="eastAsia"/>
          <w:b/>
          <w:bCs/>
          <w:i/>
          <w:iCs/>
          <w:sz w:val="21"/>
          <w:szCs w:val="21"/>
          <w:u w:val="single"/>
        </w:rPr>
        <w:t>企业</w:t>
      </w:r>
      <w:r>
        <w:rPr>
          <w:rFonts w:ascii="宋体" w:hAnsi="宋体"/>
          <w:b/>
          <w:bCs/>
          <w:i/>
          <w:iCs/>
          <w:sz w:val="21"/>
          <w:szCs w:val="21"/>
          <w:u w:val="single"/>
        </w:rPr>
        <w:t>名称）</w:t>
      </w:r>
      <w:r>
        <w:rPr>
          <w:rFonts w:ascii="宋体" w:hAnsi="宋体" w:hint="eastAsia"/>
          <w:b/>
          <w:bCs/>
          <w:i/>
          <w:iCs/>
          <w:sz w:val="21"/>
          <w:szCs w:val="21"/>
          <w:u w:val="single"/>
          <w:lang w:val="en-US" w:eastAsia="zh-CN"/>
        </w:rPr>
        <w:t xml:space="preserve">    </w:t>
      </w:r>
      <w:r>
        <w:rPr>
          <w:rFonts w:ascii="宋体" w:hAnsi="宋体"/>
          <w:sz w:val="21"/>
          <w:szCs w:val="21"/>
        </w:rPr>
        <w:t>，属于</w:t>
      </w:r>
      <w:r>
        <w:rPr>
          <w:rFonts w:ascii="宋体" w:hAnsi="宋体" w:hint="eastAsia"/>
          <w:sz w:val="21"/>
          <w:szCs w:val="21"/>
          <w:u w:val="single"/>
          <w:lang w:val="en-US" w:eastAsia="zh-CN"/>
        </w:rPr>
        <w:t xml:space="preserve">  </w:t>
      </w:r>
      <w:r>
        <w:rPr>
          <w:rFonts w:ascii="宋体" w:hAnsi="宋体" w:hint="eastAsia"/>
          <w:b/>
          <w:bCs/>
          <w:sz w:val="21"/>
          <w:szCs w:val="21"/>
          <w:u w:val="single"/>
        </w:rPr>
        <w:t>监狱企业</w:t>
      </w:r>
      <w:r>
        <w:rPr>
          <w:rFonts w:ascii="宋体" w:hAnsi="宋体" w:hint="eastAsia"/>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ascii="宋体" w:hAnsi="宋体" w:hint="eastAsia"/>
          <w:b/>
          <w:bCs/>
          <w:i/>
          <w:iCs/>
          <w:sz w:val="21"/>
          <w:szCs w:val="21"/>
          <w:u w:val="single"/>
          <w:lang w:val="en-US" w:eastAsia="zh-CN"/>
        </w:rPr>
        <w:t xml:space="preserve">   </w:t>
      </w:r>
      <w:r>
        <w:rPr>
          <w:rFonts w:ascii="宋体" w:hAnsi="宋体"/>
          <w:b/>
          <w:bCs/>
          <w:i/>
          <w:iCs/>
          <w:sz w:val="21"/>
          <w:szCs w:val="21"/>
          <w:u w:val="single"/>
        </w:rPr>
        <w:t>（标的名称）</w:t>
      </w:r>
      <w:r>
        <w:rPr>
          <w:rFonts w:ascii="宋体" w:hAnsi="宋体" w:hint="eastAsia"/>
          <w:b/>
          <w:bCs/>
          <w:i/>
          <w:iCs/>
          <w:sz w:val="21"/>
          <w:szCs w:val="21"/>
          <w:u w:val="single"/>
          <w:lang w:val="en-US" w:eastAsia="zh-CN"/>
        </w:rPr>
        <w:t xml:space="preserve">    </w:t>
      </w:r>
      <w:r>
        <w:rPr>
          <w:rFonts w:ascii="宋体" w:hAnsi="宋体" w:hint="eastAsia"/>
          <w:sz w:val="21"/>
          <w:szCs w:val="21"/>
        </w:rPr>
        <w:t>，</w:t>
      </w:r>
      <w:r>
        <w:rPr>
          <w:rFonts w:ascii="宋体" w:hAnsi="宋体"/>
          <w:sz w:val="21"/>
          <w:szCs w:val="21"/>
        </w:rPr>
        <w:t>制造商为</w:t>
      </w:r>
      <w:r>
        <w:rPr>
          <w:rFonts w:ascii="宋体" w:hAnsi="宋体" w:hint="eastAsia"/>
          <w:sz w:val="21"/>
          <w:szCs w:val="21"/>
          <w:u w:val="single"/>
          <w:lang w:val="en-US" w:eastAsia="zh-CN"/>
        </w:rPr>
        <w:t xml:space="preserve">    </w:t>
      </w:r>
      <w:r>
        <w:rPr>
          <w:rFonts w:ascii="宋体" w:hAnsi="宋体"/>
          <w:b/>
          <w:bCs/>
          <w:i/>
          <w:iCs/>
          <w:sz w:val="21"/>
          <w:szCs w:val="21"/>
          <w:u w:val="single"/>
        </w:rPr>
        <w:t>（</w:t>
      </w:r>
      <w:r>
        <w:rPr>
          <w:rFonts w:ascii="宋体" w:hAnsi="宋体" w:hint="eastAsia"/>
          <w:b/>
          <w:bCs/>
          <w:i/>
          <w:iCs/>
          <w:sz w:val="21"/>
          <w:szCs w:val="21"/>
          <w:u w:val="single"/>
        </w:rPr>
        <w:t>企业</w:t>
      </w:r>
      <w:r>
        <w:rPr>
          <w:rFonts w:ascii="宋体" w:hAnsi="宋体"/>
          <w:b/>
          <w:bCs/>
          <w:i/>
          <w:iCs/>
          <w:sz w:val="21"/>
          <w:szCs w:val="21"/>
          <w:u w:val="single"/>
        </w:rPr>
        <w:t>名称）</w:t>
      </w:r>
      <w:r>
        <w:rPr>
          <w:rFonts w:ascii="宋体" w:hAnsi="宋体" w:hint="eastAsia"/>
          <w:b/>
          <w:bCs/>
          <w:i/>
          <w:iCs/>
          <w:sz w:val="21"/>
          <w:szCs w:val="21"/>
          <w:u w:val="single"/>
          <w:lang w:val="en-US" w:eastAsia="zh-CN"/>
        </w:rPr>
        <w:t xml:space="preserve">    </w:t>
      </w:r>
      <w:r>
        <w:rPr>
          <w:rFonts w:ascii="宋体" w:hAnsi="宋体"/>
          <w:sz w:val="21"/>
          <w:szCs w:val="21"/>
        </w:rPr>
        <w:t>，属于</w:t>
      </w:r>
      <w:r>
        <w:rPr>
          <w:rFonts w:ascii="宋体" w:hAnsi="宋体" w:hint="eastAsia"/>
          <w:sz w:val="21"/>
          <w:szCs w:val="21"/>
          <w:u w:val="single"/>
          <w:lang w:val="en-US" w:eastAsia="zh-CN"/>
        </w:rPr>
        <w:t xml:space="preserve">  </w:t>
      </w:r>
      <w:r>
        <w:rPr>
          <w:rFonts w:ascii="宋体" w:hAnsi="宋体" w:hint="eastAsia"/>
          <w:b/>
          <w:bCs/>
          <w:sz w:val="21"/>
          <w:szCs w:val="21"/>
          <w:u w:val="single"/>
        </w:rPr>
        <w:t>监狱企业</w:t>
      </w:r>
      <w:r>
        <w:rPr>
          <w:rFonts w:ascii="宋体" w:hAnsi="宋体" w:hint="eastAsia"/>
          <w:b/>
          <w:bCs/>
          <w:sz w:val="21"/>
          <w:szCs w:val="21"/>
          <w:u w:val="single"/>
          <w:lang w:val="en-US" w:eastAsia="zh-CN"/>
        </w:rPr>
        <w:t xml:space="preserve">  </w:t>
      </w:r>
      <w:r>
        <w:rPr>
          <w:rFonts w:ascii="宋体" w:hAnsi="宋体"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ascii="宋体" w:hAnsi="宋体" w:cstheme="minorBidi" w:hint="eastAsia"/>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ascii="宋体" w:hAnsi="宋体" w:hint="eastAsia"/>
          <w:sz w:val="21"/>
          <w:szCs w:val="21"/>
        </w:rPr>
        <w:t>附：省级以上监狱管理局、戒毒管理局（含新疆生产建设兵团）出具的监狱企业证明文件。</w:t>
      </w:r>
      <w:bookmarkEnd w:id="61"/>
    </w:p>
    <w:p>
      <w:pPr>
        <w:pStyle w:val="Heading3"/>
        <w:jc w:val="center"/>
        <w:rPr>
          <w:rFonts w:ascii="黑体" w:eastAsia="黑体"/>
          <w:b w:val="0"/>
          <w:sz w:val="24"/>
          <w:szCs w:val="24"/>
        </w:rPr>
      </w:pPr>
      <w:bookmarkStart w:id="65" w:name="_Hlk72259976"/>
      <w:r>
        <w:rPr>
          <w:rFonts w:ascii="黑体" w:eastAsia="黑体" w:hint="eastAsia"/>
          <w:b w:val="0"/>
          <w:sz w:val="24"/>
          <w:szCs w:val="24"/>
        </w:rPr>
        <w:t>四、项目详细报价</w:t>
      </w:r>
    </w:p>
    <w:p>
      <w:pPr>
        <w:tabs>
          <w:tab w:val="left" w:pos="720"/>
        </w:tabs>
        <w:ind w:firstLine="2730" w:firstLineChars="1300"/>
        <w:rPr>
          <w:b/>
          <w:sz w:val="24"/>
        </w:rPr>
      </w:pPr>
      <w:r>
        <w:rPr>
          <w:rFonts w:hint="eastAsia"/>
          <w:b/>
          <w:sz w:val="24"/>
        </w:rPr>
        <w:t>（一）分项报价表</w:t>
      </w:r>
    </w:p>
    <w:tbl>
      <w:tblPr>
        <w:tblStyle w:val="TableNormal"/>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
        <w:gridCol w:w="1268"/>
        <w:gridCol w:w="952"/>
        <w:gridCol w:w="537"/>
        <w:gridCol w:w="537"/>
        <w:gridCol w:w="453"/>
        <w:gridCol w:w="557"/>
        <w:gridCol w:w="426"/>
        <w:gridCol w:w="426"/>
        <w:gridCol w:w="846"/>
        <w:gridCol w:w="566"/>
        <w:gridCol w:w="566"/>
        <w:gridCol w:w="959"/>
      </w:tblGrid>
      <w:tr>
        <w:tblPrEx>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序号</w:t>
            </w:r>
          </w:p>
        </w:tc>
        <w:tc>
          <w:tcPr>
            <w:tcW w:w="745"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采购计划编号</w:t>
            </w:r>
          </w:p>
        </w:tc>
        <w:tc>
          <w:tcPr>
            <w:tcW w:w="559"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货物名称</w:t>
            </w:r>
          </w:p>
        </w:tc>
        <w:tc>
          <w:tcPr>
            <w:tcW w:w="315" w:type="pct"/>
            <w:vAlign w:val="center"/>
          </w:tcPr>
          <w:p>
            <w:pPr>
              <w:jc w:val="center"/>
              <w:rPr>
                <w:rFonts w:ascii="Times New Roman" w:eastAsia="宋体" w:hAnsi="Times New Roman" w:cs="Times New Roman" w:hint="eastAsia"/>
                <w:bCs/>
                <w:szCs w:val="21"/>
              </w:rPr>
            </w:pPr>
            <w:r>
              <w:rPr>
                <w:rFonts w:ascii="Times New Roman" w:eastAsia="宋体" w:hAnsi="Times New Roman" w:cs="Times New Roman" w:hint="eastAsia"/>
                <w:szCs w:val="21"/>
              </w:rPr>
              <w:t>品牌</w:t>
            </w:r>
          </w:p>
        </w:tc>
        <w:tc>
          <w:tcPr>
            <w:tcW w:w="315"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规格/型号</w:t>
            </w:r>
          </w:p>
        </w:tc>
        <w:tc>
          <w:tcPr>
            <w:tcW w:w="266"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
                <w:color w:val="FF0000"/>
                <w:szCs w:val="21"/>
              </w:rPr>
              <w:t>原产地</w:t>
            </w:r>
          </w:p>
        </w:tc>
        <w:tc>
          <w:tcPr>
            <w:tcW w:w="327"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制造商名称</w:t>
            </w:r>
          </w:p>
        </w:tc>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数量</w:t>
            </w:r>
          </w:p>
        </w:tc>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单位</w:t>
            </w:r>
          </w:p>
        </w:tc>
        <w:tc>
          <w:tcPr>
            <w:tcW w:w="496" w:type="pct"/>
            <w:vAlign w:val="center"/>
          </w:tcPr>
          <w:p>
            <w:pPr>
              <w:jc w:val="center"/>
              <w:rPr>
                <w:rFonts w:ascii="Times New Roman" w:eastAsia="宋体" w:hAnsi="Times New Roman" w:cs="Times New Roman" w:hint="eastAsia"/>
                <w:bCs/>
                <w:szCs w:val="21"/>
                <w:lang w:val="en-US" w:eastAsia="zh-CN"/>
              </w:rPr>
            </w:pPr>
            <w:r>
              <w:rPr>
                <w:rFonts w:cs="Times New Roman" w:hint="eastAsia"/>
                <w:bCs/>
                <w:szCs w:val="21"/>
                <w:lang w:val="en-US" w:eastAsia="zh-CN"/>
              </w:rPr>
              <w:t>单价最高限价（元）</w:t>
            </w:r>
          </w:p>
        </w:tc>
        <w:tc>
          <w:tcPr>
            <w:tcW w:w="332"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单价(元)</w:t>
            </w:r>
          </w:p>
        </w:tc>
        <w:tc>
          <w:tcPr>
            <w:tcW w:w="332"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合价(元)</w:t>
            </w:r>
          </w:p>
        </w:tc>
        <w:tc>
          <w:tcPr>
            <w:tcW w:w="559" w:type="pct"/>
            <w:vAlign w:val="center"/>
          </w:tcPr>
          <w:p>
            <w:pPr>
              <w:jc w:val="center"/>
              <w:rPr>
                <w:rFonts w:ascii="Times New Roman" w:eastAsia="宋体" w:hAnsi="Times New Roman" w:cs="Times New Roman"/>
                <w:szCs w:val="21"/>
              </w:rPr>
            </w:pPr>
            <w:r>
              <w:rPr>
                <w:rFonts w:ascii="Times New Roman" w:eastAsia="宋体" w:hAnsi="Times New Roman" w:cs="Times New Roman" w:hint="eastAsia"/>
                <w:szCs w:val="21"/>
              </w:rPr>
              <w:t>预算金额（元）</w:t>
            </w:r>
          </w:p>
        </w:tc>
      </w:tr>
      <w:tr>
        <w:tblPrEx>
          <w:tblW w:w="4994" w:type="pct"/>
          <w:jc w:val="center"/>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1</w:t>
            </w:r>
          </w:p>
        </w:tc>
        <w:tc>
          <w:tcPr>
            <w:tcW w:w="745" w:type="pct"/>
            <w:vMerge w:val="restart"/>
            <w:vAlign w:val="center"/>
          </w:tcPr>
          <w:p>
            <w:pPr>
              <w:jc w:val="center"/>
              <w:rPr>
                <w:rFonts w:ascii="Times New Roman" w:eastAsia="宋体" w:hAnsi="Times New Roman" w:cs="Times New Roman"/>
                <w:bCs/>
                <w:szCs w:val="21"/>
              </w:rPr>
            </w:pPr>
            <w:r>
              <w:rPr>
                <w:rFonts w:ascii="Times New Roman" w:eastAsia="宋体" w:hAnsi="Times New Roman" w:cs="Times New Roman"/>
                <w:bCs/>
                <w:szCs w:val="21"/>
              </w:rPr>
              <w:t>PLAN-2025-440312000-021004-05986</w:t>
            </w:r>
          </w:p>
        </w:tc>
        <w:tc>
          <w:tcPr>
            <w:tcW w:w="559" w:type="pct"/>
            <w:vAlign w:val="center"/>
          </w:tcPr>
          <w:p>
            <w:pPr>
              <w:jc w:val="center"/>
              <w:rPr>
                <w:rFonts w:ascii="Times New Roman" w:eastAsia="宋体" w:hAnsi="Times New Roman" w:cs="Times New Roman"/>
                <w:bCs/>
                <w:szCs w:val="21"/>
              </w:rPr>
            </w:pPr>
            <w:r>
              <w:rPr>
                <w:rFonts w:ascii="Times New Roman" w:eastAsia="宋体" w:hAnsi="Times New Roman" w:cs="Times New Roman" w:hint="default"/>
                <w:bCs/>
                <w:szCs w:val="21"/>
                <w:lang w:val="en-US"/>
              </w:rPr>
              <w:t>双位联动磁场刺激仪</w:t>
            </w:r>
          </w:p>
        </w:tc>
        <w:tc>
          <w:tcPr>
            <w:tcW w:w="315" w:type="pct"/>
            <w:vAlign w:val="center"/>
          </w:tcPr>
          <w:p>
            <w:pPr>
              <w:jc w:val="center"/>
              <w:rPr>
                <w:rFonts w:ascii="Times New Roman" w:eastAsia="宋体" w:hAnsi="Times New Roman" w:cs="Times New Roman" w:hint="eastAsia"/>
                <w:bCs/>
                <w:szCs w:val="21"/>
              </w:rPr>
            </w:pPr>
          </w:p>
        </w:tc>
        <w:tc>
          <w:tcPr>
            <w:tcW w:w="315" w:type="pct"/>
            <w:vAlign w:val="center"/>
          </w:tcPr>
          <w:p>
            <w:pPr>
              <w:jc w:val="center"/>
              <w:rPr>
                <w:rFonts w:ascii="Times New Roman" w:eastAsia="宋体" w:hAnsi="Times New Roman" w:cs="Times New Roman"/>
                <w:bCs/>
                <w:szCs w:val="21"/>
              </w:rPr>
            </w:pPr>
          </w:p>
        </w:tc>
        <w:tc>
          <w:tcPr>
            <w:tcW w:w="266" w:type="pct"/>
            <w:vAlign w:val="center"/>
          </w:tcPr>
          <w:p>
            <w:pPr>
              <w:jc w:val="center"/>
              <w:rPr>
                <w:rFonts w:ascii="Times New Roman" w:eastAsia="宋体" w:hAnsi="Times New Roman" w:cs="Times New Roman"/>
                <w:bCs/>
                <w:szCs w:val="21"/>
              </w:rPr>
            </w:pPr>
          </w:p>
        </w:tc>
        <w:tc>
          <w:tcPr>
            <w:tcW w:w="327" w:type="pct"/>
            <w:vAlign w:val="center"/>
          </w:tcPr>
          <w:p>
            <w:pPr>
              <w:jc w:val="center"/>
              <w:rPr>
                <w:rFonts w:ascii="Times New Roman" w:eastAsia="宋体" w:hAnsi="Times New Roman" w:cs="Times New Roman"/>
                <w:bCs/>
                <w:szCs w:val="21"/>
              </w:rPr>
            </w:pPr>
          </w:p>
        </w:tc>
        <w:tc>
          <w:tcPr>
            <w:tcW w:w="250" w:type="pct"/>
            <w:vAlign w:val="center"/>
          </w:tcPr>
          <w:p>
            <w:pPr>
              <w:jc w:val="center"/>
              <w:rPr>
                <w:rFonts w:ascii="Times New Roman" w:eastAsia="宋体" w:hAnsi="Times New Roman" w:cs="Times New Roman"/>
                <w:bCs/>
                <w:szCs w:val="21"/>
              </w:rPr>
            </w:pPr>
            <w:r>
              <w:rPr>
                <w:rFonts w:cs="Times New Roman" w:hint="eastAsia"/>
                <w:lang w:val="en-US" w:eastAsia="zh-CN"/>
              </w:rPr>
              <w:t>1</w:t>
            </w:r>
          </w:p>
        </w:tc>
        <w:tc>
          <w:tcPr>
            <w:tcW w:w="250" w:type="pct"/>
            <w:vAlign w:val="center"/>
          </w:tcPr>
          <w:p>
            <w:pPr>
              <w:jc w:val="center"/>
              <w:rPr>
                <w:rFonts w:ascii="Times New Roman" w:eastAsia="宋体" w:hAnsi="Times New Roman" w:cs="Times New Roman"/>
                <w:bCs/>
                <w:szCs w:val="21"/>
              </w:rPr>
            </w:pPr>
            <w:r>
              <w:rPr>
                <w:rFonts w:cs="Times New Roman" w:hint="eastAsia"/>
                <w:bCs/>
                <w:szCs w:val="21"/>
                <w:lang w:val="en-US" w:eastAsia="zh-CN"/>
              </w:rPr>
              <w:t>台</w:t>
            </w:r>
          </w:p>
        </w:tc>
        <w:tc>
          <w:tcPr>
            <w:tcW w:w="496" w:type="pct"/>
            <w:vAlign w:val="center"/>
          </w:tcPr>
          <w:p>
            <w:pPr>
              <w:jc w:val="center"/>
              <w:rPr>
                <w:rFonts w:cs="Times New Roman" w:hint="eastAsia"/>
                <w:bCs/>
                <w:szCs w:val="21"/>
                <w:lang w:val="en-US" w:eastAsia="zh-CN"/>
              </w:rPr>
            </w:pPr>
            <w:r>
              <w:rPr>
                <w:rFonts w:cs="Times New Roman" w:hint="eastAsia"/>
                <w:bCs/>
                <w:szCs w:val="21"/>
                <w:lang w:val="en-US" w:eastAsia="zh-CN"/>
              </w:rPr>
              <w:t>594300</w:t>
            </w:r>
          </w:p>
        </w:tc>
        <w:tc>
          <w:tcPr>
            <w:tcW w:w="332" w:type="pct"/>
            <w:vAlign w:val="center"/>
          </w:tcPr>
          <w:p>
            <w:pPr>
              <w:jc w:val="center"/>
              <w:rPr>
                <w:rFonts w:ascii="Times New Roman" w:eastAsia="宋体" w:hAnsi="Times New Roman" w:cs="Times New Roman"/>
                <w:bCs/>
                <w:szCs w:val="21"/>
              </w:rPr>
            </w:pPr>
          </w:p>
        </w:tc>
        <w:tc>
          <w:tcPr>
            <w:tcW w:w="332" w:type="pct"/>
            <w:vAlign w:val="center"/>
          </w:tcPr>
          <w:p>
            <w:pPr>
              <w:jc w:val="center"/>
              <w:rPr>
                <w:rFonts w:ascii="Times New Roman" w:eastAsia="宋体" w:hAnsi="Times New Roman" w:cs="Times New Roman"/>
                <w:bCs/>
                <w:szCs w:val="21"/>
              </w:rPr>
            </w:pPr>
          </w:p>
        </w:tc>
        <w:tc>
          <w:tcPr>
            <w:tcW w:w="559" w:type="pct"/>
            <w:vMerge w:val="restart"/>
            <w:vAlign w:val="center"/>
          </w:tcPr>
          <w:p>
            <w:pPr>
              <w:jc w:val="center"/>
              <w:rPr>
                <w:rFonts w:ascii="Times New Roman" w:eastAsia="宋体" w:hAnsi="Times New Roman" w:cs="Times New Roman" w:hint="default"/>
                <w:b/>
                <w:bCs/>
                <w:szCs w:val="21"/>
                <w:lang w:val="en-US" w:eastAsia="zh-CN"/>
              </w:rPr>
            </w:pPr>
            <w:r>
              <w:rPr>
                <w:rFonts w:cs="Times New Roman" w:hint="eastAsia"/>
                <w:bCs/>
                <w:szCs w:val="21"/>
                <w:lang w:val="en-US" w:eastAsia="zh-CN"/>
              </w:rPr>
              <w:t>1090500</w:t>
            </w:r>
          </w:p>
        </w:tc>
      </w:tr>
      <w:tr>
        <w:tblPrEx>
          <w:tblW w:w="4994" w:type="pct"/>
          <w:jc w:val="center"/>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2</w:t>
            </w:r>
          </w:p>
        </w:tc>
        <w:tc>
          <w:tcPr>
            <w:tcW w:w="745" w:type="pct"/>
            <w:vMerge/>
            <w:vAlign w:val="center"/>
          </w:tcPr>
          <w:p>
            <w:pPr>
              <w:jc w:val="center"/>
              <w:rPr>
                <w:rFonts w:ascii="Times New Roman" w:eastAsia="宋体" w:hAnsi="Times New Roman" w:cs="Times New Roman"/>
                <w:bCs/>
                <w:szCs w:val="21"/>
              </w:rPr>
            </w:pPr>
          </w:p>
        </w:tc>
        <w:tc>
          <w:tcPr>
            <w:tcW w:w="559" w:type="pct"/>
            <w:vAlign w:val="center"/>
          </w:tcPr>
          <w:p>
            <w:pPr>
              <w:jc w:val="center"/>
              <w:rPr>
                <w:rFonts w:ascii="Times New Roman" w:eastAsia="宋体" w:hAnsi="Times New Roman" w:cs="Times New Roman"/>
                <w:bCs/>
                <w:szCs w:val="21"/>
              </w:rPr>
            </w:pPr>
            <w:r>
              <w:rPr>
                <w:rFonts w:ascii="Times New Roman" w:eastAsia="宋体" w:hAnsi="Times New Roman" w:cs="Times New Roman" w:hint="default"/>
                <w:bCs/>
                <w:szCs w:val="21"/>
                <w:lang w:val="en-US"/>
              </w:rPr>
              <w:t>压电式冲击波治疗仪</w:t>
            </w:r>
          </w:p>
        </w:tc>
        <w:tc>
          <w:tcPr>
            <w:tcW w:w="315" w:type="pct"/>
            <w:vAlign w:val="center"/>
          </w:tcPr>
          <w:p>
            <w:pPr>
              <w:jc w:val="center"/>
              <w:rPr>
                <w:rFonts w:ascii="Times New Roman" w:eastAsia="宋体" w:hAnsi="Times New Roman" w:cs="Times New Roman" w:hint="eastAsia"/>
                <w:bCs/>
                <w:szCs w:val="21"/>
              </w:rPr>
            </w:pPr>
          </w:p>
        </w:tc>
        <w:tc>
          <w:tcPr>
            <w:tcW w:w="315" w:type="pct"/>
            <w:vAlign w:val="center"/>
          </w:tcPr>
          <w:p>
            <w:pPr>
              <w:jc w:val="center"/>
              <w:rPr>
                <w:rFonts w:ascii="Times New Roman" w:eastAsia="宋体" w:hAnsi="Times New Roman" w:cs="Times New Roman"/>
                <w:bCs/>
                <w:szCs w:val="21"/>
              </w:rPr>
            </w:pPr>
          </w:p>
        </w:tc>
        <w:tc>
          <w:tcPr>
            <w:tcW w:w="266" w:type="pct"/>
            <w:vAlign w:val="center"/>
          </w:tcPr>
          <w:p>
            <w:pPr>
              <w:jc w:val="center"/>
              <w:rPr>
                <w:rFonts w:ascii="Times New Roman" w:eastAsia="宋体" w:hAnsi="Times New Roman" w:cs="Times New Roman"/>
                <w:bCs/>
                <w:szCs w:val="21"/>
              </w:rPr>
            </w:pPr>
          </w:p>
        </w:tc>
        <w:tc>
          <w:tcPr>
            <w:tcW w:w="327" w:type="pct"/>
            <w:vAlign w:val="center"/>
          </w:tcPr>
          <w:p>
            <w:pPr>
              <w:jc w:val="center"/>
              <w:rPr>
                <w:rFonts w:ascii="Times New Roman" w:eastAsia="宋体" w:hAnsi="Times New Roman" w:cs="Times New Roman"/>
                <w:bCs/>
                <w:szCs w:val="21"/>
              </w:rPr>
            </w:pPr>
          </w:p>
        </w:tc>
        <w:tc>
          <w:tcPr>
            <w:tcW w:w="250" w:type="pct"/>
            <w:vAlign w:val="center"/>
          </w:tcPr>
          <w:p>
            <w:pPr>
              <w:jc w:val="center"/>
              <w:rPr>
                <w:rFonts w:ascii="Times New Roman" w:eastAsia="宋体" w:hAnsi="Times New Roman" w:cs="Times New Roman"/>
                <w:bCs/>
                <w:szCs w:val="21"/>
              </w:rPr>
            </w:pPr>
            <w:r>
              <w:rPr>
                <w:rFonts w:cs="Times New Roman" w:hint="eastAsia"/>
                <w:lang w:val="en-US" w:eastAsia="zh-CN"/>
              </w:rPr>
              <w:t>1</w:t>
            </w:r>
          </w:p>
        </w:tc>
        <w:tc>
          <w:tcPr>
            <w:tcW w:w="250" w:type="pct"/>
            <w:vAlign w:val="center"/>
          </w:tcPr>
          <w:p>
            <w:pPr>
              <w:jc w:val="center"/>
              <w:rPr>
                <w:rFonts w:ascii="Times New Roman" w:eastAsia="宋体" w:hAnsi="Times New Roman" w:cs="Times New Roman"/>
                <w:bCs/>
                <w:szCs w:val="21"/>
              </w:rPr>
            </w:pPr>
            <w:r>
              <w:rPr>
                <w:rFonts w:cs="Times New Roman" w:hint="eastAsia"/>
                <w:bCs/>
                <w:szCs w:val="21"/>
                <w:lang w:val="en-US" w:eastAsia="zh-CN"/>
              </w:rPr>
              <w:t>台</w:t>
            </w:r>
          </w:p>
        </w:tc>
        <w:tc>
          <w:tcPr>
            <w:tcW w:w="496" w:type="pct"/>
            <w:vAlign w:val="center"/>
          </w:tcPr>
          <w:p>
            <w:pPr>
              <w:jc w:val="center"/>
              <w:rPr>
                <w:rFonts w:cs="Times New Roman" w:hint="eastAsia"/>
                <w:bCs/>
                <w:szCs w:val="21"/>
                <w:lang w:val="en-US" w:eastAsia="zh-CN"/>
              </w:rPr>
            </w:pPr>
            <w:r>
              <w:rPr>
                <w:rFonts w:cs="Times New Roman" w:hint="eastAsia"/>
                <w:bCs/>
                <w:szCs w:val="21"/>
                <w:lang w:val="en-US" w:eastAsia="zh-CN"/>
              </w:rPr>
              <w:t>333600</w:t>
            </w:r>
          </w:p>
        </w:tc>
        <w:tc>
          <w:tcPr>
            <w:tcW w:w="332" w:type="pct"/>
            <w:vAlign w:val="center"/>
          </w:tcPr>
          <w:p>
            <w:pPr>
              <w:jc w:val="center"/>
              <w:rPr>
                <w:rFonts w:ascii="Times New Roman" w:eastAsia="宋体" w:hAnsi="Times New Roman" w:cs="Times New Roman"/>
                <w:bCs/>
                <w:szCs w:val="21"/>
              </w:rPr>
            </w:pPr>
          </w:p>
        </w:tc>
        <w:tc>
          <w:tcPr>
            <w:tcW w:w="332" w:type="pct"/>
            <w:vAlign w:val="center"/>
          </w:tcPr>
          <w:p>
            <w:pPr>
              <w:jc w:val="center"/>
              <w:rPr>
                <w:rFonts w:ascii="Times New Roman" w:eastAsia="宋体" w:hAnsi="Times New Roman" w:cs="Times New Roman"/>
                <w:bCs/>
                <w:szCs w:val="21"/>
              </w:rPr>
            </w:pPr>
          </w:p>
        </w:tc>
        <w:tc>
          <w:tcPr>
            <w:tcW w:w="559" w:type="pct"/>
            <w:vMerge/>
            <w:vAlign w:val="center"/>
          </w:tcPr>
          <w:p>
            <w:pPr>
              <w:jc w:val="center"/>
              <w:rPr>
                <w:rFonts w:ascii="Times New Roman" w:eastAsia="宋体" w:hAnsi="Times New Roman" w:cs="Times New Roman"/>
                <w:b/>
                <w:bCs/>
                <w:color w:val="FF0000"/>
                <w:szCs w:val="21"/>
              </w:rPr>
            </w:pPr>
          </w:p>
        </w:tc>
      </w:tr>
      <w:tr>
        <w:tblPrEx>
          <w:tblW w:w="4994" w:type="pct"/>
          <w:jc w:val="center"/>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3</w:t>
            </w:r>
          </w:p>
        </w:tc>
        <w:tc>
          <w:tcPr>
            <w:tcW w:w="745" w:type="pct"/>
            <w:vMerge/>
            <w:vAlign w:val="center"/>
          </w:tcPr>
          <w:p>
            <w:pPr>
              <w:jc w:val="center"/>
              <w:rPr>
                <w:rFonts w:ascii="Times New Roman" w:eastAsia="宋体" w:hAnsi="Times New Roman" w:cs="Times New Roman"/>
                <w:bCs/>
                <w:szCs w:val="21"/>
              </w:rPr>
            </w:pPr>
          </w:p>
        </w:tc>
        <w:tc>
          <w:tcPr>
            <w:tcW w:w="559" w:type="pct"/>
            <w:vAlign w:val="center"/>
          </w:tcPr>
          <w:p>
            <w:pPr>
              <w:jc w:val="center"/>
              <w:rPr>
                <w:rFonts w:ascii="Times New Roman" w:eastAsia="宋体" w:hAnsi="Times New Roman" w:cs="Times New Roman"/>
                <w:bCs/>
                <w:szCs w:val="21"/>
              </w:rPr>
            </w:pPr>
            <w:r>
              <w:rPr>
                <w:rFonts w:ascii="Times New Roman" w:eastAsia="宋体" w:hAnsi="Times New Roman" w:cs="Times New Roman" w:hint="default"/>
                <w:bCs/>
                <w:szCs w:val="21"/>
                <w:lang w:val="en-US"/>
              </w:rPr>
              <w:t>生物刺激反馈仪</w:t>
            </w:r>
          </w:p>
        </w:tc>
        <w:tc>
          <w:tcPr>
            <w:tcW w:w="315" w:type="pct"/>
            <w:vAlign w:val="center"/>
          </w:tcPr>
          <w:p>
            <w:pPr>
              <w:jc w:val="center"/>
              <w:rPr>
                <w:rFonts w:ascii="Times New Roman" w:eastAsia="宋体" w:hAnsi="Times New Roman" w:cs="Times New Roman" w:hint="eastAsia"/>
                <w:bCs/>
                <w:szCs w:val="21"/>
              </w:rPr>
            </w:pPr>
          </w:p>
        </w:tc>
        <w:tc>
          <w:tcPr>
            <w:tcW w:w="315" w:type="pct"/>
            <w:vAlign w:val="center"/>
          </w:tcPr>
          <w:p>
            <w:pPr>
              <w:jc w:val="center"/>
              <w:rPr>
                <w:rFonts w:ascii="Times New Roman" w:eastAsia="宋体" w:hAnsi="Times New Roman" w:cs="Times New Roman"/>
                <w:bCs/>
                <w:szCs w:val="21"/>
              </w:rPr>
            </w:pPr>
          </w:p>
        </w:tc>
        <w:tc>
          <w:tcPr>
            <w:tcW w:w="266" w:type="pct"/>
            <w:vAlign w:val="center"/>
          </w:tcPr>
          <w:p>
            <w:pPr>
              <w:jc w:val="center"/>
              <w:rPr>
                <w:rFonts w:ascii="Times New Roman" w:eastAsia="宋体" w:hAnsi="Times New Roman" w:cs="Times New Roman"/>
                <w:bCs/>
                <w:szCs w:val="21"/>
              </w:rPr>
            </w:pPr>
          </w:p>
        </w:tc>
        <w:tc>
          <w:tcPr>
            <w:tcW w:w="327" w:type="pct"/>
            <w:vAlign w:val="center"/>
          </w:tcPr>
          <w:p>
            <w:pPr>
              <w:jc w:val="center"/>
              <w:rPr>
                <w:rFonts w:ascii="Times New Roman" w:eastAsia="宋体" w:hAnsi="Times New Roman" w:cs="Times New Roman"/>
                <w:bCs/>
                <w:szCs w:val="21"/>
              </w:rPr>
            </w:pPr>
          </w:p>
        </w:tc>
        <w:tc>
          <w:tcPr>
            <w:tcW w:w="250" w:type="pct"/>
            <w:vAlign w:val="center"/>
          </w:tcPr>
          <w:p>
            <w:pPr>
              <w:jc w:val="center"/>
              <w:rPr>
                <w:rFonts w:ascii="Times New Roman" w:eastAsia="宋体" w:hAnsi="Times New Roman" w:cs="Times New Roman"/>
                <w:bCs/>
                <w:szCs w:val="21"/>
              </w:rPr>
            </w:pPr>
            <w:r>
              <w:rPr>
                <w:rFonts w:cs="Times New Roman" w:hint="eastAsia"/>
                <w:lang w:val="en-US" w:eastAsia="zh-CN"/>
              </w:rPr>
              <w:t>2</w:t>
            </w:r>
          </w:p>
        </w:tc>
        <w:tc>
          <w:tcPr>
            <w:tcW w:w="250" w:type="pct"/>
            <w:vAlign w:val="center"/>
          </w:tcPr>
          <w:p>
            <w:pPr>
              <w:jc w:val="center"/>
              <w:rPr>
                <w:rFonts w:ascii="Times New Roman" w:eastAsia="宋体" w:hAnsi="Times New Roman" w:cs="Times New Roman"/>
                <w:bCs/>
                <w:szCs w:val="21"/>
              </w:rPr>
            </w:pPr>
            <w:r>
              <w:rPr>
                <w:rFonts w:cs="Times New Roman" w:hint="eastAsia"/>
                <w:bCs/>
                <w:szCs w:val="21"/>
                <w:lang w:val="en-US" w:eastAsia="zh-CN"/>
              </w:rPr>
              <w:t>台</w:t>
            </w:r>
          </w:p>
        </w:tc>
        <w:tc>
          <w:tcPr>
            <w:tcW w:w="496" w:type="pct"/>
            <w:vAlign w:val="center"/>
          </w:tcPr>
          <w:p>
            <w:pPr>
              <w:jc w:val="center"/>
              <w:rPr>
                <w:rFonts w:cs="Times New Roman" w:hint="eastAsia"/>
                <w:bCs/>
                <w:szCs w:val="21"/>
                <w:lang w:val="en-US" w:eastAsia="zh-CN"/>
              </w:rPr>
            </w:pPr>
            <w:r>
              <w:rPr>
                <w:rFonts w:cs="Times New Roman" w:hint="eastAsia"/>
                <w:bCs/>
                <w:szCs w:val="21"/>
                <w:lang w:val="en-US" w:eastAsia="zh-CN"/>
              </w:rPr>
              <w:t>81300</w:t>
            </w:r>
          </w:p>
        </w:tc>
        <w:tc>
          <w:tcPr>
            <w:tcW w:w="332" w:type="pct"/>
            <w:vAlign w:val="center"/>
          </w:tcPr>
          <w:p>
            <w:pPr>
              <w:jc w:val="center"/>
              <w:rPr>
                <w:rFonts w:ascii="Times New Roman" w:eastAsia="宋体" w:hAnsi="Times New Roman" w:cs="Times New Roman"/>
                <w:bCs/>
                <w:szCs w:val="21"/>
              </w:rPr>
            </w:pPr>
          </w:p>
        </w:tc>
        <w:tc>
          <w:tcPr>
            <w:tcW w:w="332" w:type="pct"/>
            <w:vAlign w:val="center"/>
          </w:tcPr>
          <w:p>
            <w:pPr>
              <w:jc w:val="center"/>
              <w:rPr>
                <w:rFonts w:ascii="Times New Roman" w:eastAsia="宋体" w:hAnsi="Times New Roman" w:cs="Times New Roman"/>
                <w:bCs/>
                <w:szCs w:val="21"/>
              </w:rPr>
            </w:pPr>
          </w:p>
        </w:tc>
        <w:tc>
          <w:tcPr>
            <w:tcW w:w="559" w:type="pct"/>
            <w:vMerge/>
            <w:vAlign w:val="center"/>
          </w:tcPr>
          <w:p>
            <w:pPr>
              <w:jc w:val="center"/>
              <w:rPr>
                <w:rFonts w:ascii="Times New Roman" w:eastAsia="宋体" w:hAnsi="Times New Roman" w:cs="Times New Roman"/>
                <w:b/>
                <w:bCs/>
                <w:szCs w:val="21"/>
              </w:rPr>
            </w:pPr>
          </w:p>
        </w:tc>
      </w:tr>
      <w:tr>
        <w:tblPrEx>
          <w:tblW w:w="4994" w:type="pct"/>
          <w:jc w:val="center"/>
          <w:tblCellMar>
            <w:top w:w="0" w:type="dxa"/>
            <w:left w:w="108" w:type="dxa"/>
            <w:bottom w:w="0" w:type="dxa"/>
            <w:right w:w="108" w:type="dxa"/>
          </w:tblCellMar>
        </w:tblPrEx>
        <w:trPr>
          <w:trHeight w:val="0"/>
          <w:jc w:val="center"/>
        </w:trPr>
        <w:tc>
          <w:tcPr>
            <w:tcW w:w="5000" w:type="pct"/>
            <w:gridSpan w:val="13"/>
            <w:vAlign w:val="center"/>
          </w:tcPr>
          <w:p>
            <w:pPr>
              <w:jc w:val="left"/>
              <w:rPr>
                <w:rFonts w:ascii="Times New Roman" w:eastAsia="宋体" w:hAnsi="Times New Roman" w:cs="Times New Roman" w:hint="eastAsia"/>
                <w:bCs/>
                <w:szCs w:val="21"/>
              </w:rPr>
            </w:pPr>
            <w:r>
              <w:rPr>
                <w:rFonts w:ascii="Times New Roman" w:eastAsia="宋体" w:hAnsi="Times New Roman" w:cs="Times New Roman" w:hint="eastAsia"/>
                <w:bCs/>
                <w:szCs w:val="21"/>
              </w:rPr>
              <w:t>合计（即投标总价；币种：人民币；单位：元） 小写：            大写：</w:t>
            </w:r>
          </w:p>
        </w:tc>
      </w:tr>
    </w:tbl>
    <w:p>
      <w:pPr>
        <w:ind w:firstLine="420" w:firstLineChars="200"/>
        <w:rPr>
          <w:rFonts w:ascii="宋体" w:hAnsi="宋体" w:hint="eastAsia"/>
          <w:b/>
          <w:sz w:val="24"/>
        </w:rPr>
      </w:pPr>
    </w:p>
    <w:p>
      <w:pPr>
        <w:ind w:firstLine="420" w:firstLineChars="200"/>
        <w:rPr>
          <w:rFonts w:ascii="宋体" w:hAnsi="宋体"/>
          <w:b/>
          <w:sz w:val="24"/>
        </w:rPr>
      </w:pPr>
      <w:r>
        <w:rPr>
          <w:rFonts w:ascii="宋体" w:hAnsi="宋体" w:hint="eastAsia"/>
          <w:b/>
          <w:sz w:val="24"/>
        </w:rPr>
        <w:t>注：1.本表可按同样格式扩展。</w:t>
      </w:r>
    </w:p>
    <w:p>
      <w:pPr>
        <w:ind w:firstLine="412" w:firstLineChars="196"/>
        <w:rPr>
          <w:rFonts w:ascii="宋体" w:eastAsia="宋体" w:hAnsi="宋体" w:hint="default"/>
          <w:b/>
          <w:sz w:val="24"/>
          <w:lang w:val="en-US" w:eastAsia="zh-CN"/>
        </w:rPr>
      </w:pPr>
      <w:r>
        <w:rPr>
          <w:rFonts w:ascii="宋体" w:hAnsi="宋体" w:hint="eastAsia"/>
          <w:b/>
          <w:sz w:val="24"/>
        </w:rPr>
        <w:t>2</w:t>
      </w:r>
      <w:r>
        <w:rPr>
          <w:rFonts w:ascii="宋体" w:hAnsi="宋体"/>
          <w:b/>
          <w:sz w:val="24"/>
        </w:rPr>
        <w:t>.</w:t>
      </w:r>
      <w:r>
        <w:rPr>
          <w:rFonts w:ascii="宋体" w:hAnsi="宋体" w:hint="eastAsia"/>
          <w:b/>
          <w:sz w:val="24"/>
          <w:lang w:eastAsia="zh-CN"/>
        </w:rPr>
        <w:t>“</w:t>
      </w:r>
      <w:r>
        <w:rPr>
          <w:rFonts w:ascii="宋体" w:hAnsi="宋体" w:hint="eastAsia"/>
          <w:b/>
          <w:sz w:val="24"/>
          <w:lang w:val="en-US" w:eastAsia="zh-CN"/>
        </w:rPr>
        <w:t>品牌</w:t>
      </w:r>
      <w:r>
        <w:rPr>
          <w:rFonts w:ascii="宋体" w:hAnsi="宋体" w:hint="eastAsia"/>
          <w:b/>
          <w:sz w:val="24"/>
          <w:lang w:eastAsia="zh-CN"/>
        </w:rPr>
        <w:t>”</w:t>
      </w:r>
      <w:r>
        <w:rPr>
          <w:rFonts w:ascii="宋体" w:hAnsi="宋体" w:hint="eastAsia"/>
          <w:b/>
          <w:sz w:val="24"/>
          <w:lang w:val="en-US" w:eastAsia="zh-CN"/>
        </w:rPr>
        <w:t>可以与商标一致，也可以填写便于区分其他公司商品的制造商简称或者制造商认可的品牌名称</w:t>
      </w:r>
      <w:r>
        <w:rPr>
          <w:rFonts w:ascii="宋体" w:hAnsi="宋体" w:hint="eastAsia"/>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12" w:firstLineChars="196"/>
        <w:rPr>
          <w:rFonts w:hint="eastAsia"/>
          <w:b/>
          <w:sz w:val="24"/>
        </w:rPr>
      </w:pPr>
      <w:r>
        <w:rPr>
          <w:rFonts w:ascii="宋体" w:hAnsi="宋体" w:hint="eastAsia"/>
          <w:b/>
          <w:sz w:val="24"/>
          <w:lang w:val="en-US" w:eastAsia="zh-CN"/>
        </w:rPr>
        <w:t>3.</w:t>
      </w:r>
      <w:r>
        <w:rPr>
          <w:rFonts w:ascii="宋体" w:hAnsi="宋体" w:hint="eastAsia"/>
          <w:b/>
          <w:sz w:val="24"/>
        </w:rPr>
        <w:t>如所投货物属于定制类的非量产货物或无具体型号的货物，可以在“规格/型号”</w:t>
      </w:r>
      <w:r>
        <w:rPr>
          <w:rFonts w:ascii="宋体" w:hAnsi="宋体" w:hint="eastAsia"/>
          <w:b/>
          <w:sz w:val="24"/>
          <w:lang w:val="en-US" w:eastAsia="zh-CN"/>
        </w:rPr>
        <w:t>栏目</w:t>
      </w:r>
      <w:r>
        <w:rPr>
          <w:rFonts w:ascii="宋体" w:hAnsi="宋体" w:hint="eastAsia"/>
          <w:b/>
          <w:sz w:val="24"/>
        </w:rPr>
        <w:t>仅填写规格信息而不填型号信息（型号信息用“定制”描述即可）；</w:t>
      </w:r>
      <w:bookmarkStart w:id="66" w:name="_Hlk73646428"/>
      <w:r>
        <w:rPr>
          <w:rFonts w:ascii="宋体" w:hAnsi="宋体" w:hint="eastAsia"/>
          <w:b/>
          <w:sz w:val="24"/>
        </w:rPr>
        <w:t>此类填写错误</w:t>
      </w:r>
      <w:r>
        <w:rPr>
          <w:rFonts w:ascii="宋体" w:hAnsi="宋体" w:hint="eastAsia"/>
          <w:b/>
          <w:sz w:val="24"/>
          <w:lang w:val="en-US" w:eastAsia="zh-CN"/>
        </w:rPr>
        <w:t>或缺漏</w:t>
      </w:r>
      <w:r>
        <w:rPr>
          <w:rFonts w:ascii="宋体" w:hAnsi="宋体" w:hint="eastAsia"/>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6"/>
    </w:p>
    <w:p>
      <w:pPr>
        <w:ind w:firstLine="412" w:firstLineChars="196"/>
        <w:rPr>
          <w:rFonts w:ascii="宋体" w:hAnsi="宋体"/>
          <w:b/>
          <w:sz w:val="24"/>
        </w:rPr>
      </w:pPr>
      <w:r>
        <w:rPr>
          <w:rFonts w:ascii="宋体" w:hAnsi="宋体"/>
          <w:b/>
          <w:sz w:val="24"/>
        </w:rPr>
        <w:t>3</w:t>
      </w:r>
      <w:r>
        <w:rPr>
          <w:rFonts w:ascii="宋体" w:hAnsi="宋体" w:hint="eastAsia"/>
          <w:b/>
          <w:sz w:val="24"/>
        </w:rPr>
        <w:t>.“原产地”是指货物的实际生产加工地，非品牌所在地</w:t>
      </w:r>
    </w:p>
    <w:p>
      <w:pPr>
        <w:ind w:firstLine="412" w:firstLineChars="196"/>
        <w:rPr>
          <w:rFonts w:ascii="宋体" w:hAnsi="宋体"/>
          <w:b/>
          <w:sz w:val="24"/>
        </w:rPr>
      </w:pPr>
      <w:r>
        <w:rPr>
          <w:rFonts w:ascii="宋体" w:hAnsi="宋体"/>
          <w:b/>
          <w:sz w:val="24"/>
        </w:rPr>
        <w:t>4</w:t>
      </w:r>
      <w:r>
        <w:rPr>
          <w:rFonts w:ascii="宋体" w:hAnsi="宋体" w:hint="eastAsia"/>
          <w:b/>
          <w:sz w:val="24"/>
        </w:rPr>
        <w:t>.所投货物均应填写制造商名称</w:t>
      </w:r>
      <w:r>
        <w:rPr>
          <w:rFonts w:ascii="宋体" w:hAnsi="宋体" w:hint="eastAsia"/>
          <w:b/>
          <w:sz w:val="24"/>
          <w:lang w:eastAsia="zh-CN"/>
        </w:rPr>
        <w:t>，</w:t>
      </w:r>
      <w:r>
        <w:rPr>
          <w:rFonts w:ascii="宋体" w:hAnsi="宋体" w:hint="eastAsia"/>
          <w:b/>
          <w:sz w:val="24"/>
        </w:rPr>
        <w:t>“制造商”是指产品品牌厂商，产品代工制造的，应填写接受委托生产制造的制造商。</w:t>
      </w:r>
    </w:p>
    <w:p>
      <w:pPr>
        <w:ind w:firstLine="420" w:firstLineChars="200"/>
        <w:rPr>
          <w:rFonts w:ascii="宋体" w:hAnsi="宋体"/>
          <w:b/>
          <w:sz w:val="24"/>
        </w:rPr>
      </w:pPr>
      <w:r>
        <w:rPr>
          <w:rFonts w:ascii="宋体" w:hAnsi="宋体"/>
          <w:b/>
          <w:sz w:val="24"/>
        </w:rPr>
        <w:t>5</w:t>
      </w:r>
      <w:r>
        <w:rPr>
          <w:rFonts w:ascii="宋体" w:hAnsi="宋体" w:hint="eastAsia"/>
          <w:b/>
          <w:sz w:val="24"/>
        </w:rPr>
        <w:t>.以上分项报价表的投标总价应当与开标一览表的投标总价一致。</w:t>
      </w:r>
    </w:p>
    <w:p>
      <w:pPr>
        <w:ind w:firstLine="420" w:firstLineChars="200"/>
        <w:rPr>
          <w:rFonts w:ascii="宋体" w:hAnsi="宋体"/>
          <w:b/>
          <w:sz w:val="24"/>
        </w:rPr>
      </w:pPr>
      <w:r>
        <w:rPr>
          <w:rFonts w:ascii="宋体" w:hAnsi="宋体"/>
          <w:b/>
          <w:sz w:val="24"/>
        </w:rPr>
        <w:t>6</w:t>
      </w:r>
      <w:r>
        <w:rPr>
          <w:rFonts w:ascii="宋体" w:hAnsi="宋体" w:hint="eastAsia"/>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20" w:firstLineChars="200"/>
        <w:rPr>
          <w:rFonts w:ascii="宋体" w:hAnsi="宋体"/>
          <w:b/>
          <w:sz w:val="24"/>
        </w:rPr>
      </w:pPr>
      <w:r>
        <w:rPr>
          <w:rFonts w:ascii="宋体" w:hAnsi="宋体"/>
          <w:b/>
          <w:sz w:val="24"/>
        </w:rPr>
        <w:t>7</w:t>
      </w:r>
      <w:r>
        <w:rPr>
          <w:rFonts w:ascii="宋体" w:hAnsi="宋体" w:hint="eastAsia"/>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20" w:firstLineChars="200"/>
        <w:rPr>
          <w:rFonts w:ascii="宋体" w:hAnsi="宋体"/>
          <w:b/>
          <w:color w:val="FF0000"/>
          <w:sz w:val="24"/>
        </w:rPr>
      </w:pPr>
    </w:p>
    <w:p>
      <w:pPr>
        <w:ind w:firstLine="420"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20" w:firstLineChars="200"/>
        <w:rPr>
          <w:rFonts w:ascii="宋体" w:hAnsi="宋体"/>
          <w:b/>
          <w:color w:val="FF0000"/>
          <w:sz w:val="24"/>
        </w:rPr>
      </w:pPr>
    </w:p>
    <w:p>
      <w:pPr>
        <w:ind w:firstLine="420"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20" w:firstLineChars="200"/>
        <w:rPr>
          <w:rFonts w:ascii="宋体" w:hAnsi="宋体"/>
          <w:b/>
          <w:color w:val="FF0000"/>
          <w:sz w:val="24"/>
        </w:rPr>
      </w:pPr>
    </w:p>
    <w:p>
      <w:pPr>
        <w:ind w:firstLine="420" w:firstLineChars="200"/>
        <w:rPr>
          <w:rFonts w:ascii="宋体" w:eastAsia="宋体" w:hAnsi="宋体" w:hint="default"/>
          <w:sz w:val="24"/>
          <w:lang w:val="en-US" w:eastAsia="zh-CN"/>
        </w:rPr>
      </w:pPr>
      <w:r>
        <w:rPr>
          <w:rFonts w:ascii="宋体" w:hAnsi="宋体" w:hint="eastAsia"/>
          <w:sz w:val="24"/>
        </w:rPr>
        <w:t>备注：</w:t>
      </w:r>
      <w:r>
        <w:rPr>
          <w:rFonts w:ascii="宋体" w:hAnsi="宋体" w:hint="eastAsia"/>
          <w:sz w:val="24"/>
          <w:lang w:val="en-US" w:eastAsia="zh-CN"/>
        </w:rPr>
        <w:t>单一产品采购项目，核心产品即为该单一产品。</w:t>
      </w:r>
    </w:p>
    <w:p>
      <w:pPr>
        <w:ind w:firstLine="420" w:firstLineChars="200"/>
        <w:rPr>
          <w:rFonts w:ascii="宋体" w:hAnsi="宋体"/>
          <w:b/>
          <w:color w:val="FF0000"/>
          <w:sz w:val="24"/>
        </w:rPr>
      </w:pPr>
    </w:p>
    <w:p>
      <w:pPr>
        <w:ind w:firstLine="420" w:firstLineChars="200"/>
        <w:rPr>
          <w:rFonts w:ascii="宋体" w:hAnsi="宋体"/>
          <w:b/>
          <w:color w:val="FF0000"/>
          <w:sz w:val="24"/>
        </w:rPr>
      </w:pPr>
    </w:p>
    <w:p>
      <w:pPr>
        <w:rPr>
          <w:b/>
          <w:sz w:val="24"/>
        </w:rPr>
      </w:pPr>
    </w:p>
    <w:p>
      <w:pPr>
        <w:tabs>
          <w:tab w:val="left" w:pos="720"/>
        </w:tabs>
        <w:ind w:firstLine="1680" w:firstLineChars="800"/>
        <w:rPr>
          <w:b/>
          <w:sz w:val="24"/>
        </w:rPr>
      </w:pPr>
      <w:r>
        <w:rPr>
          <w:rFonts w:hint="eastAsia"/>
          <w:b/>
          <w:sz w:val="24"/>
        </w:rPr>
        <w:t>（三）可选配件报价清单（不包括在总报价内）</w:t>
      </w:r>
    </w:p>
    <w:tbl>
      <w:tblPr>
        <w:tblStyle w:val="TableNormal"/>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5"/>
        <w:gridCol w:w="1185"/>
        <w:gridCol w:w="1236"/>
        <w:gridCol w:w="1005"/>
        <w:gridCol w:w="1590"/>
        <w:gridCol w:w="975"/>
        <w:gridCol w:w="1505"/>
      </w:tblGrid>
      <w:tr>
        <w:tblPrEx>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ind w:right="-69" w:rightChars="-33"/>
              <w:jc w:val="center"/>
            </w:pPr>
            <w:r>
              <w:rPr>
                <w:rFonts w:hint="eastAsia"/>
              </w:rPr>
              <w:t>序号</w:t>
            </w:r>
          </w:p>
        </w:tc>
        <w:tc>
          <w:tcPr>
            <w:tcW w:w="1185" w:type="dxa"/>
            <w:tcBorders>
              <w:top w:val="single" w:sz="4" w:space="0" w:color="auto"/>
              <w:left w:val="nil"/>
              <w:bottom w:val="single" w:sz="4" w:space="0" w:color="auto"/>
              <w:right w:val="single" w:sz="4" w:space="0" w:color="auto"/>
            </w:tcBorders>
            <w:noWrap w:val="0"/>
            <w:vAlign w:val="center"/>
          </w:tcPr>
          <w:p>
            <w:pPr>
              <w:jc w:val="center"/>
            </w:pPr>
            <w:r>
              <w:rPr>
                <w:rFonts w:hint="eastAsia"/>
              </w:rPr>
              <w:t>货物名称</w:t>
            </w:r>
          </w:p>
        </w:tc>
        <w:tc>
          <w:tcPr>
            <w:tcW w:w="1236" w:type="dxa"/>
            <w:tcBorders>
              <w:top w:val="single" w:sz="4" w:space="0" w:color="auto"/>
              <w:left w:val="nil"/>
              <w:bottom w:val="single" w:sz="4" w:space="0" w:color="auto"/>
              <w:right w:val="single" w:sz="4" w:space="0" w:color="auto"/>
            </w:tcBorders>
            <w:noWrap w:val="0"/>
            <w:vAlign w:val="center"/>
          </w:tcPr>
          <w:p>
            <w:pPr>
              <w:jc w:val="center"/>
            </w:pPr>
            <w:r>
              <w:rPr>
                <w:rFonts w:hint="eastAsia"/>
              </w:rPr>
              <w:t>规格/</w:t>
            </w:r>
            <w:r>
              <w:rPr>
                <w:rFonts w:ascii="宋体" w:hAnsi="宋体" w:hint="eastAsia"/>
              </w:rPr>
              <w:t>型号</w:t>
            </w:r>
          </w:p>
        </w:tc>
        <w:tc>
          <w:tcPr>
            <w:tcW w:w="1005" w:type="dxa"/>
            <w:tcBorders>
              <w:top w:val="single" w:sz="4" w:space="0" w:color="auto"/>
              <w:left w:val="nil"/>
              <w:bottom w:val="single" w:sz="4" w:space="0" w:color="auto"/>
              <w:right w:val="single" w:sz="4" w:space="0" w:color="auto"/>
            </w:tcBorders>
            <w:noWrap w:val="0"/>
            <w:vAlign w:val="center"/>
          </w:tcPr>
          <w:p>
            <w:pPr>
              <w:jc w:val="center"/>
            </w:pPr>
            <w:r>
              <w:rPr>
                <w:rFonts w:hint="eastAsia"/>
              </w:rPr>
              <w:t>原产地</w:t>
            </w:r>
          </w:p>
        </w:tc>
        <w:tc>
          <w:tcPr>
            <w:tcW w:w="1590" w:type="dxa"/>
            <w:tcBorders>
              <w:top w:val="single" w:sz="4" w:space="0" w:color="auto"/>
              <w:left w:val="nil"/>
              <w:bottom w:val="single" w:sz="4" w:space="0" w:color="auto"/>
              <w:right w:val="single" w:sz="4" w:space="0" w:color="auto"/>
            </w:tcBorders>
            <w:noWrap w:val="0"/>
            <w:vAlign w:val="center"/>
          </w:tcPr>
          <w:p>
            <w:pPr>
              <w:jc w:val="center"/>
            </w:pPr>
            <w:r>
              <w:rPr>
                <w:rFonts w:hint="eastAsia"/>
              </w:rPr>
              <w:t>制造商名称</w:t>
            </w:r>
          </w:p>
        </w:tc>
        <w:tc>
          <w:tcPr>
            <w:tcW w:w="975" w:type="dxa"/>
            <w:tcBorders>
              <w:top w:val="single" w:sz="4" w:space="0" w:color="auto"/>
              <w:left w:val="nil"/>
              <w:bottom w:val="single" w:sz="4" w:space="0" w:color="auto"/>
              <w:right w:val="single" w:sz="4" w:space="0" w:color="auto"/>
            </w:tcBorders>
            <w:noWrap w:val="0"/>
            <w:vAlign w:val="center"/>
          </w:tcPr>
          <w:p>
            <w:pPr>
              <w:jc w:val="center"/>
            </w:pPr>
            <w:r>
              <w:rPr>
                <w:rFonts w:hint="eastAsia"/>
              </w:rPr>
              <w:t>数量</w:t>
            </w:r>
          </w:p>
        </w:tc>
        <w:tc>
          <w:tcPr>
            <w:tcW w:w="1505" w:type="dxa"/>
            <w:tcBorders>
              <w:top w:val="single" w:sz="4" w:space="0" w:color="auto"/>
              <w:left w:val="nil"/>
              <w:bottom w:val="single" w:sz="4" w:space="0" w:color="auto"/>
              <w:right w:val="single" w:sz="4" w:space="0" w:color="auto"/>
            </w:tcBorders>
            <w:noWrap w:val="0"/>
            <w:vAlign w:val="center"/>
          </w:tcPr>
          <w:p>
            <w:pPr>
              <w:jc w:val="center"/>
            </w:pPr>
            <w:r>
              <w:rPr>
                <w:rFonts w:hint="eastAsia"/>
              </w:rPr>
              <w:t>单价(</w:t>
            </w:r>
            <w:r>
              <w:rPr>
                <w:rFonts w:ascii="宋体" w:hAnsi="宋体" w:hint="eastAsia"/>
              </w:rPr>
              <w:t>元</w:t>
            </w:r>
            <w:r>
              <w:rPr>
                <w:rFonts w:hint="eastAsia"/>
              </w:rPr>
              <w:t>)</w:t>
            </w:r>
          </w:p>
        </w:tc>
      </w:tr>
      <w:tr>
        <w:tblPrEx>
          <w:tblW w:w="8231" w:type="dxa"/>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ind w:right="-69" w:rightChars="-33"/>
              <w:jc w:val="center"/>
              <w:rPr>
                <w:rFonts w:asciiTheme="minorHAnsi" w:eastAsiaTheme="minorEastAsia" w:hAnsiTheme="minorHAnsi" w:cstheme="minorBidi" w:hint="eastAsia"/>
                <w:kern w:val="2"/>
                <w:sz w:val="21"/>
                <w:szCs w:val="24"/>
                <w:lang w:val="en-US" w:eastAsia="zh-CN" w:bidi="ar-SA"/>
              </w:rPr>
            </w:pPr>
            <w:r>
              <w:rPr>
                <w:rFonts w:hint="eastAsia"/>
              </w:rPr>
              <w:t>1</w:t>
            </w:r>
          </w:p>
        </w:tc>
        <w:tc>
          <w:tcPr>
            <w:tcW w:w="1185" w:type="dxa"/>
            <w:tcBorders>
              <w:top w:val="single" w:sz="4" w:space="0" w:color="auto"/>
              <w:left w:val="nil"/>
              <w:bottom w:val="single" w:sz="4" w:space="0" w:color="auto"/>
              <w:right w:val="single" w:sz="4" w:space="0" w:color="auto"/>
            </w:tcBorders>
            <w:noWrap w:val="0"/>
            <w:vAlign w:val="top"/>
          </w:tcPr>
          <w:p>
            <w:pPr>
              <w:jc w:val="center"/>
              <w:rPr>
                <w:rFonts w:eastAsia="宋体" w:hint="default"/>
                <w:sz w:val="24"/>
                <w:lang w:val="en-US" w:eastAsia="zh-CN"/>
              </w:rPr>
            </w:pPr>
          </w:p>
        </w:tc>
        <w:tc>
          <w:tcPr>
            <w:tcW w:w="1236" w:type="dxa"/>
            <w:tcBorders>
              <w:top w:val="single" w:sz="4" w:space="0" w:color="auto"/>
              <w:left w:val="nil"/>
              <w:bottom w:val="single" w:sz="4" w:space="0" w:color="auto"/>
              <w:right w:val="single" w:sz="4" w:space="0" w:color="auto"/>
            </w:tcBorders>
            <w:noWrap w:val="0"/>
            <w:vAlign w:val="top"/>
          </w:tcPr>
          <w:p>
            <w:pPr>
              <w:jc w:val="center"/>
              <w:rPr>
                <w:sz w:val="24"/>
              </w:rPr>
            </w:pPr>
          </w:p>
        </w:tc>
        <w:tc>
          <w:tcPr>
            <w:tcW w:w="1005" w:type="dxa"/>
            <w:tcBorders>
              <w:top w:val="single" w:sz="4" w:space="0" w:color="auto"/>
              <w:left w:val="nil"/>
              <w:bottom w:val="single" w:sz="4" w:space="0" w:color="auto"/>
              <w:right w:val="single" w:sz="4" w:space="0" w:color="auto"/>
            </w:tcBorders>
            <w:noWrap w:val="0"/>
            <w:vAlign w:val="top"/>
          </w:tcPr>
          <w:p>
            <w:pPr>
              <w:jc w:val="center"/>
              <w:rPr>
                <w:sz w:val="24"/>
              </w:rPr>
            </w:pPr>
          </w:p>
        </w:tc>
        <w:tc>
          <w:tcPr>
            <w:tcW w:w="1590" w:type="dxa"/>
            <w:tcBorders>
              <w:top w:val="single" w:sz="4" w:space="0" w:color="auto"/>
              <w:left w:val="nil"/>
              <w:bottom w:val="single" w:sz="4" w:space="0" w:color="auto"/>
              <w:right w:val="single" w:sz="4" w:space="0" w:color="auto"/>
            </w:tcBorders>
            <w:noWrap w:val="0"/>
            <w:vAlign w:val="top"/>
          </w:tcPr>
          <w:p>
            <w:pPr>
              <w:jc w:val="center"/>
              <w:rPr>
                <w:sz w:val="24"/>
              </w:rPr>
            </w:pPr>
          </w:p>
        </w:tc>
        <w:tc>
          <w:tcPr>
            <w:tcW w:w="975" w:type="dxa"/>
            <w:tcBorders>
              <w:top w:val="single" w:sz="4" w:space="0" w:color="auto"/>
              <w:left w:val="nil"/>
              <w:bottom w:val="single" w:sz="4" w:space="0" w:color="auto"/>
              <w:right w:val="single" w:sz="4" w:space="0" w:color="auto"/>
            </w:tcBorders>
            <w:noWrap w:val="0"/>
            <w:vAlign w:val="top"/>
          </w:tcPr>
          <w:p>
            <w:pPr>
              <w:jc w:val="center"/>
              <w:rPr>
                <w:sz w:val="24"/>
              </w:rPr>
            </w:pPr>
          </w:p>
        </w:tc>
        <w:tc>
          <w:tcPr>
            <w:tcW w:w="1505" w:type="dxa"/>
            <w:tcBorders>
              <w:top w:val="single" w:sz="4" w:space="0" w:color="auto"/>
              <w:left w:val="nil"/>
              <w:bottom w:val="single" w:sz="4" w:space="0" w:color="auto"/>
              <w:right w:val="single" w:sz="4" w:space="0" w:color="auto"/>
            </w:tcBorders>
            <w:noWrap w:val="0"/>
            <w:vAlign w:val="top"/>
          </w:tcPr>
          <w:p>
            <w:pPr>
              <w:jc w:val="center"/>
              <w:rPr>
                <w:sz w:val="24"/>
              </w:rPr>
            </w:pPr>
          </w:p>
        </w:tc>
      </w:tr>
      <w:tr>
        <w:tblPrEx>
          <w:tblW w:w="8231" w:type="dxa"/>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ind w:right="-69" w:rightChars="-33"/>
              <w:jc w:val="center"/>
              <w:rPr>
                <w:rFonts w:eastAsia="宋体" w:asciiTheme="minorHAnsi" w:hAnsiTheme="minorHAnsi" w:cstheme="minorBidi" w:hint="default"/>
                <w:kern w:val="2"/>
                <w:sz w:val="21"/>
                <w:szCs w:val="24"/>
                <w:lang w:val="en-US" w:eastAsia="zh-CN" w:bidi="ar-SA"/>
              </w:rPr>
            </w:pPr>
            <w:r>
              <w:rPr>
                <w:rFonts w:hint="eastAsia"/>
                <w:lang w:val="en-US" w:eastAsia="zh-CN"/>
              </w:rPr>
              <w:t>2</w:t>
            </w:r>
          </w:p>
        </w:tc>
        <w:tc>
          <w:tcPr>
            <w:tcW w:w="1185" w:type="dxa"/>
            <w:tcBorders>
              <w:top w:val="single" w:sz="4" w:space="0" w:color="auto"/>
              <w:left w:val="nil"/>
              <w:bottom w:val="single" w:sz="4" w:space="0" w:color="auto"/>
              <w:right w:val="single" w:sz="4" w:space="0" w:color="auto"/>
            </w:tcBorders>
            <w:noWrap w:val="0"/>
            <w:vAlign w:val="top"/>
          </w:tcPr>
          <w:p>
            <w:pPr>
              <w:rPr>
                <w:rFonts w:hint="eastAsia"/>
                <w:sz w:val="24"/>
                <w:lang w:val="en-US" w:eastAsia="zh-CN"/>
              </w:rPr>
            </w:pPr>
          </w:p>
        </w:tc>
        <w:tc>
          <w:tcPr>
            <w:tcW w:w="1236"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1005"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1590"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975"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1505" w:type="dxa"/>
            <w:tcBorders>
              <w:top w:val="single" w:sz="4" w:space="0" w:color="auto"/>
              <w:left w:val="nil"/>
              <w:bottom w:val="single" w:sz="4" w:space="0" w:color="auto"/>
              <w:right w:val="single" w:sz="4" w:space="0" w:color="auto"/>
            </w:tcBorders>
            <w:noWrap w:val="0"/>
            <w:vAlign w:val="top"/>
          </w:tcPr>
          <w:p>
            <w:pPr>
              <w:rPr>
                <w:rFonts w:hint="eastAsia"/>
                <w:sz w:val="24"/>
              </w:rPr>
            </w:pPr>
          </w:p>
        </w:tc>
      </w:tr>
      <w:tr>
        <w:tblPrEx>
          <w:tblW w:w="8231" w:type="dxa"/>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ind w:right="-69" w:rightChars="-33"/>
              <w:jc w:val="center"/>
              <w:rPr>
                <w:rFonts w:asciiTheme="minorHAnsi" w:eastAsiaTheme="minorEastAsia" w:hAnsiTheme="minorHAnsi" w:cstheme="minorBidi" w:hint="default"/>
                <w:kern w:val="2"/>
                <w:sz w:val="21"/>
                <w:szCs w:val="24"/>
                <w:lang w:val="en-US" w:eastAsia="zh-CN" w:bidi="ar-SA"/>
              </w:rPr>
            </w:pPr>
            <w:r>
              <w:rPr>
                <w:rFonts w:hint="eastAsia"/>
                <w:lang w:val="en-US" w:eastAsia="zh-CN"/>
              </w:rPr>
              <w:t>3</w:t>
            </w:r>
          </w:p>
        </w:tc>
        <w:tc>
          <w:tcPr>
            <w:tcW w:w="1185" w:type="dxa"/>
            <w:tcBorders>
              <w:top w:val="single" w:sz="4" w:space="0" w:color="auto"/>
              <w:left w:val="nil"/>
              <w:bottom w:val="single" w:sz="4" w:space="0" w:color="auto"/>
              <w:right w:val="single" w:sz="4" w:space="0" w:color="auto"/>
            </w:tcBorders>
            <w:noWrap w:val="0"/>
            <w:vAlign w:val="top"/>
          </w:tcPr>
          <w:p>
            <w:pPr>
              <w:rPr>
                <w:rFonts w:hint="eastAsia"/>
                <w:sz w:val="24"/>
                <w:lang w:val="en-US" w:eastAsia="zh-CN"/>
              </w:rPr>
            </w:pPr>
          </w:p>
        </w:tc>
        <w:tc>
          <w:tcPr>
            <w:tcW w:w="1236"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1005"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1590"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975" w:type="dxa"/>
            <w:tcBorders>
              <w:top w:val="single" w:sz="4" w:space="0" w:color="auto"/>
              <w:left w:val="nil"/>
              <w:bottom w:val="single" w:sz="4" w:space="0" w:color="auto"/>
              <w:right w:val="single" w:sz="4" w:space="0" w:color="auto"/>
            </w:tcBorders>
            <w:noWrap w:val="0"/>
            <w:vAlign w:val="top"/>
          </w:tcPr>
          <w:p>
            <w:pPr>
              <w:rPr>
                <w:rFonts w:hint="eastAsia"/>
                <w:sz w:val="24"/>
              </w:rPr>
            </w:pPr>
          </w:p>
        </w:tc>
        <w:tc>
          <w:tcPr>
            <w:tcW w:w="1505" w:type="dxa"/>
            <w:tcBorders>
              <w:top w:val="single" w:sz="4" w:space="0" w:color="auto"/>
              <w:left w:val="nil"/>
              <w:bottom w:val="single" w:sz="4" w:space="0" w:color="auto"/>
              <w:right w:val="single" w:sz="4" w:space="0" w:color="auto"/>
            </w:tcBorders>
            <w:noWrap w:val="0"/>
            <w:vAlign w:val="top"/>
          </w:tcPr>
          <w:p>
            <w:pPr>
              <w:rPr>
                <w:rFonts w:hint="eastAsia"/>
                <w:sz w:val="24"/>
              </w:rPr>
            </w:pPr>
          </w:p>
        </w:tc>
      </w:tr>
      <w:tr>
        <w:tblPrEx>
          <w:tblW w:w="8231" w:type="dxa"/>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ind w:right="-69" w:rightChars="-33"/>
              <w:jc w:val="center"/>
              <w:rPr>
                <w:rFonts w:asciiTheme="minorHAnsi" w:eastAsiaTheme="minorEastAsia" w:hAnsiTheme="minorHAnsi" w:cstheme="minorBidi" w:hint="default"/>
                <w:kern w:val="2"/>
                <w:sz w:val="21"/>
                <w:szCs w:val="24"/>
                <w:highlight w:val="none"/>
                <w:lang w:val="en-US" w:eastAsia="zh-CN" w:bidi="ar-SA"/>
              </w:rPr>
            </w:pPr>
            <w:r>
              <w:rPr>
                <w:rFonts w:hint="eastAsia"/>
                <w:highlight w:val="none"/>
                <w:lang w:val="en-US" w:eastAsia="zh-CN"/>
              </w:rPr>
              <w:t>4</w:t>
            </w:r>
          </w:p>
        </w:tc>
        <w:tc>
          <w:tcPr>
            <w:tcW w:w="1185" w:type="dxa"/>
            <w:tcBorders>
              <w:top w:val="single" w:sz="4" w:space="0" w:color="auto"/>
              <w:left w:val="nil"/>
              <w:bottom w:val="single" w:sz="4" w:space="0" w:color="auto"/>
              <w:right w:val="single" w:sz="4" w:space="0" w:color="auto"/>
            </w:tcBorders>
            <w:noWrap w:val="0"/>
            <w:vAlign w:val="top"/>
          </w:tcPr>
          <w:p>
            <w:pPr>
              <w:rPr>
                <w:rFonts w:hint="eastAsia"/>
                <w:sz w:val="24"/>
                <w:highlight w:val="none"/>
                <w:lang w:val="en-US" w:eastAsia="zh-CN"/>
              </w:rPr>
            </w:pPr>
          </w:p>
        </w:tc>
        <w:tc>
          <w:tcPr>
            <w:tcW w:w="1236"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00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590"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97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50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r>
      <w:tr>
        <w:tblPrEx>
          <w:tblW w:w="8231" w:type="dxa"/>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ind w:right="-69" w:rightChars="-33"/>
              <w:jc w:val="center"/>
              <w:rPr>
                <w:rFonts w:hint="default"/>
                <w:highlight w:val="none"/>
                <w:lang w:val="en-US" w:eastAsia="zh-CN"/>
              </w:rPr>
            </w:pPr>
            <w:r>
              <w:rPr>
                <w:rFonts w:hint="eastAsia"/>
                <w:highlight w:val="none"/>
                <w:lang w:val="en-US" w:eastAsia="zh-CN"/>
              </w:rPr>
              <w:t>5</w:t>
            </w:r>
          </w:p>
        </w:tc>
        <w:tc>
          <w:tcPr>
            <w:tcW w:w="1185" w:type="dxa"/>
            <w:tcBorders>
              <w:top w:val="single" w:sz="4" w:space="0" w:color="auto"/>
              <w:left w:val="nil"/>
              <w:bottom w:val="single" w:sz="4" w:space="0" w:color="auto"/>
              <w:right w:val="single" w:sz="4" w:space="0" w:color="auto"/>
            </w:tcBorders>
            <w:noWrap w:val="0"/>
            <w:vAlign w:val="top"/>
          </w:tcPr>
          <w:p>
            <w:pPr>
              <w:rPr>
                <w:rFonts w:hint="eastAsia"/>
                <w:sz w:val="24"/>
                <w:highlight w:val="none"/>
                <w:lang w:val="en-US" w:eastAsia="zh-CN"/>
              </w:rPr>
            </w:pPr>
          </w:p>
        </w:tc>
        <w:tc>
          <w:tcPr>
            <w:tcW w:w="1236"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00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590"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97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50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r>
      <w:tr>
        <w:tblPrEx>
          <w:tblW w:w="8231" w:type="dxa"/>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ind w:right="-69" w:rightChars="-33"/>
              <w:jc w:val="center"/>
              <w:rPr>
                <w:rFonts w:hint="default"/>
                <w:highlight w:val="none"/>
                <w:lang w:val="en-US" w:eastAsia="zh-CN"/>
              </w:rPr>
            </w:pPr>
            <w:r>
              <w:rPr>
                <w:rFonts w:hint="eastAsia"/>
                <w:highlight w:val="none"/>
                <w:lang w:val="en-US" w:eastAsia="zh-CN"/>
              </w:rPr>
              <w:t>.....</w:t>
            </w:r>
          </w:p>
        </w:tc>
        <w:tc>
          <w:tcPr>
            <w:tcW w:w="1185" w:type="dxa"/>
            <w:tcBorders>
              <w:top w:val="single" w:sz="4" w:space="0" w:color="auto"/>
              <w:left w:val="nil"/>
              <w:bottom w:val="single" w:sz="4" w:space="0" w:color="auto"/>
              <w:right w:val="single" w:sz="4" w:space="0" w:color="auto"/>
            </w:tcBorders>
            <w:noWrap w:val="0"/>
            <w:vAlign w:val="top"/>
          </w:tcPr>
          <w:p>
            <w:pPr>
              <w:rPr>
                <w:rFonts w:hint="eastAsia"/>
                <w:sz w:val="24"/>
                <w:highlight w:val="none"/>
                <w:lang w:val="en-US" w:eastAsia="zh-CN"/>
              </w:rPr>
            </w:pPr>
          </w:p>
        </w:tc>
        <w:tc>
          <w:tcPr>
            <w:tcW w:w="1236"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00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590"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97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c>
          <w:tcPr>
            <w:tcW w:w="1505" w:type="dxa"/>
            <w:tcBorders>
              <w:top w:val="single" w:sz="4" w:space="0" w:color="auto"/>
              <w:left w:val="nil"/>
              <w:bottom w:val="single" w:sz="4" w:space="0" w:color="auto"/>
              <w:right w:val="single" w:sz="4" w:space="0" w:color="auto"/>
            </w:tcBorders>
            <w:noWrap w:val="0"/>
            <w:vAlign w:val="top"/>
          </w:tcPr>
          <w:p>
            <w:pPr>
              <w:rPr>
                <w:rFonts w:hint="eastAsia"/>
                <w:sz w:val="24"/>
                <w:highlight w:val="none"/>
              </w:rPr>
            </w:pPr>
          </w:p>
        </w:tc>
      </w:tr>
      <w:tr>
        <w:tblPrEx>
          <w:tblW w:w="8231" w:type="dxa"/>
          <w:jc w:val="center"/>
          <w:tblLayout w:type="fixed"/>
          <w:tblCellMar>
            <w:top w:w="0" w:type="dxa"/>
            <w:left w:w="108" w:type="dxa"/>
            <w:bottom w:w="0" w:type="dxa"/>
            <w:right w:w="108" w:type="dxa"/>
          </w:tblCellMar>
        </w:tblPrEx>
        <w:trPr>
          <w:jc w:val="center"/>
        </w:trPr>
        <w:tc>
          <w:tcPr>
            <w:tcW w:w="8231" w:type="dxa"/>
            <w:gridSpan w:val="7"/>
            <w:tcBorders>
              <w:top w:val="single" w:sz="4" w:space="0" w:color="auto"/>
              <w:left w:val="single" w:sz="4" w:space="0" w:color="auto"/>
              <w:bottom w:val="single" w:sz="4" w:space="0" w:color="auto"/>
              <w:right w:val="single" w:sz="4" w:space="0" w:color="auto"/>
            </w:tcBorders>
            <w:noWrap w:val="0"/>
            <w:vAlign w:val="top"/>
          </w:tcPr>
          <w:p>
            <w:pPr>
              <w:rPr>
                <w:rFonts w:hint="default"/>
                <w:sz w:val="24"/>
                <w:highlight w:val="none"/>
                <w:lang w:val="en-US"/>
              </w:rPr>
            </w:pPr>
            <w:r>
              <w:rPr>
                <w:rFonts w:ascii="宋体" w:hAnsi="宋体" w:hint="eastAsia"/>
                <w:b w:val="0"/>
                <w:bCs w:val="0"/>
                <w:highlight w:val="none"/>
                <w:lang w:val="en-US" w:eastAsia="zh-CN"/>
              </w:rPr>
              <w:t>注：1.</w:t>
            </w:r>
            <w:r>
              <w:rPr>
                <w:rFonts w:ascii="宋体" w:eastAsia="宋体" w:hAnsi="宋体" w:cs="宋体" w:hint="eastAsia"/>
                <w:color w:val="auto"/>
                <w:kern w:val="0"/>
                <w:sz w:val="21"/>
                <w:szCs w:val="21"/>
                <w:highlight w:val="none"/>
              </w:rPr>
              <w:t>由投标人</w:t>
            </w:r>
            <w:r>
              <w:rPr>
                <w:rFonts w:ascii="宋体" w:eastAsia="宋体" w:hAnsi="宋体" w:cs="宋体" w:hint="eastAsia"/>
                <w:color w:val="auto"/>
                <w:kern w:val="0"/>
                <w:sz w:val="21"/>
                <w:szCs w:val="21"/>
                <w:highlight w:val="none"/>
                <w:lang w:val="en-US" w:eastAsia="zh-CN"/>
              </w:rPr>
              <w:t>根据所投产品运行需要</w:t>
            </w:r>
            <w:r>
              <w:rPr>
                <w:rFonts w:ascii="宋体" w:eastAsia="宋体" w:hAnsi="宋体" w:cs="宋体" w:hint="eastAsia"/>
                <w:color w:val="auto"/>
                <w:kern w:val="0"/>
                <w:sz w:val="21"/>
                <w:szCs w:val="21"/>
                <w:highlight w:val="none"/>
              </w:rPr>
              <w:t>自行填写</w:t>
            </w:r>
            <w:r>
              <w:rPr>
                <w:rFonts w:ascii="宋体" w:hAnsi="宋体" w:hint="eastAsia"/>
                <w:b w:val="0"/>
                <w:bCs w:val="0"/>
                <w:highlight w:val="none"/>
                <w:lang w:val="en-US" w:eastAsia="zh-CN"/>
              </w:rPr>
              <w:t>。2、若没有则填无。</w:t>
            </w:r>
          </w:p>
        </w:tc>
      </w:tr>
    </w:tbl>
    <w:p>
      <w:pPr>
        <w:tabs>
          <w:tab w:val="left" w:pos="720"/>
        </w:tabs>
        <w:ind w:firstLine="1680" w:firstLineChars="800"/>
        <w:rPr>
          <w:b/>
          <w:sz w:val="24"/>
        </w:rPr>
      </w:pPr>
    </w:p>
    <w:p>
      <w:pPr>
        <w:ind w:firstLine="420" w:firstLineChars="200"/>
        <w:rPr>
          <w:rFonts w:hAnsi="宋体"/>
          <w:b/>
          <w:bCs/>
          <w:szCs w:val="21"/>
        </w:rPr>
      </w:pPr>
      <w:r>
        <w:rPr>
          <w:rFonts w:hAnsi="宋体" w:hint="eastAsia"/>
          <w:b/>
          <w:bCs/>
          <w:szCs w:val="21"/>
        </w:rPr>
        <w:t>注：格式可以参照《（一）分项报价表》表格，并提供相应的品牌/规格/型号、原产地、制造商信息（没有品牌、型号的，用“定制”描述即可）、单价等详细信息</w:t>
      </w:r>
    </w:p>
    <w:p>
      <w:pPr>
        <w:ind w:firstLine="420" w:firstLineChars="200"/>
        <w:rPr>
          <w:rFonts w:hAnsi="宋体"/>
          <w:b/>
          <w:bCs/>
          <w:sz w:val="24"/>
        </w:rPr>
      </w:pPr>
    </w:p>
    <w:p>
      <w:pPr>
        <w:ind w:firstLine="420" w:firstLineChars="200"/>
        <w:rPr>
          <w:rFonts w:hAnsi="宋体"/>
          <w:b/>
          <w:bCs/>
          <w:sz w:val="24"/>
        </w:rPr>
      </w:pPr>
    </w:p>
    <w:p>
      <w:pPr>
        <w:tabs>
          <w:tab w:val="left" w:pos="720"/>
        </w:tabs>
        <w:jc w:val="center"/>
        <w:rPr>
          <w:b/>
          <w:sz w:val="24"/>
        </w:rPr>
      </w:pPr>
      <w:r>
        <w:rPr>
          <w:rFonts w:hint="eastAsia"/>
          <w:b/>
          <w:sz w:val="24"/>
        </w:rPr>
        <w:t>（四）</w:t>
      </w:r>
      <w:bookmarkStart w:id="67" w:name="_Hlk72073235"/>
      <w:r>
        <w:rPr>
          <w:rFonts w:hint="eastAsia"/>
          <w:b/>
          <w:sz w:val="24"/>
        </w:rPr>
        <w:t>投标人认为需要涉及的其他内容报价清单</w:t>
      </w:r>
      <w:bookmarkEnd w:id="67"/>
    </w:p>
    <w:p>
      <w:pPr>
        <w:rPr>
          <w:b/>
          <w:bCs/>
        </w:rPr>
      </w:pPr>
    </w:p>
    <w:p>
      <w:pPr>
        <w:jc w:val="both"/>
        <w:rPr>
          <w:rFonts w:eastAsia="黑体" w:hint="eastAsia"/>
          <w:lang w:eastAsia="zh-CN"/>
        </w:rPr>
      </w:pPr>
    </w:p>
    <w:p/>
    <w:p>
      <w:pPr>
        <w:ind w:firstLine="630" w:firstLineChars="300"/>
        <w:rPr>
          <w:b/>
          <w:color w:val="FF0000"/>
          <w:sz w:val="24"/>
        </w:rPr>
      </w:pPr>
      <w:r>
        <w:rPr>
          <w:rFonts w:hint="eastAsia"/>
          <w:b/>
          <w:color w:val="FF0000"/>
          <w:sz w:val="24"/>
        </w:rPr>
        <w:t>（信息公开部分的内容到此为止！以下为信息不公开部分。）</w:t>
      </w:r>
    </w:p>
    <w:p>
      <w:bookmarkEnd w:id="65"/>
      <w:r>
        <w:br w:type="page"/>
      </w:r>
    </w:p>
    <w:p>
      <w:pPr>
        <w:outlineLvl w:val="1"/>
        <w:rPr>
          <w:rFonts w:ascii="宋体" w:hAnsi="宋体" w:hint="eastAsia"/>
          <w:b/>
          <w:color w:val="FF0000"/>
          <w:sz w:val="28"/>
          <w:szCs w:val="28"/>
        </w:rPr>
      </w:pPr>
      <w:bookmarkStart w:id="68" w:name="_Hlk72260530"/>
      <w:r>
        <w:rPr>
          <w:rFonts w:ascii="宋体" w:hAnsi="宋体" w:hint="eastAsia"/>
          <w:b/>
          <w:color w:val="FF0000"/>
          <w:sz w:val="28"/>
          <w:szCs w:val="28"/>
        </w:rPr>
        <w:t>投标文件附件（信息不公开部分）</w:t>
      </w:r>
    </w:p>
    <w:p>
      <w:pPr>
        <w:widowControl w:val="0"/>
        <w:snapToGrid w:val="0"/>
        <w:spacing w:before="0" w:after="0" w:line="240" w:lineRule="auto"/>
        <w:jc w:val="center"/>
        <w:outlineLvl w:val="2"/>
        <w:rPr>
          <w:rFonts w:ascii="黑体" w:eastAsia="黑体" w:hAnsi="宋体" w:cs="Times New Roman" w:hint="eastAsia"/>
          <w:b w:val="0"/>
          <w:bCs/>
          <w:kern w:val="2"/>
          <w:sz w:val="24"/>
          <w:szCs w:val="32"/>
          <w:lang w:val="en-US" w:eastAsia="zh-CN" w:bidi="ar-SA"/>
        </w:rPr>
      </w:pPr>
      <w:r>
        <w:rPr>
          <w:rFonts w:ascii="黑体" w:eastAsia="黑体" w:hAnsi="宋体" w:cs="Times New Roman" w:hint="eastAsia"/>
          <w:b w:val="0"/>
          <w:bCs/>
          <w:kern w:val="2"/>
          <w:sz w:val="24"/>
          <w:szCs w:val="32"/>
          <w:lang w:val="en-US" w:eastAsia="zh-CN" w:bidi="ar-SA"/>
        </w:rPr>
        <w:t>一、供应商基本情况表</w:t>
      </w:r>
    </w:p>
    <w:tbl>
      <w:tblPr>
        <w:tblStyle w:val="TableGrid"/>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0"/>
        <w:gridCol w:w="645"/>
        <w:gridCol w:w="1530"/>
        <w:gridCol w:w="904"/>
        <w:gridCol w:w="752"/>
        <w:gridCol w:w="1146"/>
        <w:gridCol w:w="1429"/>
        <w:gridCol w:w="1420"/>
      </w:tblGrid>
      <w:tr>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789" w:type="pct"/>
            <w:gridSpan w:val="2"/>
            <w:noWrap w:val="0"/>
            <w:vAlign w:val="center"/>
          </w:tcPr>
          <w:p>
            <w:pPr>
              <w:jc w:val="both"/>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投标（响应）供应商</w:t>
            </w:r>
          </w:p>
        </w:tc>
        <w:tc>
          <w:tcPr>
            <w:tcW w:w="1427" w:type="pct"/>
            <w:gridSpan w:val="2"/>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项目名称及编号</w:t>
            </w:r>
          </w:p>
        </w:tc>
        <w:tc>
          <w:tcPr>
            <w:tcW w:w="1669" w:type="pct"/>
            <w:gridSpan w:val="2"/>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5000" w:type="pct"/>
            <w:gridSpan w:val="8"/>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b/>
                <w:bCs/>
                <w:color w:val="auto"/>
                <w:sz w:val="21"/>
                <w:szCs w:val="21"/>
                <w:vertAlign w:val="baseline"/>
                <w:lang w:val="en-US" w:eastAsia="zh-CN"/>
              </w:rPr>
              <w:t>投标（响应）供应商相关人员情况</w:t>
            </w:r>
          </w:p>
        </w:tc>
      </w:tr>
      <w:tr>
        <w:tblPrEx>
          <w:tblW w:w="4998" w:type="pct"/>
          <w:jc w:val="center"/>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序号</w:t>
            </w:r>
          </w:p>
        </w:tc>
        <w:tc>
          <w:tcPr>
            <w:tcW w:w="1275" w:type="pct"/>
            <w:gridSpan w:val="2"/>
            <w:tcBorders>
              <w:bottom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职务</w:t>
            </w:r>
          </w:p>
        </w:tc>
        <w:tc>
          <w:tcPr>
            <w:tcW w:w="529" w:type="pct"/>
            <w:tcBorders>
              <w:bottom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姓名</w:t>
            </w:r>
          </w:p>
        </w:tc>
        <w:tc>
          <w:tcPr>
            <w:tcW w:w="1113" w:type="pct"/>
            <w:gridSpan w:val="2"/>
            <w:tcBorders>
              <w:bottom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身份证号码</w:t>
            </w:r>
          </w:p>
        </w:tc>
        <w:tc>
          <w:tcPr>
            <w:tcW w:w="838" w:type="pct"/>
            <w:tcBorders>
              <w:bottom w:val="single" w:sz="4" w:space="0" w:color="auto"/>
            </w:tcBorders>
            <w:noWrap w:val="0"/>
            <w:vAlign w:val="center"/>
          </w:tcPr>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劳动合同</w:t>
            </w:r>
          </w:p>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关系单位</w:t>
            </w:r>
          </w:p>
        </w:tc>
        <w:tc>
          <w:tcPr>
            <w:tcW w:w="830" w:type="pct"/>
            <w:tcBorders>
              <w:bottom w:val="single" w:sz="4" w:space="0" w:color="auto"/>
            </w:tcBorders>
            <w:noWrap w:val="0"/>
            <w:vAlign w:val="center"/>
          </w:tcPr>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缴纳社会</w:t>
            </w:r>
          </w:p>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保险单位</w:t>
            </w: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rPr>
              <w:t>法定代表人</w:t>
            </w:r>
            <w:r>
              <w:rPr>
                <w:rFonts w:ascii="宋体" w:eastAsia="宋体" w:hAnsi="宋体" w:cs="宋体" w:hint="eastAsia"/>
                <w:color w:val="auto"/>
                <w:sz w:val="21"/>
                <w:szCs w:val="21"/>
                <w:highlight w:val="none"/>
                <w:lang w:val="en-US" w:eastAsia="zh-CN"/>
              </w:rPr>
              <w:t>/单位负责人/主要经营负责人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highlight w:val="none"/>
              </w:rPr>
              <w:t>项目投标授权代表人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tcBorders>
            <w:noWrap w:val="0"/>
            <w:vAlign w:val="center"/>
          </w:tcPr>
          <w:p>
            <w:pPr>
              <w:spacing w:beforeLines="0" w:afterLines="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3</w:t>
            </w:r>
          </w:p>
        </w:tc>
        <w:tc>
          <w:tcPr>
            <w:tcW w:w="1275" w:type="pct"/>
            <w:gridSpan w:val="2"/>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highlight w:val="none"/>
              </w:rPr>
              <w:t>项目负责人</w:t>
            </w:r>
          </w:p>
        </w:tc>
        <w:tc>
          <w:tcPr>
            <w:tcW w:w="529" w:type="pct"/>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tcBorders>
              <w:top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4</w:t>
            </w:r>
          </w:p>
        </w:tc>
        <w:tc>
          <w:tcPr>
            <w:tcW w:w="1275" w:type="pct"/>
            <w:gridSpan w:val="2"/>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highlight w:val="none"/>
              </w:rPr>
              <w:t>主要技术人员</w:t>
            </w:r>
          </w:p>
        </w:tc>
        <w:tc>
          <w:tcPr>
            <w:tcW w:w="529" w:type="pct"/>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5</w:t>
            </w:r>
          </w:p>
        </w:tc>
        <w:tc>
          <w:tcPr>
            <w:tcW w:w="1275" w:type="pct"/>
            <w:gridSpan w:val="2"/>
            <w:noWrap w:val="0"/>
            <w:vAlign w:val="center"/>
          </w:tcPr>
          <w:p>
            <w:pPr>
              <w:widowControl w:val="0"/>
              <w:snapToGrid w:val="0"/>
              <w:ind w:left="0" w:firstLine="0" w:leftChars="0" w:firstLineChars="0"/>
              <w:jc w:val="center"/>
              <w:rPr>
                <w:rFonts w:ascii="宋体" w:eastAsia="宋体" w:hAnsi="宋体" w:cs="宋体" w:hint="eastAsia"/>
                <w:color w:val="auto"/>
                <w:kern w:val="2"/>
                <w:sz w:val="21"/>
                <w:szCs w:val="21"/>
                <w:lang w:val="en-US" w:eastAsia="zh-CN" w:bidi="ar-SA"/>
              </w:rPr>
            </w:pPr>
            <w:r>
              <w:rPr>
                <w:rFonts w:ascii="宋体" w:eastAsia="宋体" w:hAnsi="宋体" w:cs="宋体" w:hint="eastAsia"/>
                <w:color w:val="auto"/>
                <w:kern w:val="2"/>
                <w:sz w:val="21"/>
                <w:szCs w:val="21"/>
                <w:highlight w:val="none"/>
                <w:lang w:val="en-US" w:eastAsia="zh-CN" w:bidi="ar-SA"/>
              </w:rPr>
              <w:t>投标文件编制人员</w:t>
            </w:r>
          </w:p>
        </w:tc>
        <w:tc>
          <w:tcPr>
            <w:tcW w:w="529" w:type="pct"/>
            <w:noWrap w:val="0"/>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noWrap w:val="0"/>
            <w:vAlign w:val="center"/>
          </w:tcPr>
          <w:p>
            <w:pPr>
              <w:jc w:val="center"/>
              <w:rPr>
                <w:rFonts w:ascii="宋体" w:eastAsia="宋体" w:hAnsi="宋体" w:cs="宋体" w:hint="eastAsia"/>
                <w:color w:val="auto"/>
                <w:sz w:val="21"/>
                <w:szCs w:val="21"/>
                <w:vertAlign w:val="baseline"/>
                <w:lang w:val="en-US" w:eastAsia="zh-CN"/>
              </w:rPr>
            </w:pPr>
          </w:p>
        </w:tc>
        <w:tc>
          <w:tcPr>
            <w:tcW w:w="838" w:type="pct"/>
            <w:noWrap w:val="0"/>
            <w:vAlign w:val="center"/>
          </w:tcPr>
          <w:p>
            <w:pPr>
              <w:jc w:val="center"/>
              <w:rPr>
                <w:rFonts w:ascii="宋体" w:eastAsia="宋体" w:hAnsi="宋体" w:cs="宋体" w:hint="eastAsia"/>
                <w:color w:val="auto"/>
                <w:sz w:val="21"/>
                <w:szCs w:val="21"/>
                <w:vertAlign w:val="baseline"/>
                <w:lang w:val="en-US" w:eastAsia="zh-CN"/>
              </w:rPr>
            </w:pPr>
          </w:p>
        </w:tc>
        <w:tc>
          <w:tcPr>
            <w:tcW w:w="830" w:type="pct"/>
            <w:noWrap w:val="0"/>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5000" w:type="pct"/>
            <w:gridSpan w:val="8"/>
            <w:noWrap w:val="0"/>
            <w:vAlign w:val="center"/>
          </w:tcPr>
          <w:p>
            <w:pPr>
              <w:jc w:val="both"/>
              <w:rPr>
                <w:rFonts w:ascii="宋体" w:eastAsia="宋体" w:hAnsi="宋体" w:cs="宋体" w:hint="eastAsia"/>
                <w:color w:val="auto"/>
                <w:sz w:val="21"/>
                <w:szCs w:val="21"/>
                <w:vertAlign w:val="baseline"/>
                <w:lang w:val="en-US" w:eastAsia="zh-CN"/>
              </w:rPr>
            </w:pPr>
            <w:r>
              <w:rPr>
                <w:rFonts w:ascii="宋体" w:eastAsia="宋体" w:hAnsi="宋体" w:cs="宋体" w:hint="eastAsia"/>
                <w:b/>
                <w:bCs/>
                <w:color w:val="auto"/>
                <w:sz w:val="21"/>
                <w:szCs w:val="21"/>
                <w:highlight w:val="none"/>
                <w:vertAlign w:val="baseline"/>
                <w:lang w:val="en-US" w:eastAsia="zh-CN"/>
              </w:rPr>
              <w:t>说明：同一职务有多人担任（如主要技术人员），应分行填写。</w:t>
            </w:r>
          </w:p>
        </w:tc>
      </w:tr>
      <w:tr>
        <w:tblPrEx>
          <w:tblW w:w="4998" w:type="pct"/>
          <w:jc w:val="center"/>
          <w:tblCellMar>
            <w:top w:w="0" w:type="dxa"/>
            <w:left w:w="108" w:type="dxa"/>
            <w:bottom w:w="0" w:type="dxa"/>
            <w:right w:w="108" w:type="dxa"/>
          </w:tblCellMar>
        </w:tblPrEx>
        <w:trPr>
          <w:trHeight w:val="539"/>
          <w:jc w:val="center"/>
        </w:trPr>
        <w:tc>
          <w:tcPr>
            <w:tcW w:w="5000" w:type="pct"/>
            <w:gridSpan w:val="8"/>
            <w:noWrap w:val="0"/>
            <w:vAlign w:val="center"/>
          </w:tcPr>
          <w:p>
            <w:pPr>
              <w:jc w:val="center"/>
              <w:rPr>
                <w:rFonts w:ascii="宋体" w:eastAsia="宋体" w:hAnsi="宋体" w:cs="宋体" w:hint="eastAsia"/>
                <w:b/>
                <w:bCs/>
                <w:color w:val="auto"/>
                <w:sz w:val="21"/>
                <w:szCs w:val="21"/>
                <w:vertAlign w:val="baseline"/>
                <w:lang w:val="en-US" w:eastAsia="zh-CN"/>
              </w:rPr>
            </w:pPr>
            <w:r>
              <w:rPr>
                <w:rFonts w:ascii="宋体" w:eastAsia="宋体" w:hAnsi="宋体" w:cs="宋体" w:hint="eastAsia"/>
                <w:b/>
                <w:bCs/>
                <w:color w:val="auto"/>
                <w:sz w:val="21"/>
                <w:szCs w:val="21"/>
                <w:vertAlign w:val="baseline"/>
                <w:lang w:val="en-US" w:eastAsia="zh-CN"/>
              </w:rPr>
              <w:t>投标（响应）供应商关联关系情况</w:t>
            </w:r>
          </w:p>
        </w:tc>
      </w:tr>
      <w:tr>
        <w:tblPrEx>
          <w:tblW w:w="4998" w:type="pct"/>
          <w:jc w:val="center"/>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序号</w:t>
            </w:r>
          </w:p>
        </w:tc>
        <w:tc>
          <w:tcPr>
            <w:tcW w:w="1275" w:type="pct"/>
            <w:gridSpan w:val="2"/>
            <w:tcBorders>
              <w:bottom w:val="single" w:sz="4" w:space="0" w:color="auto"/>
            </w:tcBorders>
            <w:noWrap w:val="0"/>
            <w:vAlign w:val="center"/>
          </w:tcPr>
          <w:p>
            <w:pPr>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vertAlign w:val="baseline"/>
                <w:lang w:val="en-US" w:eastAsia="zh-CN"/>
              </w:rPr>
              <w:t>关联关系类型</w:t>
            </w:r>
          </w:p>
        </w:tc>
        <w:tc>
          <w:tcPr>
            <w:tcW w:w="971" w:type="pct"/>
            <w:gridSpan w:val="2"/>
            <w:tcBorders>
              <w:bottom w:val="single" w:sz="4" w:space="0" w:color="auto"/>
            </w:tcBorders>
            <w:noWrap w:val="0"/>
            <w:vAlign w:val="center"/>
          </w:tcPr>
          <w:p>
            <w:pPr>
              <w:jc w:val="center"/>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关联主体名称</w:t>
            </w:r>
          </w:p>
        </w:tc>
        <w:tc>
          <w:tcPr>
            <w:tcW w:w="2340" w:type="pct"/>
            <w:gridSpan w:val="3"/>
            <w:tcBorders>
              <w:bottom w:val="single" w:sz="4" w:space="0" w:color="auto"/>
            </w:tcBorders>
            <w:noWrap w:val="0"/>
            <w:vAlign w:val="center"/>
          </w:tcPr>
          <w:p>
            <w:pPr>
              <w:jc w:val="center"/>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备注</w:t>
            </w: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highlight w:val="none"/>
                <w:vertAlign w:val="baseline"/>
                <w:lang w:val="en-US"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jc w:val="both"/>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4998" w:type="pct"/>
          <w:jc w:val="center"/>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eastAsia="宋体" w:hAnsi="宋体" w:cs="宋体" w:hint="eastAsia"/>
                <w:color w:val="auto"/>
                <w:sz w:val="21"/>
                <w:szCs w:val="21"/>
                <w:highlight w:val="none"/>
                <w:vertAlign w:val="baseline"/>
                <w:lang w:val="en-US"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jc w:val="both"/>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指对投标（响应）供应商不具有出资持股关系，但对其存在管理关系的主体。</w:t>
            </w:r>
          </w:p>
        </w:tc>
      </w:tr>
      <w:tr>
        <w:tblPrEx>
          <w:tblW w:w="4998" w:type="pct"/>
          <w:jc w:val="center"/>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snapToGrid w:val="0"/>
              <w:jc w:val="both"/>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b/>
                <w:bCs/>
                <w:color w:val="auto"/>
                <w:sz w:val="21"/>
                <w:szCs w:val="21"/>
                <w:highlight w:val="none"/>
                <w:vertAlign w:val="baseline"/>
                <w:lang w:val="en-US" w:eastAsia="zh-CN"/>
              </w:rPr>
              <w:t>说明：同一关联关系类型有多个主体的，应分行填写。</w:t>
            </w:r>
          </w:p>
        </w:tc>
      </w:tr>
    </w:tbl>
    <w:p>
      <w:pPr>
        <w:pStyle w:val="NoSpacing"/>
        <w:rPr>
          <w:rFonts w:ascii="宋体" w:hAnsi="宋体" w:hint="eastAsia"/>
          <w:b/>
          <w:color w:val="FF0000"/>
          <w:sz w:val="28"/>
          <w:szCs w:val="28"/>
        </w:rPr>
      </w:pPr>
    </w:p>
    <w:p>
      <w:pPr>
        <w:rPr>
          <w:rFonts w:ascii="宋体" w:hAnsi="宋体" w:hint="eastAsia"/>
          <w:b/>
          <w:color w:val="FF0000"/>
          <w:sz w:val="28"/>
          <w:szCs w:val="28"/>
        </w:rPr>
      </w:pPr>
      <w:r>
        <w:rPr>
          <w:rFonts w:ascii="宋体" w:hAnsi="宋体" w:hint="eastAsia"/>
          <w:b/>
          <w:color w:val="FF0000"/>
          <w:sz w:val="28"/>
          <w:szCs w:val="28"/>
        </w:rPr>
        <w:br w:type="page"/>
      </w:r>
    </w:p>
    <w:p>
      <w:pPr>
        <w:pStyle w:val="Heading3"/>
        <w:jc w:val="center"/>
        <w:rPr>
          <w:rFonts w:ascii="黑体" w:eastAsia="黑体"/>
          <w:b w:val="0"/>
          <w:sz w:val="24"/>
        </w:rPr>
      </w:pPr>
      <w:r>
        <w:rPr>
          <w:rFonts w:ascii="黑体" w:eastAsia="黑体" w:hint="eastAsia"/>
          <w:b w:val="0"/>
          <w:sz w:val="24"/>
          <w:lang w:val="en-US" w:eastAsia="zh-CN"/>
        </w:rPr>
        <w:t>二</w:t>
      </w:r>
      <w:r>
        <w:rPr>
          <w:rFonts w:ascii="黑体" w:eastAsia="黑体" w:hint="eastAsia"/>
          <w:b w:val="0"/>
          <w:sz w:val="24"/>
        </w:rPr>
        <w:t>、</w:t>
      </w:r>
      <w:bookmarkStart w:id="69" w:name="_Hlk72092499"/>
      <w:r>
        <w:rPr>
          <w:rFonts w:ascii="黑体" w:eastAsia="黑体" w:hint="eastAsia"/>
          <w:b w:val="0"/>
          <w:sz w:val="24"/>
        </w:rPr>
        <w:t>法定代表人（负责人）证明书</w:t>
      </w:r>
      <w:bookmarkEnd w:id="69"/>
    </w:p>
    <w:p>
      <w:pPr>
        <w:rPr>
          <w:sz w:val="24"/>
        </w:rPr>
      </w:pPr>
    </w:p>
    <w:p>
      <w:pPr>
        <w:spacing w:line="360" w:lineRule="auto"/>
        <w:ind w:firstLine="420" w:firstLineChars="200"/>
        <w:rPr>
          <w:rFonts w:eastAsia="宋体" w:hint="default"/>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8"/>
        </w:numPr>
        <w:spacing w:line="360" w:lineRule="auto"/>
        <w:ind w:firstLine="420" w:firstLineChars="200"/>
        <w:rPr>
          <w:rFonts w:hint="eastAsia"/>
          <w:color w:val="auto"/>
          <w:szCs w:val="21"/>
          <w:lang w:val="en-US" w:eastAsia="zh-CN"/>
        </w:rPr>
      </w:pPr>
      <w:r>
        <w:rPr>
          <w:rFonts w:hint="eastAsia"/>
          <w:color w:val="auto"/>
          <w:szCs w:val="21"/>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8"/>
        </w:numPr>
        <w:spacing w:line="360" w:lineRule="auto"/>
        <w:ind w:firstLine="420" w:firstLineChars="200"/>
        <w:rPr>
          <w:szCs w:val="21"/>
        </w:rPr>
      </w:pPr>
      <w:r>
        <w:rPr>
          <w:rFonts w:hint="eastAsia"/>
          <w:color w:val="auto"/>
          <w:szCs w:val="21"/>
        </w:rPr>
        <w:t>本项目投标授权代表为法定代表人（负责人）的，无需提供《投标文件签署授权委托书》。</w:t>
      </w:r>
    </w:p>
    <w:p>
      <w:pPr>
        <w:numPr>
          <w:ilvl w:val="0"/>
          <w:numId w:val="8"/>
        </w:numPr>
        <w:spacing w:line="360" w:lineRule="auto"/>
        <w:ind w:firstLine="420" w:firstLineChars="200"/>
        <w:rPr>
          <w:szCs w:val="21"/>
        </w:rPr>
      </w:pPr>
      <w:r>
        <w:rPr>
          <w:rFonts w:hint="eastAsia"/>
          <w:szCs w:val="21"/>
        </w:rPr>
        <w:t>内容必须填写真实、清楚，涂改无效，不得转让、买卖。</w:t>
      </w:r>
    </w:p>
    <w:tbl>
      <w:tblPr>
        <w:tblStyle w:val="TableGrid"/>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BodyText"/>
              <w:jc w:val="center"/>
              <w:rPr>
                <w:rFonts w:hint="eastAsia"/>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BodyText"/>
              <w:jc w:val="center"/>
              <w:rPr>
                <w:rFonts w:hint="eastAsia"/>
                <w:lang w:val="en-US" w:eastAsia="zh-CN"/>
              </w:rPr>
            </w:pPr>
          </w:p>
          <w:p>
            <w:pPr>
              <w:pStyle w:val="BodyText2"/>
              <w:jc w:val="center"/>
              <w:rPr>
                <w:rFonts w:hint="eastAsia"/>
                <w:sz w:val="24"/>
                <w:vertAlign w:val="baseline"/>
                <w:lang w:val="en-US" w:eastAsia="zh-CN"/>
              </w:rPr>
            </w:pPr>
          </w:p>
        </w:tc>
      </w:tr>
    </w:tbl>
    <w:p>
      <w:pPr>
        <w:rPr>
          <w:sz w:val="24"/>
        </w:rPr>
      </w:pPr>
    </w:p>
    <w:p>
      <w:pPr>
        <w:pStyle w:val="NoSpacing"/>
        <w:rPr>
          <w:sz w:val="24"/>
        </w:rPr>
      </w:pPr>
      <w:r>
        <w:rPr>
          <w:rFonts w:ascii="黑体" w:eastAsia="黑体" w:hAnsi="黑体" w:cs="黑体" w:hint="eastAsia"/>
          <w:b/>
          <w:bCs/>
          <w:color w:val="auto"/>
          <w:sz w:val="24"/>
          <w:szCs w:val="24"/>
          <w:u w:val="none"/>
          <w:lang w:val="en-US" w:eastAsia="zh-CN"/>
        </w:rPr>
        <w:t>温馨提示</w:t>
      </w:r>
      <w:r>
        <w:rPr>
          <w:rFonts w:ascii="黑体" w:eastAsia="黑体" w:hAnsi="黑体" w:cs="黑体" w:hint="eastAsia"/>
          <w:color w:val="auto"/>
          <w:sz w:val="24"/>
          <w:szCs w:val="24"/>
          <w:u w:val="none"/>
          <w:lang w:val="en-US" w:eastAsia="zh-CN"/>
        </w:rPr>
        <w:t>：</w:t>
      </w:r>
      <w:r>
        <w:rPr>
          <w:rFonts w:ascii="Times New Roman" w:eastAsia="宋体" w:hAnsi="Times New Roman" w:cs="Times New Roman" w:hint="eastAsia"/>
          <w:kern w:val="2"/>
          <w:sz w:val="21"/>
          <w:szCs w:val="21"/>
          <w:lang w:val="en-US" w:eastAsia="zh-CN" w:bidi="ar-SA"/>
        </w:rPr>
        <w:t>为避免出现《深圳经济特区政府采购条例实施细则》第七十五条第二项所列情形，请投标供应商核实</w:t>
      </w:r>
      <w:r>
        <w:rPr>
          <w:rFonts w:ascii="Times New Roman" w:hAnsi="Times New Roman"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法定代表人、本项目投标授权代表人、项目负责人（如有）、主要技术人员（如有）等是否在</w:t>
      </w:r>
      <w:r>
        <w:rPr>
          <w:rFonts w:ascii="Times New Roman" w:hAnsi="Times New Roman"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缴纳社会保险。</w:t>
      </w:r>
    </w:p>
    <w:p>
      <w:pPr>
        <w:pStyle w:val="NoSpacing"/>
        <w:rPr>
          <w:sz w:val="24"/>
        </w:rPr>
      </w:pPr>
    </w:p>
    <w:p>
      <w:pPr>
        <w:pStyle w:val="NoSpacing"/>
        <w:rPr>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NoSpacing"/>
        <w:rPr>
          <w:sz w:val="24"/>
        </w:rPr>
      </w:pPr>
    </w:p>
    <w:p>
      <w:pPr>
        <w:pStyle w:val="Heading3"/>
        <w:spacing w:before="120" w:after="120"/>
        <w:jc w:val="center"/>
        <w:rPr>
          <w:rFonts w:ascii="黑体" w:eastAsia="黑体"/>
          <w:b w:val="0"/>
          <w:sz w:val="24"/>
        </w:rPr>
      </w:pPr>
      <w:r>
        <w:rPr>
          <w:rFonts w:ascii="黑体" w:eastAsia="黑体" w:hint="eastAsia"/>
          <w:b w:val="0"/>
          <w:sz w:val="24"/>
          <w:lang w:val="en-US" w:eastAsia="zh-CN"/>
        </w:rPr>
        <w:t>三</w:t>
      </w:r>
      <w:r>
        <w:rPr>
          <w:rFonts w:ascii="黑体" w:eastAsia="黑体" w:hint="eastAsia"/>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eastAsia="宋体" w:hint="eastAsia"/>
          <w:szCs w:val="21"/>
          <w:u w:val="none"/>
          <w:lang w:eastAsia="zh-CN"/>
        </w:rPr>
        <w:t>；</w:t>
      </w:r>
    </w:p>
    <w:p>
      <w:pPr>
        <w:spacing w:line="360" w:lineRule="auto"/>
        <w:ind w:firstLine="420" w:firstLineChars="200"/>
        <w:rPr>
          <w:rFonts w:eastAsia="宋体" w:hint="eastAsia"/>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0"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TableGrid"/>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lang w:val="en-US" w:eastAsia="zh-CN"/>
              </w:rPr>
            </w:pPr>
            <w:r>
              <w:rPr>
                <w:rFonts w:ascii="Times New Roman" w:eastAsia="宋体" w:hint="eastAsia"/>
                <w:lang w:val="en-US" w:eastAsia="zh-CN"/>
              </w:rPr>
              <w:t>证件扫描件正面</w:t>
            </w:r>
          </w:p>
          <w:p>
            <w:pPr>
              <w:pStyle w:val="BodyText"/>
              <w:jc w:val="center"/>
              <w:rPr>
                <w:rFonts w:hint="eastAsia"/>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tc>
        <w:tc>
          <w:tcPr>
            <w:tcW w:w="4265" w:type="dxa"/>
            <w:vAlign w:val="top"/>
          </w:tcPr>
          <w:p>
            <w:pPr>
              <w:jc w:val="center"/>
              <w:rPr>
                <w:rFonts w:hint="eastAsia"/>
                <w:lang w:val="en-US" w:eastAsia="zh-CN"/>
              </w:rPr>
            </w:pPr>
            <w:r>
              <w:rPr>
                <w:rFonts w:ascii="Times New Roman" w:eastAsia="宋体" w:hint="eastAsia"/>
                <w:lang w:val="en-US" w:eastAsia="zh-CN"/>
              </w:rPr>
              <w:t>证件扫描件反面</w:t>
            </w:r>
          </w:p>
          <w:p>
            <w:pPr>
              <w:pStyle w:val="BodyText"/>
              <w:jc w:val="center"/>
              <w:rPr>
                <w:rFonts w:hint="eastAsia"/>
                <w:lang w:val="en-US" w:eastAsia="zh-CN"/>
              </w:rPr>
            </w:pPr>
          </w:p>
          <w:p>
            <w:pPr>
              <w:pStyle w:val="BodyText2"/>
              <w:jc w:val="center"/>
              <w:rPr>
                <w:rFonts w:hint="eastAsia"/>
                <w:sz w:val="24"/>
                <w:vertAlign w:val="baseline"/>
                <w:lang w:val="en-US" w:eastAsia="zh-CN"/>
              </w:rPr>
            </w:pPr>
          </w:p>
        </w:tc>
      </w:tr>
    </w:tbl>
    <w:p>
      <w:pPr>
        <w:widowControl w:val="0"/>
        <w:jc w:val="both"/>
        <w:rPr>
          <w:rFonts w:ascii="黑体" w:eastAsia="黑体" w:hAnsi="黑体" w:cs="黑体" w:hint="eastAsia"/>
          <w:b/>
          <w:bCs/>
          <w:color w:val="auto"/>
          <w:kern w:val="2"/>
          <w:sz w:val="24"/>
          <w:szCs w:val="24"/>
          <w:u w:val="none"/>
          <w:lang w:val="en-US" w:eastAsia="zh-CN" w:bidi="ar-SA"/>
        </w:rPr>
      </w:pPr>
    </w:p>
    <w:p>
      <w:pPr>
        <w:widowControl w:val="0"/>
        <w:jc w:val="both"/>
        <w:rPr>
          <w:rFonts w:ascii="Calibri" w:eastAsia="宋体" w:hAnsi="Calibri" w:cs="Times New Roman"/>
          <w:kern w:val="2"/>
          <w:sz w:val="21"/>
          <w:szCs w:val="22"/>
          <w:lang w:val="en-US" w:eastAsia="zh-CN" w:bidi="ar-SA"/>
        </w:rPr>
      </w:pPr>
      <w:r>
        <w:rPr>
          <w:rFonts w:ascii="黑体" w:eastAsia="黑体" w:hAnsi="黑体" w:cs="黑体" w:hint="eastAsia"/>
          <w:b/>
          <w:bCs/>
          <w:color w:val="auto"/>
          <w:kern w:val="2"/>
          <w:sz w:val="24"/>
          <w:szCs w:val="24"/>
          <w:u w:val="none"/>
          <w:lang w:val="en-US" w:eastAsia="zh-CN" w:bidi="ar-SA"/>
        </w:rPr>
        <w:t>温馨提示</w:t>
      </w:r>
      <w:r>
        <w:rPr>
          <w:rFonts w:ascii="黑体" w:eastAsia="黑体" w:hAnsi="黑体" w:cs="黑体" w:hint="eastAsia"/>
          <w:color w:val="auto"/>
          <w:kern w:val="2"/>
          <w:sz w:val="24"/>
          <w:szCs w:val="24"/>
          <w:u w:val="none"/>
          <w:lang w:val="en-US" w:eastAsia="zh-CN" w:bidi="ar-SA"/>
        </w:rPr>
        <w:t>：</w:t>
      </w:r>
      <w:r>
        <w:rPr>
          <w:rFonts w:ascii="Times New Roman" w:eastAsia="宋体" w:hAnsi="Times New Roman" w:cs="Times New Roman" w:hint="eastAsia"/>
          <w:kern w:val="2"/>
          <w:sz w:val="21"/>
          <w:szCs w:val="21"/>
          <w:lang w:val="en-US" w:eastAsia="zh-CN" w:bidi="ar-SA"/>
        </w:rPr>
        <w:t>为避免出现《深圳经济特区政府采购条例实施细则》第七十五条第二项所列情形，请投标供应商核实</w:t>
      </w:r>
      <w:r>
        <w:rPr>
          <w:rFonts w:ascii="Times New Roman" w:hAnsi="Times New Roman"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法定代表人、本项目投标授权代表人、项目负责人（如有）、主要技术人员（如有）等是否在</w:t>
      </w:r>
      <w:r>
        <w:rPr>
          <w:rFonts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缴纳社会保险。</w:t>
      </w:r>
    </w:p>
    <w:p>
      <w:pPr>
        <w:widowControl w:val="0"/>
        <w:jc w:val="both"/>
        <w:rPr>
          <w:rFonts w:ascii="Calibri" w:eastAsia="宋体" w:hAnsi="Calibri" w:cs="Times New Roman"/>
          <w:kern w:val="2"/>
          <w:sz w:val="21"/>
          <w:szCs w:val="22"/>
          <w:lang w:val="en-US" w:eastAsia="zh-CN" w:bidi="ar-SA"/>
        </w:rPr>
      </w:pPr>
    </w:p>
    <w:p>
      <w:pPr>
        <w:widowControl w:val="0"/>
        <w:jc w:val="both"/>
        <w:rPr>
          <w:rFonts w:ascii="Calibri" w:eastAsia="宋体" w:hAnsi="Calibri" w:cs="Times New Roman"/>
          <w:kern w:val="2"/>
          <w:sz w:val="21"/>
          <w:szCs w:val="22"/>
          <w:lang w:val="en-US" w:eastAsia="zh-CN" w:bidi="ar-SA"/>
        </w:rPr>
      </w:pPr>
    </w:p>
    <w:p>
      <w:pPr>
        <w:widowControl w:val="0"/>
        <w:jc w:val="both"/>
        <w:rPr>
          <w:rFonts w:ascii="Calibri" w:eastAsia="宋体" w:hAnsi="Calibri" w:cs="Times New Roman" w:hint="eastAsia"/>
          <w:kern w:val="2"/>
          <w:sz w:val="21"/>
          <w:szCs w:val="22"/>
          <w:lang w:val="en-US" w:eastAsia="zh-CN" w:bidi="ar-SA"/>
        </w:rPr>
      </w:pPr>
    </w:p>
    <w:p>
      <w:pPr>
        <w:rPr>
          <w:rFonts w:ascii="黑体" w:eastAsia="黑体" w:hint="eastAsia"/>
          <w:b w:val="0"/>
          <w:kern w:val="0"/>
          <w:sz w:val="24"/>
          <w:szCs w:val="24"/>
        </w:rPr>
      </w:pPr>
    </w:p>
    <w:p>
      <w:pPr>
        <w:pStyle w:val="NoSpacing"/>
        <w:rPr>
          <w:rFonts w:ascii="黑体" w:eastAsia="黑体" w:hint="eastAsia"/>
          <w:b w:val="0"/>
          <w:kern w:val="0"/>
          <w:sz w:val="24"/>
          <w:szCs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3"/>
        <w:jc w:val="center"/>
        <w:rPr>
          <w:rFonts w:ascii="黑体" w:eastAsia="黑体"/>
          <w:b w:val="0"/>
          <w:kern w:val="0"/>
          <w:sz w:val="24"/>
          <w:szCs w:val="24"/>
        </w:rPr>
      </w:pPr>
      <w:r>
        <w:rPr>
          <w:rFonts w:ascii="黑体" w:eastAsia="黑体" w:hint="eastAsia"/>
          <w:b w:val="0"/>
          <w:kern w:val="0"/>
          <w:sz w:val="24"/>
          <w:szCs w:val="24"/>
          <w:lang w:val="en-US" w:eastAsia="zh-CN"/>
        </w:rPr>
        <w:t>四</w:t>
      </w:r>
      <w:r>
        <w:rPr>
          <w:rFonts w:ascii="黑体" w:eastAsia="黑体" w:hint="eastAsia"/>
          <w:b w:val="0"/>
          <w:kern w:val="0"/>
          <w:sz w:val="24"/>
          <w:szCs w:val="24"/>
        </w:rPr>
        <w:t>、</w:t>
      </w:r>
      <w:bookmarkStart w:id="70" w:name="_Hlk72092634"/>
      <w:r>
        <w:rPr>
          <w:rFonts w:ascii="黑体" w:eastAsia="黑体" w:hint="eastAsia"/>
          <w:b w:val="0"/>
          <w:kern w:val="0"/>
          <w:sz w:val="24"/>
          <w:szCs w:val="24"/>
        </w:rPr>
        <w:t>实质性条款响应情况表</w:t>
      </w:r>
      <w:bookmarkEnd w:id="70"/>
    </w:p>
    <w:tbl>
      <w:tblPr>
        <w:tblStyle w:val="TableNormal"/>
        <w:tblW w:w="82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2664"/>
        <w:gridCol w:w="1588"/>
        <w:gridCol w:w="1842"/>
        <w:gridCol w:w="1418"/>
      </w:tblGrid>
      <w:tr>
        <w:tblPrEx>
          <w:tblW w:w="82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adjustRightInd w:val="0"/>
              <w:snapToGrid w:val="0"/>
              <w:spacing w:line="360" w:lineRule="auto"/>
              <w:jc w:val="center"/>
              <w:rPr>
                <w:rFonts w:ascii="宋体" w:hAnsi="宋体"/>
                <w:kern w:val="0"/>
                <w:szCs w:val="21"/>
              </w:rPr>
            </w:pPr>
            <w:bookmarkStart w:id="71" w:name="_Hlk72092651"/>
            <w:r>
              <w:rPr>
                <w:rFonts w:ascii="宋体" w:hAnsi="宋体" w:hint="eastAsia"/>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tr>
        <w:tblPrEx>
          <w:tblW w:w="8217" w:type="dxa"/>
          <w:tblInd w:w="0" w:type="dxa"/>
          <w:tblLayout w:type="fixed"/>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bookmarkEnd w:id="71"/>
            <w:r>
              <w:rPr>
                <w:rFonts w:ascii="宋体" w:hAnsi="宋体" w:hint="eastAsia"/>
                <w:kern w:val="0"/>
                <w:szCs w:val="21"/>
              </w:rPr>
              <w:t>1</w:t>
            </w:r>
          </w:p>
        </w:tc>
        <w:tc>
          <w:tcPr>
            <w:tcW w:w="2664" w:type="dxa"/>
            <w:vAlign w:val="center"/>
          </w:tcPr>
          <w:p>
            <w:pPr>
              <w:rPr>
                <w:rFonts w:hAnsi="宋体"/>
                <w:kern w:val="0"/>
                <w:szCs w:val="21"/>
              </w:rPr>
            </w:pPr>
            <w:r>
              <w:rPr>
                <w:rFonts w:hint="eastAsia"/>
              </w:rPr>
              <w:t>具体以采购文件第三章 用户需求书中带“★”的需求项为准。</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20" w:firstLineChars="200"/>
        <w:rPr>
          <w:b/>
          <w:sz w:val="24"/>
          <w:szCs w:val="22"/>
        </w:rPr>
      </w:pPr>
    </w:p>
    <w:p>
      <w:pPr>
        <w:ind w:firstLine="420" w:firstLineChars="200"/>
        <w:rPr>
          <w:b/>
          <w:sz w:val="24"/>
          <w:szCs w:val="22"/>
        </w:rPr>
      </w:pPr>
      <w:r>
        <w:rPr>
          <w:rFonts w:hint="eastAsia"/>
          <w:b/>
          <w:sz w:val="24"/>
          <w:szCs w:val="22"/>
        </w:rPr>
        <w:t>注：1.上表所列各项均为不可负偏离条款。</w:t>
      </w:r>
    </w:p>
    <w:p>
      <w:pPr>
        <w:ind w:firstLine="420"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20"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20" w:firstLineChars="200"/>
        <w:rPr>
          <w:b/>
          <w:sz w:val="24"/>
        </w:rPr>
      </w:pPr>
      <w:r>
        <w:rPr>
          <w:b/>
          <w:sz w:val="24"/>
        </w:rPr>
        <w:t>4.</w:t>
      </w:r>
      <w:r>
        <w:rPr>
          <w:rFonts w:hint="eastAsia"/>
          <w:b/>
          <w:sz w:val="24"/>
        </w:rPr>
        <w:t>评审委员会有权对投标响应情况作出判断（作出评审结论）。</w:t>
      </w:r>
    </w:p>
    <w:p>
      <w:pPr>
        <w:ind w:firstLine="420"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8"/>
    </w:p>
    <w:p>
      <w:pPr>
        <w:ind w:firstLine="420" w:firstLineChars="200"/>
        <w:rPr>
          <w:b/>
          <w:sz w:val="24"/>
          <w:szCs w:val="22"/>
        </w:rPr>
      </w:pPr>
      <w:r>
        <w:rPr>
          <w:rFonts w:hint="eastAsia"/>
          <w:b/>
          <w:sz w:val="24"/>
          <w:szCs w:val="22"/>
        </w:rPr>
        <w:t>6.要求提供证明资料，在“说明”一栏中列明证明资料的位置,以便评审；未要求提供证明材料的，投标人可以不提供。</w:t>
      </w:r>
    </w:p>
    <w:p/>
    <w:p>
      <w:r>
        <w:br w:type="page"/>
      </w:r>
    </w:p>
    <w:p>
      <w:pPr>
        <w:pStyle w:val="Heading3"/>
        <w:jc w:val="center"/>
        <w:rPr>
          <w:sz w:val="24"/>
        </w:rPr>
      </w:pPr>
      <w:r>
        <w:rPr>
          <w:rFonts w:ascii="黑体" w:eastAsia="黑体" w:hint="eastAsia"/>
          <w:b w:val="0"/>
          <w:sz w:val="24"/>
          <w:szCs w:val="24"/>
          <w:lang w:val="en-US" w:eastAsia="zh-CN"/>
        </w:rPr>
        <w:t>五</w:t>
      </w:r>
      <w:r>
        <w:rPr>
          <w:rFonts w:ascii="黑体" w:eastAsia="黑体" w:hint="eastAsia"/>
          <w:b w:val="0"/>
          <w:sz w:val="24"/>
          <w:szCs w:val="24"/>
        </w:rPr>
        <w:t>、技术要求偏离表</w:t>
      </w:r>
    </w:p>
    <w:tbl>
      <w:tblPr>
        <w:tblStyle w:val="TableNormal"/>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7"/>
        <w:gridCol w:w="493"/>
        <w:gridCol w:w="5114"/>
        <w:gridCol w:w="824"/>
        <w:gridCol w:w="824"/>
        <w:gridCol w:w="842"/>
      </w:tblGrid>
      <w:tr>
        <w:tblPrEx>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70"/>
          <w:jc w:val="center"/>
        </w:trPr>
        <w:tc>
          <w:tcPr>
            <w:tcW w:w="250" w:type="pct"/>
            <w:vAlign w:val="center"/>
          </w:tcPr>
          <w:p>
            <w:pPr>
              <w:jc w:val="center"/>
              <w:rPr>
                <w:rFonts w:ascii="宋体" w:eastAsia="宋体" w:hAnsi="宋体" w:cs="宋体" w:hint="eastAsia"/>
                <w:b/>
                <w:bCs/>
                <w:color w:val="000000" w:themeColor="text1"/>
                <w:sz w:val="21"/>
                <w:szCs w:val="21"/>
                <w14:textFill>
                  <w14:solidFill>
                    <w14:schemeClr w14:val="tx1"/>
                  </w14:solidFill>
                </w14:textFill>
              </w:rPr>
            </w:pPr>
            <w:r>
              <w:rPr>
                <w:rFonts w:ascii="宋体" w:eastAsia="宋体" w:hAnsi="宋体" w:cs="宋体" w:hint="eastAsia"/>
                <w:b/>
                <w:bCs/>
                <w:color w:val="000000" w:themeColor="text1"/>
                <w:sz w:val="21"/>
                <w:szCs w:val="21"/>
                <w14:textFill>
                  <w14:solidFill>
                    <w14:schemeClr w14:val="tx1"/>
                  </w14:solidFill>
                </w14:textFill>
              </w:rPr>
              <w:t>序号</w:t>
            </w:r>
          </w:p>
        </w:tc>
        <w:tc>
          <w:tcPr>
            <w:tcW w:w="289" w:type="pct"/>
            <w:vAlign w:val="center"/>
          </w:tcPr>
          <w:p>
            <w:pPr>
              <w:widowControl/>
              <w:jc w:val="center"/>
              <w:rPr>
                <w:rFonts w:ascii="宋体" w:eastAsia="宋体" w:hAnsi="宋体" w:cs="宋体" w:hint="eastAsia"/>
                <w:b/>
                <w:bCs/>
                <w:color w:val="000000" w:themeColor="text1"/>
                <w:sz w:val="21"/>
                <w:szCs w:val="21"/>
                <w14:textFill>
                  <w14:solidFill>
                    <w14:schemeClr w14:val="tx1"/>
                  </w14:solidFill>
                </w14:textFill>
              </w:rPr>
            </w:pPr>
            <w:r>
              <w:rPr>
                <w:rFonts w:ascii="宋体" w:eastAsia="宋体" w:hAnsi="宋体" w:cs="宋体" w:hint="eastAsia"/>
                <w:b/>
                <w:bCs/>
                <w:color w:val="000000" w:themeColor="text1"/>
                <w:sz w:val="21"/>
                <w:szCs w:val="21"/>
                <w14:textFill>
                  <w14:solidFill>
                    <w14:schemeClr w14:val="tx1"/>
                  </w14:solidFill>
                </w14:textFill>
              </w:rPr>
              <w:t>货物名称</w:t>
            </w:r>
          </w:p>
        </w:tc>
        <w:tc>
          <w:tcPr>
            <w:tcW w:w="2999" w:type="pct"/>
            <w:vAlign w:val="center"/>
          </w:tcPr>
          <w:p>
            <w:pPr>
              <w:jc w:val="center"/>
              <w:rPr>
                <w:rFonts w:ascii="宋体" w:eastAsia="宋体" w:hAnsi="宋体" w:cs="宋体" w:hint="eastAsia"/>
                <w:b/>
                <w:bCs/>
                <w:color w:val="000000" w:themeColor="text1"/>
                <w:sz w:val="21"/>
                <w:szCs w:val="21"/>
                <w14:textFill>
                  <w14:solidFill>
                    <w14:schemeClr w14:val="tx1"/>
                  </w14:solidFill>
                </w14:textFill>
              </w:rPr>
            </w:pPr>
            <w:r>
              <w:rPr>
                <w:rFonts w:ascii="宋体" w:eastAsia="宋体" w:hAnsi="宋体" w:cs="宋体" w:hint="eastAsia"/>
                <w:b/>
                <w:bCs/>
                <w:color w:val="000000" w:themeColor="text1"/>
                <w:sz w:val="21"/>
                <w:szCs w:val="21"/>
                <w14:textFill>
                  <w14:solidFill>
                    <w14:schemeClr w14:val="tx1"/>
                  </w14:solidFill>
                </w14:textFill>
              </w:rPr>
              <w:t>招标技术要求</w:t>
            </w:r>
          </w:p>
        </w:tc>
        <w:tc>
          <w:tcPr>
            <w:tcW w:w="483" w:type="pct"/>
            <w:vAlign w:val="center"/>
          </w:tcPr>
          <w:p>
            <w:pPr>
              <w:jc w:val="center"/>
              <w:rPr>
                <w:rFonts w:ascii="宋体" w:eastAsia="宋体" w:hAnsi="宋体" w:cs="宋体" w:hint="eastAsia"/>
                <w:b/>
                <w:bCs/>
                <w:color w:val="000000" w:themeColor="text1"/>
                <w:sz w:val="21"/>
                <w:szCs w:val="21"/>
                <w:lang w:val="en-US" w:eastAsia="zh-CN"/>
                <w14:textFill>
                  <w14:solidFill>
                    <w14:schemeClr w14:val="tx1"/>
                  </w14:solidFill>
                </w14:textFill>
              </w:rPr>
            </w:pPr>
            <w:r>
              <w:rPr>
                <w:rFonts w:ascii="宋体" w:eastAsia="宋体" w:hAnsi="宋体" w:cs="宋体" w:hint="eastAsia"/>
                <w:b/>
                <w:bCs/>
                <w:color w:val="000000" w:themeColor="text1"/>
                <w:sz w:val="21"/>
                <w:szCs w:val="21"/>
                <w:lang w:val="en-US" w:eastAsia="zh-CN"/>
                <w14:textFill>
                  <w14:solidFill>
                    <w14:schemeClr w14:val="tx1"/>
                  </w14:solidFill>
                </w14:textFill>
              </w:rPr>
              <w:t>投标技术要求</w:t>
            </w:r>
          </w:p>
        </w:tc>
        <w:tc>
          <w:tcPr>
            <w:tcW w:w="483" w:type="pct"/>
            <w:vAlign w:val="center"/>
          </w:tcPr>
          <w:p>
            <w:pPr>
              <w:jc w:val="center"/>
              <w:rPr>
                <w:rFonts w:ascii="宋体" w:eastAsia="宋体" w:hAnsi="宋体" w:cs="宋体" w:hint="eastAsia"/>
                <w:b/>
                <w:bCs/>
                <w:color w:val="000000" w:themeColor="text1"/>
                <w:sz w:val="21"/>
                <w:szCs w:val="21"/>
                <w:lang w:val="en-US" w:eastAsia="zh-CN"/>
                <w14:textFill>
                  <w14:solidFill>
                    <w14:schemeClr w14:val="tx1"/>
                  </w14:solidFill>
                </w14:textFill>
              </w:rPr>
            </w:pPr>
            <w:r>
              <w:rPr>
                <w:rFonts w:ascii="宋体" w:eastAsia="宋体" w:hAnsi="宋体" w:cs="宋体" w:hint="eastAsia"/>
                <w:b/>
                <w:bCs/>
                <w:color w:val="000000" w:themeColor="text1"/>
                <w:sz w:val="21"/>
                <w:szCs w:val="21"/>
                <w:lang w:val="en-US" w:eastAsia="zh-CN"/>
                <w14:textFill>
                  <w14:solidFill>
                    <w14:schemeClr w14:val="tx1"/>
                  </w14:solidFill>
                </w14:textFill>
              </w:rPr>
              <w:t>偏离情况</w:t>
            </w:r>
          </w:p>
        </w:tc>
        <w:tc>
          <w:tcPr>
            <w:tcW w:w="493" w:type="pct"/>
            <w:vAlign w:val="center"/>
          </w:tcPr>
          <w:p>
            <w:pPr>
              <w:jc w:val="center"/>
              <w:rPr>
                <w:rFonts w:ascii="宋体" w:eastAsia="宋体" w:hAnsi="宋体" w:cs="宋体" w:hint="eastAsia"/>
                <w:b/>
                <w:bCs/>
                <w:color w:val="000000" w:themeColor="text1"/>
                <w:sz w:val="21"/>
                <w:szCs w:val="21"/>
                <w:lang w:val="en-US" w:eastAsia="zh-CN"/>
                <w14:textFill>
                  <w14:solidFill>
                    <w14:schemeClr w14:val="tx1"/>
                  </w14:solidFill>
                </w14:textFill>
              </w:rPr>
            </w:pPr>
            <w:r>
              <w:rPr>
                <w:rFonts w:ascii="宋体" w:eastAsia="宋体" w:hAnsi="宋体" w:cs="宋体" w:hint="eastAsia"/>
                <w:b/>
                <w:bCs/>
                <w:color w:val="000000" w:themeColor="text1"/>
                <w:sz w:val="21"/>
                <w:szCs w:val="21"/>
                <w:lang w:val="en-US" w:eastAsia="zh-CN"/>
                <w14:textFill>
                  <w14:solidFill>
                    <w14:schemeClr w14:val="tx1"/>
                  </w14:solidFill>
                </w14:textFill>
              </w:rPr>
              <w:t>说明</w:t>
            </w:r>
          </w:p>
        </w:tc>
      </w:tr>
      <w:tr>
        <w:tblPrEx>
          <w:tblW w:w="4997" w:type="pct"/>
          <w:jc w:val="center"/>
          <w:tblCellMar>
            <w:top w:w="0" w:type="dxa"/>
            <w:left w:w="108" w:type="dxa"/>
            <w:bottom w:w="0" w:type="dxa"/>
            <w:right w:w="108" w:type="dxa"/>
          </w:tblCellMar>
        </w:tblPrEx>
        <w:trPr>
          <w:trHeight w:val="274"/>
          <w:jc w:val="center"/>
        </w:trPr>
        <w:tc>
          <w:tcPr>
            <w:tcW w:w="250" w:type="pct"/>
            <w:vMerge w:val="restart"/>
            <w:vAlign w:val="center"/>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14:textFill>
                  <w14:solidFill>
                    <w14:schemeClr w14:val="tx1"/>
                  </w14:solidFill>
                </w14:textFill>
              </w:rPr>
              <w:t>1</w:t>
            </w:r>
          </w:p>
        </w:tc>
        <w:tc>
          <w:tcPr>
            <w:tcW w:w="289" w:type="pct"/>
            <w:vMerge w:val="restart"/>
            <w:vAlign w:val="center"/>
          </w:tcPr>
          <w:p>
            <w:pPr>
              <w:jc w:val="center"/>
              <w:rPr>
                <w:rFonts w:ascii="宋体" w:eastAsia="宋体" w:hAnsi="宋体" w:cs="宋体" w:hint="eastAsia"/>
                <w:color w:val="000000" w:themeColor="text1"/>
                <w:sz w:val="21"/>
                <w:szCs w:val="21"/>
                <w:lang w:eastAsia="zh-CN"/>
                <w14:textFill>
                  <w14:solidFill>
                    <w14:schemeClr w14:val="tx1"/>
                  </w14:solidFill>
                </w14:textFill>
              </w:rPr>
            </w:pPr>
            <w:r>
              <w:rPr>
                <w:rFonts w:ascii="宋体" w:eastAsia="宋体" w:hAnsi="宋体" w:cs="宋体" w:hint="eastAsia"/>
                <w:bCs/>
                <w:sz w:val="21"/>
                <w:szCs w:val="21"/>
                <w:lang w:val="en-US"/>
              </w:rPr>
              <w:t>双位联动磁场刺激仪</w:t>
            </w:r>
          </w:p>
        </w:tc>
        <w:tc>
          <w:tcPr>
            <w:tcW w:w="4459" w:type="pct"/>
            <w:gridSpan w:val="4"/>
          </w:tcPr>
          <w:p>
            <w:pPr>
              <w:rPr>
                <w:rFonts w:ascii="宋体" w:eastAsia="宋体" w:hAnsi="宋体" w:cs="宋体" w:hint="eastAsia"/>
                <w:b/>
                <w:bCs w:val="0"/>
                <w:sz w:val="21"/>
                <w:szCs w:val="21"/>
              </w:rPr>
            </w:pPr>
            <w:r>
              <w:rPr>
                <w:rFonts w:ascii="宋体" w:eastAsia="宋体" w:hAnsi="宋体" w:cs="宋体" w:hint="eastAsia"/>
                <w:b/>
                <w:bCs w:val="0"/>
                <w:sz w:val="21"/>
                <w:szCs w:val="21"/>
              </w:rPr>
              <w:t>主机：</w:t>
            </w:r>
          </w:p>
        </w:tc>
      </w:tr>
      <w:tr>
        <w:tblPrEx>
          <w:tblW w:w="4997" w:type="pct"/>
          <w:jc w:val="center"/>
          <w:tblCellMar>
            <w:top w:w="0" w:type="dxa"/>
            <w:left w:w="108" w:type="dxa"/>
            <w:bottom w:w="0" w:type="dxa"/>
            <w:right w:w="108" w:type="dxa"/>
          </w:tblCellMar>
        </w:tblPrEx>
        <w:trPr>
          <w:trHeight w:val="170"/>
          <w:jc w:val="center"/>
        </w:trPr>
        <w:tc>
          <w:tcPr>
            <w:tcW w:w="250" w:type="pct"/>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289" w:type="pct"/>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外观结构：一体式主机，脉冲源，冷却系统集成，；非堆叠结构，无倾覆、坠落风险。</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289" w:type="pct"/>
            <w:vMerge/>
            <w:vAlign w:val="center"/>
          </w:tcPr>
          <w:p>
            <w:pPr>
              <w:jc w:val="cente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b w:val="0"/>
                <w:bCs/>
                <w:sz w:val="21"/>
                <w:szCs w:val="21"/>
              </w:rPr>
              <w:t>冷却系统：液态内循环冷却系统，非风冷或静态液冷或外循环液冷；</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b w:val="0"/>
                <w:bCs/>
                <w:sz w:val="21"/>
                <w:szCs w:val="21"/>
              </w:rPr>
              <w:t>操作系统：承载管理软件，非一体机或触摸屏。</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b w:val="0"/>
                <w:bCs/>
                <w:sz w:val="21"/>
                <w:szCs w:val="21"/>
              </w:rPr>
              <w:t>刺激线圈最大磁感应强度</w:t>
            </w:r>
            <w:r>
              <w:rPr>
                <w:rFonts w:ascii="宋体" w:hAnsi="宋体" w:cs="宋体" w:hint="eastAsia"/>
                <w:b w:val="0"/>
                <w:bCs/>
                <w:sz w:val="21"/>
                <w:szCs w:val="21"/>
                <w:lang w:val="en-US" w:eastAsia="zh-CN"/>
              </w:rPr>
              <w:t>至少包含</w:t>
            </w:r>
            <w:r>
              <w:rPr>
                <w:rFonts w:ascii="宋体" w:eastAsia="宋体" w:hAnsi="宋体" w:cs="宋体" w:hint="eastAsia"/>
                <w:b w:val="0"/>
                <w:bCs/>
                <w:sz w:val="21"/>
                <w:szCs w:val="21"/>
              </w:rPr>
              <w:t>：1.0T~6T</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14:textFill>
                  <w14:solidFill>
                    <w14:schemeClr w14:val="tx1"/>
                  </w14:solidFill>
                </w14:textFill>
              </w:rPr>
            </w:pPr>
            <w:r>
              <w:rPr>
                <w:rFonts w:ascii="宋体" w:eastAsia="宋体" w:hAnsi="宋体" w:cs="宋体" w:hint="eastAsia"/>
                <w:b w:val="0"/>
                <w:bCs/>
                <w:sz w:val="21"/>
                <w:szCs w:val="21"/>
              </w:rPr>
              <w:t>磁感应强度稳定输出允差：</w:t>
            </w:r>
            <w:r>
              <w:rPr>
                <w:rFonts w:ascii="宋体" w:hAnsi="宋体" w:cs="宋体" w:hint="eastAsia"/>
                <w:b w:val="0"/>
                <w:bCs/>
                <w:sz w:val="21"/>
                <w:szCs w:val="21"/>
                <w:lang w:val="en-US" w:eastAsia="zh-CN"/>
              </w:rPr>
              <w:t>≤</w:t>
            </w:r>
            <w:r>
              <w:rPr>
                <w:rFonts w:ascii="宋体" w:eastAsia="宋体" w:hAnsi="宋体" w:cs="宋体" w:hint="eastAsia"/>
                <w:b w:val="0"/>
                <w:bCs/>
                <w:sz w:val="21"/>
                <w:szCs w:val="21"/>
              </w:rPr>
              <w:t>±5%</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磁感应强度的最大变化率：至少包括20KT/s~80KT/s</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脉冲上升时间：至少包括60μs±10μs</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输出脉冲宽度：至少包括340μs±20μs</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298"/>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输出脉冲频率：0.1Hz~40Hz可调</w:t>
            </w:r>
            <w:r>
              <w:rPr>
                <w:rFonts w:ascii="宋体" w:hAnsi="宋体" w:cs="宋体" w:hint="eastAsia"/>
                <w:b w:val="0"/>
                <w:bCs/>
                <w:sz w:val="21"/>
                <w:szCs w:val="21"/>
                <w:lang w:eastAsia="zh-CN"/>
              </w:rPr>
              <w:t>（</w:t>
            </w:r>
            <w:r>
              <w:rPr>
                <w:rFonts w:ascii="宋体" w:hAnsi="宋体" w:cs="宋体" w:hint="eastAsia"/>
                <w:b w:val="0"/>
                <w:bCs/>
                <w:sz w:val="21"/>
                <w:szCs w:val="21"/>
                <w:lang w:val="en-US" w:eastAsia="zh-CN"/>
              </w:rPr>
              <w:t>至少包含上述区间</w:t>
            </w:r>
            <w:r>
              <w:rPr>
                <w:rFonts w:ascii="宋体" w:hAnsi="宋体" w:cs="宋体" w:hint="eastAsia"/>
                <w:b w:val="0"/>
                <w:bCs/>
                <w:sz w:val="21"/>
                <w:szCs w:val="21"/>
                <w:lang w:eastAsia="zh-CN"/>
              </w:rPr>
              <w:t>）</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电介质强度：主机内部高压储能电容，电介质强度可达</w:t>
            </w:r>
            <w:r>
              <w:rPr>
                <w:rFonts w:ascii="宋体" w:hAnsi="宋体" w:cs="宋体" w:hint="eastAsia"/>
                <w:b w:val="0"/>
                <w:bCs/>
                <w:sz w:val="21"/>
                <w:szCs w:val="21"/>
                <w:lang w:val="en-US" w:eastAsia="zh-CN"/>
              </w:rPr>
              <w:t>≥</w:t>
            </w:r>
            <w:r>
              <w:rPr>
                <w:rFonts w:ascii="宋体" w:eastAsia="宋体" w:hAnsi="宋体" w:cs="宋体" w:hint="eastAsia"/>
                <w:b w:val="0"/>
                <w:bCs/>
                <w:sz w:val="21"/>
                <w:szCs w:val="21"/>
              </w:rPr>
              <w:t>4000VAC。</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4459" w:type="pct"/>
            <w:gridSpan w:val="4"/>
          </w:tcPr>
          <w:p>
            <w:pPr>
              <w:rPr>
                <w:rFonts w:ascii="宋体" w:eastAsia="宋体" w:hAnsi="宋体" w:cs="宋体" w:hint="eastAsia"/>
                <w:b/>
                <w:bCs w:val="0"/>
                <w:sz w:val="21"/>
                <w:szCs w:val="21"/>
              </w:rPr>
            </w:pPr>
            <w:r>
              <w:rPr>
                <w:rFonts w:ascii="宋体" w:eastAsia="宋体" w:hAnsi="宋体" w:cs="宋体" w:hint="eastAsia"/>
                <w:b/>
                <w:bCs w:val="0"/>
                <w:sz w:val="21"/>
                <w:szCs w:val="21"/>
              </w:rPr>
              <w:t>安全预警：</w:t>
            </w: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当冷却系统发生故障时，有提示或停止磁场输出。</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在设备连续工作</w:t>
            </w:r>
            <w:r>
              <w:rPr>
                <w:rFonts w:ascii="宋体" w:hAnsi="宋体" w:cs="宋体" w:hint="eastAsia"/>
                <w:b w:val="0"/>
                <w:bCs/>
                <w:sz w:val="21"/>
                <w:szCs w:val="21"/>
                <w:lang w:val="en-US" w:eastAsia="zh-CN"/>
              </w:rPr>
              <w:t>时</w:t>
            </w:r>
            <w:r>
              <w:rPr>
                <w:rFonts w:ascii="宋体" w:eastAsia="宋体" w:hAnsi="宋体" w:cs="宋体" w:hint="eastAsia"/>
                <w:b w:val="0"/>
                <w:bCs/>
                <w:sz w:val="21"/>
                <w:szCs w:val="21"/>
              </w:rPr>
              <w:t>，具有手动停止磁场输出的功能，可以通过按下设备面板上的停止开关，仪器立即停止输出。</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可记录电容放电次数，当电容放电次数达到上限时具有提示功能。</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4459" w:type="pct"/>
            <w:gridSpan w:val="4"/>
          </w:tcPr>
          <w:p>
            <w:pPr>
              <w:rPr>
                <w:rFonts w:ascii="宋体" w:eastAsia="宋体" w:hAnsi="宋体" w:cs="宋体" w:hint="eastAsia"/>
                <w:b/>
                <w:bCs w:val="0"/>
                <w:sz w:val="21"/>
                <w:szCs w:val="21"/>
              </w:rPr>
            </w:pPr>
            <w:r>
              <w:rPr>
                <w:rFonts w:ascii="宋体" w:eastAsia="宋体" w:hAnsi="宋体" w:cs="宋体" w:hint="eastAsia"/>
                <w:b/>
                <w:bCs w:val="0"/>
                <w:sz w:val="21"/>
                <w:szCs w:val="21"/>
              </w:rPr>
              <w:t>刺激线圈：</w:t>
            </w: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标配圆形或8字形线圈，圆形刺激线圈</w:t>
            </w:r>
            <w:r>
              <w:rPr>
                <w:rFonts w:ascii="宋体" w:hAnsi="宋体" w:cs="宋体" w:hint="eastAsia"/>
                <w:b w:val="0"/>
                <w:bCs/>
                <w:sz w:val="21"/>
                <w:szCs w:val="21"/>
                <w:lang w:val="en-US" w:eastAsia="zh-CN"/>
              </w:rPr>
              <w:t>和</w:t>
            </w:r>
            <w:r>
              <w:rPr>
                <w:rFonts w:ascii="宋体" w:eastAsia="宋体" w:hAnsi="宋体" w:cs="宋体" w:hint="eastAsia"/>
                <w:b w:val="0"/>
                <w:bCs/>
                <w:sz w:val="21"/>
                <w:szCs w:val="21"/>
              </w:rPr>
              <w:t>八字形刺激线圈能实现双面双向刺激</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线圈</w:t>
            </w:r>
            <w:r>
              <w:rPr>
                <w:rFonts w:ascii="宋体" w:hAnsi="宋体" w:cs="宋体" w:hint="eastAsia"/>
                <w:b w:val="0"/>
                <w:bCs/>
                <w:sz w:val="21"/>
                <w:szCs w:val="21"/>
                <w:lang w:val="en-US" w:eastAsia="zh-CN"/>
              </w:rPr>
              <w:t>采用</w:t>
            </w:r>
            <w:r>
              <w:rPr>
                <w:rFonts w:ascii="宋体" w:eastAsia="宋体" w:hAnsi="宋体" w:cs="宋体" w:hint="eastAsia"/>
                <w:b w:val="0"/>
                <w:bCs/>
                <w:sz w:val="21"/>
                <w:szCs w:val="21"/>
              </w:rPr>
              <w:t>全封闭一体式工艺，无孔设计，加工一次成型</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可扩展临床用线圈拍包括：、双锥（蝶）形、儿童型；</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可扩展科研用线圈拍包括：凹面型、动物型、盔式深部型、红光功能型；</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具有电动吸液和电动排液功能。</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4459" w:type="pct"/>
            <w:gridSpan w:val="4"/>
          </w:tcPr>
          <w:p>
            <w:pPr>
              <w:rPr>
                <w:rFonts w:ascii="宋体" w:eastAsia="宋体" w:hAnsi="宋体" w:cs="宋体" w:hint="eastAsia"/>
                <w:b/>
                <w:bCs w:val="0"/>
                <w:sz w:val="21"/>
                <w:szCs w:val="21"/>
              </w:rPr>
            </w:pPr>
            <w:r>
              <w:rPr>
                <w:rFonts w:ascii="宋体" w:eastAsia="宋体" w:hAnsi="宋体" w:cs="宋体" w:hint="eastAsia"/>
                <w:b/>
                <w:bCs w:val="0"/>
                <w:sz w:val="21"/>
                <w:szCs w:val="21"/>
              </w:rPr>
              <w:t>软件功能：</w:t>
            </w: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可建立和储存患者的一般信息。包括：姓名、性别、出生年月日、检查日期、门诊号或住院号、就诊科室等。</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可实现互联网功能，</w:t>
            </w:r>
            <w:r>
              <w:rPr>
                <w:rFonts w:ascii="宋体" w:hAnsi="宋体" w:cs="宋体" w:hint="eastAsia"/>
                <w:b w:val="0"/>
                <w:bCs/>
                <w:sz w:val="21"/>
                <w:szCs w:val="21"/>
                <w:lang w:val="en-US" w:eastAsia="zh-CN"/>
              </w:rPr>
              <w:t>可提供</w:t>
            </w:r>
            <w:r>
              <w:rPr>
                <w:rFonts w:ascii="宋体" w:eastAsia="宋体" w:hAnsi="宋体" w:cs="宋体" w:hint="eastAsia"/>
                <w:b w:val="0"/>
                <w:bCs/>
                <w:sz w:val="21"/>
                <w:szCs w:val="21"/>
              </w:rPr>
              <w:t>病人档案管理，专家方案，自定义治疗方案。</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实时线圈温度显示。</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可根据病人姓名查找相关储存资料调出回放。</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可统计呈现每个患者的治疗记录，可以将记录存为.docx文档，</w:t>
            </w:r>
            <w:r>
              <w:rPr>
                <w:rFonts w:ascii="宋体" w:hAnsi="宋体" w:cs="宋体" w:hint="eastAsia"/>
                <w:b w:val="0"/>
                <w:bCs/>
                <w:sz w:val="21"/>
                <w:szCs w:val="21"/>
                <w:lang w:val="en-US" w:eastAsia="zh-CN"/>
              </w:rPr>
              <w:t>可</w:t>
            </w:r>
            <w:r>
              <w:rPr>
                <w:rFonts w:ascii="宋体" w:eastAsia="宋体" w:hAnsi="宋体" w:cs="宋体" w:hint="eastAsia"/>
                <w:b w:val="0"/>
                <w:bCs/>
                <w:sz w:val="21"/>
                <w:szCs w:val="21"/>
              </w:rPr>
              <w:t>复制和粘贴到硬盘、U盘等其他存储设备。</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4459" w:type="pct"/>
            <w:gridSpan w:val="4"/>
          </w:tcPr>
          <w:p>
            <w:pPr>
              <w:rPr>
                <w:rFonts w:ascii="宋体" w:eastAsia="宋体" w:hAnsi="宋体" w:cs="宋体" w:hint="eastAsia"/>
                <w:b/>
                <w:bCs w:val="0"/>
                <w:sz w:val="21"/>
                <w:szCs w:val="21"/>
              </w:rPr>
            </w:pPr>
            <w:r>
              <w:rPr>
                <w:rFonts w:ascii="宋体" w:eastAsia="宋体" w:hAnsi="宋体" w:cs="宋体" w:hint="eastAsia"/>
                <w:b/>
                <w:bCs w:val="0"/>
                <w:sz w:val="21"/>
                <w:szCs w:val="21"/>
              </w:rPr>
              <w:t>检测模式：</w:t>
            </w: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检测项目：支持运动阈值（MT）、运动诱发电位（MEP）、中枢神经传导时间（CMCT）、ICI/ICF检测、静息期检测等检测功能。</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检测记录：运动阈值与治疗方案自动记忆功能，可对保存文档中波形与数据进行复现。</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具备自动计算神经传导时间功能。</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具备运动诱发电位（MEP），用于捕捉肌电信号（EMG），并可以在显示器上显示波形。</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通道数：</w:t>
            </w:r>
            <w:r>
              <w:rPr>
                <w:rFonts w:ascii="宋体" w:hAnsi="宋体" w:cs="宋体" w:hint="eastAsia"/>
                <w:b w:val="0"/>
                <w:bCs/>
                <w:sz w:val="21"/>
                <w:szCs w:val="21"/>
                <w:lang w:val="en-US" w:eastAsia="zh-CN"/>
              </w:rPr>
              <w:t>≥</w:t>
            </w:r>
            <w:r>
              <w:rPr>
                <w:rFonts w:ascii="宋体" w:eastAsia="宋体" w:hAnsi="宋体" w:cs="宋体" w:hint="eastAsia"/>
                <w:b w:val="0"/>
                <w:bCs/>
                <w:sz w:val="21"/>
                <w:szCs w:val="21"/>
              </w:rPr>
              <w:t>2通道</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采样率：</w:t>
            </w:r>
            <w:r>
              <w:rPr>
                <w:rFonts w:ascii="宋体" w:hAnsi="宋体" w:cs="宋体" w:hint="eastAsia"/>
                <w:b w:val="0"/>
                <w:bCs/>
                <w:sz w:val="21"/>
                <w:szCs w:val="21"/>
                <w:lang w:val="en-US" w:eastAsia="zh-CN"/>
              </w:rPr>
              <w:t>≥</w:t>
            </w:r>
            <w:r>
              <w:rPr>
                <w:rFonts w:ascii="宋体" w:eastAsia="宋体" w:hAnsi="宋体" w:cs="宋体" w:hint="eastAsia"/>
                <w:b w:val="0"/>
                <w:bCs/>
                <w:sz w:val="21"/>
                <w:szCs w:val="21"/>
              </w:rPr>
              <w:t>100KHz</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传输方式：有线传输，非无线传输。</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最小分辨率：≤0.1μV，频率测量范围</w:t>
            </w:r>
            <w:r>
              <w:rPr>
                <w:rFonts w:ascii="宋体" w:hAnsi="宋体" w:cs="宋体" w:hint="eastAsia"/>
                <w:b w:val="0"/>
                <w:bCs/>
                <w:sz w:val="21"/>
                <w:szCs w:val="21"/>
                <w:lang w:val="en-US" w:eastAsia="zh-CN"/>
              </w:rPr>
              <w:t>至少包含</w:t>
            </w:r>
            <w:r>
              <w:rPr>
                <w:rFonts w:ascii="宋体" w:eastAsia="宋体" w:hAnsi="宋体" w:cs="宋体" w:hint="eastAsia"/>
                <w:b w:val="0"/>
                <w:bCs/>
                <w:sz w:val="21"/>
                <w:szCs w:val="21"/>
              </w:rPr>
              <w:t>：1Hz~25KHz。</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4459" w:type="pct"/>
            <w:gridSpan w:val="4"/>
          </w:tcPr>
          <w:p>
            <w:pPr>
              <w:rPr>
                <w:rFonts w:ascii="宋体" w:eastAsia="宋体" w:hAnsi="宋体" w:cs="宋体" w:hint="eastAsia"/>
                <w:b/>
                <w:bCs w:val="0"/>
                <w:sz w:val="21"/>
                <w:szCs w:val="21"/>
              </w:rPr>
            </w:pPr>
            <w:r>
              <w:rPr>
                <w:rFonts w:ascii="宋体" w:eastAsia="宋体" w:hAnsi="宋体" w:cs="宋体" w:hint="eastAsia"/>
                <w:b/>
                <w:bCs w:val="0"/>
                <w:sz w:val="21"/>
                <w:szCs w:val="21"/>
              </w:rPr>
              <w:t>刺激模式</w:t>
            </w:r>
            <w:r>
              <w:rPr>
                <w:rFonts w:ascii="宋体" w:hAnsi="宋体" w:cs="宋体" w:hint="eastAsia"/>
                <w:b/>
                <w:bCs w:val="0"/>
                <w:sz w:val="21"/>
                <w:szCs w:val="21"/>
                <w:lang w:eastAsia="zh-CN"/>
              </w:rPr>
              <w:t>：</w:t>
            </w: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单脉冲（sTMS）、重复脉冲（rTMS）、复合刺激（TBS）、成对脉冲输出（pTMS）等多种刺激模式自由调整。</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支持双人同时治疗，双人的刺激频率、刺激强度、刺激时间和刺激间隔可完全独立调节，并且无强制关联关系，两线圈可同时输出脉冲。</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支持双线圈成对刺激，成对脉冲最小时间间隔≤0.1ms，双线圈成对脉冲时间间隔范围-31000ms~31000ms内可调</w:t>
            </w:r>
            <w:r>
              <w:rPr>
                <w:rFonts w:ascii="宋体" w:hAnsi="宋体" w:cs="宋体" w:hint="eastAsia"/>
                <w:b w:val="0"/>
                <w:bCs/>
                <w:sz w:val="21"/>
                <w:szCs w:val="21"/>
                <w:lang w:eastAsia="zh-CN"/>
              </w:rPr>
              <w:t>（</w:t>
            </w:r>
            <w:r>
              <w:rPr>
                <w:rFonts w:ascii="宋体" w:hAnsi="宋体" w:cs="宋体" w:hint="eastAsia"/>
                <w:b w:val="0"/>
                <w:bCs/>
                <w:sz w:val="21"/>
                <w:szCs w:val="21"/>
                <w:lang w:val="en-US" w:eastAsia="zh-CN"/>
              </w:rPr>
              <w:t>至少包含上述区间</w:t>
            </w:r>
            <w:r>
              <w:rPr>
                <w:rFonts w:ascii="宋体" w:hAnsi="宋体" w:cs="宋体" w:hint="eastAsia"/>
                <w:b w:val="0"/>
                <w:bCs/>
                <w:sz w:val="21"/>
                <w:szCs w:val="21"/>
                <w:lang w:eastAsia="zh-CN"/>
              </w:rPr>
              <w:t>）</w:t>
            </w:r>
            <w:r>
              <w:rPr>
                <w:rFonts w:ascii="宋体" w:eastAsia="宋体" w:hAnsi="宋体" w:cs="宋体" w:hint="eastAsia"/>
                <w:b w:val="0"/>
                <w:bCs/>
                <w:sz w:val="21"/>
                <w:szCs w:val="21"/>
              </w:rPr>
              <w:t>，步长1ms。</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定时时间按照方案的需要设置，在预定时间（方案的总时间）到达后设备自动终止磁场输出，允差：≤±10%。</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内置多种专家方案，可供临床选择，支持刺激方案自定义，</w:t>
            </w:r>
            <w:r>
              <w:rPr>
                <w:rFonts w:ascii="宋体" w:hAnsi="宋体" w:cs="宋体" w:hint="eastAsia"/>
                <w:b w:val="0"/>
                <w:bCs/>
                <w:sz w:val="21"/>
                <w:szCs w:val="21"/>
                <w:lang w:val="en-US" w:eastAsia="zh-CN"/>
              </w:rPr>
              <w:t>可</w:t>
            </w:r>
            <w:r>
              <w:rPr>
                <w:rFonts w:ascii="宋体" w:eastAsia="宋体" w:hAnsi="宋体" w:cs="宋体" w:hint="eastAsia"/>
                <w:b w:val="0"/>
                <w:bCs/>
                <w:sz w:val="21"/>
                <w:szCs w:val="21"/>
              </w:rPr>
              <w:t>设置刺激时间、输出频率、刺激间歇、刺激强度、刺激数量等。</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能显示阈值强度、以百分比表示相对输出强度，显示刺激序列、刺激时间、刺激数量。</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治疗方案提供详细图文描述，配合定位帽标识，刺激部位</w:t>
            </w:r>
            <w:r>
              <w:rPr>
                <w:rFonts w:ascii="宋体" w:hAnsi="宋体" w:cs="宋体" w:hint="eastAsia"/>
                <w:b w:val="0"/>
                <w:bCs/>
                <w:sz w:val="21"/>
                <w:szCs w:val="21"/>
                <w:lang w:val="en-US" w:eastAsia="zh-CN"/>
              </w:rPr>
              <w:t>可</w:t>
            </w:r>
            <w:r>
              <w:rPr>
                <w:rFonts w:ascii="宋体" w:eastAsia="宋体" w:hAnsi="宋体" w:cs="宋体" w:hint="eastAsia"/>
                <w:b w:val="0"/>
                <w:bCs/>
                <w:sz w:val="21"/>
                <w:szCs w:val="21"/>
              </w:rPr>
              <w:t>360度呈现，提供精准靶点指导。</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触发输出：触发</w:t>
            </w:r>
            <w:r>
              <w:rPr>
                <w:rFonts w:ascii="宋体" w:hAnsi="宋体" w:cs="宋体" w:hint="eastAsia"/>
                <w:b w:val="0"/>
                <w:bCs/>
                <w:sz w:val="21"/>
                <w:szCs w:val="21"/>
                <w:lang w:val="en-US" w:eastAsia="zh-CN"/>
              </w:rPr>
              <w:t>输出</w:t>
            </w:r>
            <w:r>
              <w:rPr>
                <w:rFonts w:ascii="宋体" w:eastAsia="宋体" w:hAnsi="宋体" w:cs="宋体" w:hint="eastAsia"/>
                <w:b w:val="0"/>
                <w:bCs/>
                <w:sz w:val="21"/>
                <w:szCs w:val="21"/>
              </w:rPr>
              <w:t>脉冲波宽350μs±50μs，幅度5V±0.5V。</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触发输入：输入脉冲波宽≥16μs，幅度5V±0.5V的信号，能被触发。</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操作软件上调节触发输入延时时间，软件在0~500ms范围可调，步长0.1ms。</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操作软件上调节触发输出延时时间，软件在-500~500ms范围</w:t>
            </w:r>
            <w:r>
              <w:rPr>
                <w:rFonts w:ascii="宋体" w:hAnsi="宋体" w:cs="宋体" w:hint="eastAsia"/>
                <w:b w:val="0"/>
                <w:bCs/>
                <w:sz w:val="21"/>
                <w:szCs w:val="21"/>
                <w:lang w:eastAsia="zh-CN"/>
              </w:rPr>
              <w:t>（</w:t>
            </w:r>
            <w:r>
              <w:rPr>
                <w:rFonts w:ascii="宋体" w:hAnsi="宋体" w:cs="宋体" w:hint="eastAsia"/>
                <w:b w:val="0"/>
                <w:bCs/>
                <w:sz w:val="21"/>
                <w:szCs w:val="21"/>
                <w:lang w:val="en-US" w:eastAsia="zh-CN"/>
              </w:rPr>
              <w:t>至少包含上述范围</w:t>
            </w:r>
            <w:r>
              <w:rPr>
                <w:rFonts w:ascii="宋体" w:hAnsi="宋体" w:cs="宋体" w:hint="eastAsia"/>
                <w:b w:val="0"/>
                <w:bCs/>
                <w:sz w:val="21"/>
                <w:szCs w:val="21"/>
                <w:lang w:eastAsia="zh-CN"/>
              </w:rPr>
              <w:t>）</w:t>
            </w:r>
            <w:r>
              <w:rPr>
                <w:rFonts w:ascii="宋体" w:eastAsia="宋体" w:hAnsi="宋体" w:cs="宋体" w:hint="eastAsia"/>
                <w:b w:val="0"/>
                <w:bCs/>
                <w:sz w:val="21"/>
                <w:szCs w:val="21"/>
              </w:rPr>
              <w:t>可调，步长0.1ms。</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399"/>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14:textFill>
                  <w14:solidFill>
                    <w14:schemeClr w14:val="tx1"/>
                  </w14:solidFill>
                </w14:textFill>
              </w:rPr>
            </w:pPr>
          </w:p>
        </w:tc>
        <w:tc>
          <w:tcPr>
            <w:tcW w:w="2999" w:type="pc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b w:val="0"/>
                <w:bCs/>
                <w:sz w:val="21"/>
                <w:szCs w:val="21"/>
              </w:rPr>
              <w:t>开放式的技术平台，可与电刺激、近红外、导航等设备兼容。</w:t>
            </w:r>
          </w:p>
        </w:tc>
        <w:tc>
          <w:tcPr>
            <w:tcW w:w="483" w:type="pct"/>
          </w:tcPr>
          <w:p>
            <w:pPr>
              <w:rPr>
                <w:rFonts w:ascii="宋体" w:eastAsia="宋体" w:hAnsi="宋体" w:cs="宋体" w:hint="eastAsia"/>
                <w:b w:val="0"/>
                <w:bCs/>
                <w:sz w:val="21"/>
                <w:szCs w:val="21"/>
              </w:rPr>
            </w:pPr>
          </w:p>
        </w:tc>
        <w:tc>
          <w:tcPr>
            <w:tcW w:w="483" w:type="pct"/>
          </w:tcPr>
          <w:p>
            <w:pPr>
              <w:rPr>
                <w:rFonts w:ascii="宋体" w:eastAsia="宋体" w:hAnsi="宋体" w:cs="宋体" w:hint="eastAsia"/>
                <w:b w:val="0"/>
                <w:bCs/>
                <w:sz w:val="21"/>
                <w:szCs w:val="21"/>
              </w:rPr>
            </w:pPr>
          </w:p>
        </w:tc>
        <w:tc>
          <w:tcPr>
            <w:tcW w:w="493" w:type="pct"/>
          </w:tcPr>
          <w:p>
            <w:pPr>
              <w:rPr>
                <w:rFonts w:ascii="宋体" w:eastAsia="宋体" w:hAnsi="宋体" w:cs="宋体" w:hint="eastAsia"/>
                <w:b w:val="0"/>
                <w:bCs/>
                <w:sz w:val="21"/>
                <w:szCs w:val="21"/>
              </w:rPr>
            </w:pPr>
          </w:p>
        </w:tc>
      </w:tr>
      <w:tr>
        <w:tblPrEx>
          <w:tblW w:w="4997" w:type="pct"/>
          <w:jc w:val="center"/>
          <w:tblCellMar>
            <w:top w:w="0" w:type="dxa"/>
            <w:left w:w="108" w:type="dxa"/>
            <w:bottom w:w="0" w:type="dxa"/>
            <w:right w:w="108" w:type="dxa"/>
          </w:tblCellMar>
        </w:tblPrEx>
        <w:trPr>
          <w:trHeight w:val="17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4459" w:type="pct"/>
            <w:gridSpan w:val="4"/>
          </w:tcPr>
          <w:p>
            <w:pPr>
              <w:rPr>
                <w:rFonts w:ascii="宋体" w:eastAsia="宋体" w:hAnsi="宋体" w:cs="宋体" w:hint="eastAsia"/>
                <w:sz w:val="21"/>
                <w:szCs w:val="21"/>
                <w:lang w:val="en-US" w:eastAsia="zh-CN"/>
              </w:rPr>
            </w:pPr>
            <w:r>
              <w:rPr>
                <w:rFonts w:ascii="宋体" w:eastAsia="宋体" w:hAnsi="宋体" w:cs="宋体" w:hint="eastAsia"/>
                <w:bCs/>
                <w:sz w:val="21"/>
                <w:szCs w:val="21"/>
              </w:rPr>
              <w:t>★</w:t>
            </w:r>
            <w:r>
              <w:rPr>
                <w:rFonts w:ascii="宋体" w:eastAsia="宋体" w:hAnsi="宋体" w:cs="宋体" w:hint="eastAsia"/>
                <w:sz w:val="21"/>
                <w:szCs w:val="21"/>
                <w:lang w:val="en-US" w:eastAsia="zh-CN"/>
              </w:rPr>
              <w:t>配置清单：</w:t>
            </w:r>
          </w:p>
          <w:tbl>
            <w:tblPr>
              <w:tblStyle w:val="TableNormal1"/>
              <w:tblW w:w="499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796"/>
              <w:gridCol w:w="4097"/>
              <w:gridCol w:w="1399"/>
              <w:gridCol w:w="3"/>
              <w:gridCol w:w="1079"/>
            </w:tblGrid>
            <w:tr>
              <w:tblPrEx>
                <w:tblW w:w="499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rPr>
                <w:wAfter w:w="2" w:type="dxa"/>
                <w:trHeight w:val="338"/>
                <w:jc w:val="center"/>
              </w:trPr>
              <w:tc>
                <w:tcPr>
                  <w:tcW w:w="540" w:type="pct"/>
                  <w:vAlign w:val="center"/>
                </w:tcPr>
                <w:p>
                  <w:pPr>
                    <w:adjustRightInd w:val="0"/>
                    <w:snapToGrid w:val="0"/>
                    <w:spacing w:line="360" w:lineRule="auto"/>
                    <w:jc w:val="center"/>
                    <w:rPr>
                      <w:rFonts w:ascii="宋体" w:eastAsia="宋体" w:hAnsi="宋体" w:cs="宋体" w:hint="eastAsia"/>
                      <w:kern w:val="0"/>
                      <w:sz w:val="21"/>
                      <w:szCs w:val="21"/>
                    </w:rPr>
                  </w:pPr>
                  <w:r>
                    <w:rPr>
                      <w:rFonts w:ascii="宋体" w:eastAsia="宋体" w:hAnsi="宋体" w:cs="宋体" w:hint="eastAsia"/>
                      <w:spacing w:val="4"/>
                      <w:kern w:val="0"/>
                      <w:sz w:val="21"/>
                      <w:szCs w:val="21"/>
                    </w:rPr>
                    <w:t>序号</w:t>
                  </w:r>
                </w:p>
              </w:tc>
              <w:tc>
                <w:tcPr>
                  <w:tcW w:w="2777" w:type="pct"/>
                  <w:vAlign w:val="center"/>
                </w:tcPr>
                <w:p>
                  <w:pPr>
                    <w:adjustRightInd w:val="0"/>
                    <w:snapToGrid w:val="0"/>
                    <w:spacing w:line="360" w:lineRule="auto"/>
                    <w:jc w:val="center"/>
                    <w:rPr>
                      <w:rFonts w:ascii="宋体" w:eastAsia="宋体" w:hAnsi="宋体" w:cs="宋体" w:hint="eastAsia"/>
                      <w:spacing w:val="4"/>
                      <w:kern w:val="0"/>
                      <w:sz w:val="21"/>
                      <w:szCs w:val="21"/>
                    </w:rPr>
                  </w:pPr>
                  <w:r>
                    <w:rPr>
                      <w:rFonts w:ascii="宋体" w:eastAsia="宋体" w:hAnsi="宋体" w:cs="宋体" w:hint="eastAsia"/>
                      <w:spacing w:val="4"/>
                      <w:kern w:val="0"/>
                      <w:sz w:val="21"/>
                      <w:szCs w:val="21"/>
                    </w:rPr>
                    <w:t>名称</w:t>
                  </w:r>
                </w:p>
              </w:tc>
              <w:tc>
                <w:tcPr>
                  <w:tcW w:w="948" w:type="pct"/>
                  <w:vAlign w:val="center"/>
                </w:tcPr>
                <w:p>
                  <w:pPr>
                    <w:adjustRightInd w:val="0"/>
                    <w:snapToGrid w:val="0"/>
                    <w:spacing w:line="360" w:lineRule="auto"/>
                    <w:ind w:left="596"/>
                    <w:rPr>
                      <w:rFonts w:ascii="宋体" w:eastAsia="宋体" w:hAnsi="宋体" w:cs="宋体" w:hint="eastAsia"/>
                      <w:kern w:val="0"/>
                      <w:sz w:val="21"/>
                      <w:szCs w:val="21"/>
                    </w:rPr>
                  </w:pPr>
                  <w:r>
                    <w:rPr>
                      <w:rFonts w:ascii="宋体" w:eastAsia="宋体" w:hAnsi="宋体" w:cs="宋体" w:hint="eastAsia"/>
                      <w:spacing w:val="7"/>
                      <w:kern w:val="0"/>
                      <w:sz w:val="21"/>
                      <w:szCs w:val="21"/>
                    </w:rPr>
                    <w:t>单位</w:t>
                  </w:r>
                </w:p>
              </w:tc>
              <w:tc>
                <w:tcPr>
                  <w:tcW w:w="731" w:type="pct"/>
                  <w:gridSpan w:val="2"/>
                  <w:vAlign w:val="center"/>
                </w:tcPr>
                <w:p>
                  <w:pPr>
                    <w:adjustRightInd w:val="0"/>
                    <w:snapToGrid w:val="0"/>
                    <w:spacing w:line="360" w:lineRule="auto"/>
                    <w:ind w:left="307"/>
                    <w:rPr>
                      <w:rFonts w:ascii="宋体" w:eastAsia="宋体" w:hAnsi="宋体" w:cs="宋体" w:hint="eastAsia"/>
                      <w:kern w:val="0"/>
                      <w:sz w:val="21"/>
                      <w:szCs w:val="21"/>
                    </w:rPr>
                  </w:pPr>
                  <w:r>
                    <w:rPr>
                      <w:rFonts w:ascii="宋体" w:eastAsia="宋体" w:hAnsi="宋体" w:cs="宋体" w:hint="eastAsia"/>
                      <w:spacing w:val="4"/>
                      <w:kern w:val="0"/>
                      <w:sz w:val="21"/>
                      <w:szCs w:val="21"/>
                    </w:rPr>
                    <w:t>数量</w:t>
                  </w:r>
                </w:p>
              </w:tc>
            </w:tr>
            <w:tr>
              <w:tblPrEx>
                <w:tblW w:w="4994" w:type="pct"/>
                <w:jc w:val="center"/>
                <w:tblCellMar>
                  <w:top w:w="0" w:type="dxa"/>
                  <w:left w:w="0" w:type="dxa"/>
                  <w:bottom w:w="0" w:type="dxa"/>
                  <w:right w:w="0" w:type="dxa"/>
                </w:tblCellMar>
              </w:tblPrEx>
              <w:trPr>
                <w:wAfter w:w="2" w:type="dxa"/>
                <w:trHeight w:val="334"/>
                <w:jc w:val="center"/>
              </w:trPr>
              <w:tc>
                <w:tcPr>
                  <w:tcW w:w="540" w:type="pct"/>
                  <w:vAlign w:val="center"/>
                </w:tcPr>
                <w:p>
                  <w:pPr>
                    <w:adjustRightInd w:val="0"/>
                    <w:snapToGrid w:val="0"/>
                    <w:spacing w:line="360" w:lineRule="auto"/>
                    <w:ind w:left="123"/>
                    <w:jc w:val="center"/>
                    <w:rPr>
                      <w:rFonts w:ascii="宋体" w:eastAsia="宋体" w:hAnsi="宋体" w:cs="宋体" w:hint="eastAsia"/>
                      <w:kern w:val="0"/>
                      <w:sz w:val="21"/>
                      <w:szCs w:val="21"/>
                    </w:rPr>
                  </w:pPr>
                  <w:r>
                    <w:rPr>
                      <w:rFonts w:ascii="宋体" w:eastAsia="宋体" w:hAnsi="宋体" w:cs="宋体" w:hint="eastAsia"/>
                      <w:spacing w:val="-13"/>
                      <w:kern w:val="0"/>
                      <w:sz w:val="21"/>
                      <w:szCs w:val="21"/>
                    </w:rPr>
                    <w:t>1.</w:t>
                  </w:r>
                </w:p>
              </w:tc>
              <w:tc>
                <w:tcPr>
                  <w:tcW w:w="2777" w:type="pct"/>
                  <w:vAlign w:val="center"/>
                </w:tcPr>
                <w:p>
                  <w:pPr>
                    <w:widowControl/>
                    <w:jc w:val="left"/>
                    <w:rPr>
                      <w:rFonts w:ascii="宋体" w:eastAsia="宋体" w:hAnsi="宋体" w:cs="宋体" w:hint="eastAsia"/>
                      <w:spacing w:val="-13"/>
                      <w:kern w:val="0"/>
                      <w:sz w:val="21"/>
                      <w:szCs w:val="21"/>
                    </w:rPr>
                  </w:pPr>
                  <w:r>
                    <w:rPr>
                      <w:rFonts w:ascii="宋体" w:eastAsia="宋体" w:hAnsi="宋体" w:cs="宋体" w:hint="eastAsia"/>
                      <w:sz w:val="21"/>
                      <w:szCs w:val="21"/>
                    </w:rPr>
                    <w:t>磁刺激器主机</w:t>
                  </w:r>
                </w:p>
              </w:tc>
              <w:tc>
                <w:tcPr>
                  <w:tcW w:w="948"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color w:val="000000"/>
                      <w:kern w:val="0"/>
                      <w:sz w:val="21"/>
                      <w:szCs w:val="21"/>
                    </w:rPr>
                    <w:t>台</w:t>
                  </w:r>
                </w:p>
              </w:tc>
              <w:tc>
                <w:tcPr>
                  <w:tcW w:w="731" w:type="pct"/>
                  <w:gridSpan w:val="2"/>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4" w:type="pct"/>
                <w:jc w:val="center"/>
                <w:tblCellMar>
                  <w:top w:w="0" w:type="dxa"/>
                  <w:left w:w="0" w:type="dxa"/>
                  <w:bottom w:w="0" w:type="dxa"/>
                  <w:right w:w="0" w:type="dxa"/>
                </w:tblCellMar>
              </w:tblPrEx>
              <w:trPr>
                <w:wAfter w:w="2" w:type="dxa"/>
                <w:trHeight w:val="473"/>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2.</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圆形刺激线圈</w:t>
                  </w:r>
                </w:p>
              </w:tc>
              <w:tc>
                <w:tcPr>
                  <w:tcW w:w="948"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color w:val="000000"/>
                      <w:kern w:val="0"/>
                      <w:sz w:val="21"/>
                      <w:szCs w:val="21"/>
                    </w:rPr>
                    <w:t>套</w:t>
                  </w:r>
                </w:p>
              </w:tc>
              <w:tc>
                <w:tcPr>
                  <w:tcW w:w="731" w:type="pct"/>
                  <w:gridSpan w:val="2"/>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4" w:type="pct"/>
                <w:jc w:val="center"/>
                <w:tblCellMar>
                  <w:top w:w="0" w:type="dxa"/>
                  <w:left w:w="0" w:type="dxa"/>
                  <w:bottom w:w="0" w:type="dxa"/>
                  <w:right w:w="0" w:type="dxa"/>
                </w:tblCellMar>
              </w:tblPrEx>
              <w:trPr>
                <w:wAfter w:w="2" w:type="dxa"/>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3.</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lang w:val="en-US"/>
                    </w:rPr>
                    <w:t>八字形刺激线圈</w:t>
                  </w:r>
                </w:p>
              </w:tc>
              <w:tc>
                <w:tcPr>
                  <w:tcW w:w="948"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套</w:t>
                  </w:r>
                </w:p>
              </w:tc>
              <w:tc>
                <w:tcPr>
                  <w:tcW w:w="731" w:type="pct"/>
                  <w:gridSpan w:val="2"/>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4" w:type="pct"/>
                <w:jc w:val="center"/>
                <w:tblCellMar>
                  <w:top w:w="0" w:type="dxa"/>
                  <w:left w:w="0" w:type="dxa"/>
                  <w:bottom w:w="0" w:type="dxa"/>
                  <w:right w:w="0" w:type="dxa"/>
                </w:tblCellMar>
              </w:tblPrEx>
              <w:trPr>
                <w:wAfter w:w="2" w:type="dxa"/>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4.</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高性能PC操作管理与控制系统</w:t>
                  </w:r>
                </w:p>
              </w:tc>
              <w:tc>
                <w:tcPr>
                  <w:tcW w:w="948"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套</w:t>
                  </w:r>
                </w:p>
              </w:tc>
              <w:tc>
                <w:tcPr>
                  <w:tcW w:w="731" w:type="pct"/>
                  <w:gridSpan w:val="2"/>
                  <w:vAlign w:val="center"/>
                </w:tcPr>
                <w:p>
                  <w:pPr>
                    <w:adjustRightInd w:val="0"/>
                    <w:snapToGrid w:val="0"/>
                    <w:spacing w:line="360" w:lineRule="auto"/>
                    <w:ind w:left="583" w:leftChars="0"/>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r>
              <w:tblPrEx>
                <w:tblW w:w="4994" w:type="pct"/>
                <w:jc w:val="center"/>
                <w:tblCellMar>
                  <w:top w:w="0" w:type="dxa"/>
                  <w:left w:w="0" w:type="dxa"/>
                  <w:bottom w:w="0" w:type="dxa"/>
                  <w:right w:w="0" w:type="dxa"/>
                </w:tblCellMar>
              </w:tblPrEx>
              <w:trPr>
                <w:wAfter w:w="2" w:type="dxa"/>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5.</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液态内循环冷却系统</w:t>
                  </w:r>
                </w:p>
              </w:tc>
              <w:tc>
                <w:tcPr>
                  <w:tcW w:w="948"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color w:val="000000"/>
                      <w:kern w:val="0"/>
                      <w:sz w:val="21"/>
                      <w:szCs w:val="21"/>
                    </w:rPr>
                    <w:t>套</w:t>
                  </w:r>
                </w:p>
              </w:tc>
              <w:tc>
                <w:tcPr>
                  <w:tcW w:w="731" w:type="pct"/>
                  <w:gridSpan w:val="2"/>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4" w:type="pct"/>
                <w:jc w:val="center"/>
                <w:tblCellMar>
                  <w:top w:w="0" w:type="dxa"/>
                  <w:left w:w="0" w:type="dxa"/>
                  <w:bottom w:w="0" w:type="dxa"/>
                  <w:right w:w="0" w:type="dxa"/>
                </w:tblCellMar>
              </w:tblPrEx>
              <w:trPr>
                <w:wAfter w:w="2" w:type="dxa"/>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6.</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线圈固定支架</w:t>
                  </w:r>
                </w:p>
              </w:tc>
              <w:tc>
                <w:tcPr>
                  <w:tcW w:w="948"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color w:val="000000"/>
                      <w:kern w:val="0"/>
                      <w:sz w:val="21"/>
                      <w:szCs w:val="21"/>
                    </w:rPr>
                    <w:t>套</w:t>
                  </w:r>
                </w:p>
              </w:tc>
              <w:tc>
                <w:tcPr>
                  <w:tcW w:w="731" w:type="pct"/>
                  <w:gridSpan w:val="2"/>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2</w:t>
                  </w:r>
                </w:p>
              </w:tc>
            </w:tr>
            <w:tr>
              <w:tblPrEx>
                <w:tblW w:w="4994" w:type="pct"/>
                <w:jc w:val="center"/>
                <w:tblCellMar>
                  <w:top w:w="0" w:type="dxa"/>
                  <w:left w:w="0" w:type="dxa"/>
                  <w:bottom w:w="0" w:type="dxa"/>
                  <w:right w:w="0" w:type="dxa"/>
                </w:tblCellMar>
              </w:tblPrEx>
              <w:trPr>
                <w:wAfter w:w="2" w:type="dxa"/>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7.</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MEP模块</w:t>
                  </w:r>
                </w:p>
              </w:tc>
              <w:tc>
                <w:tcPr>
                  <w:tcW w:w="948"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color w:val="000000"/>
                      <w:kern w:val="0"/>
                      <w:sz w:val="21"/>
                      <w:szCs w:val="21"/>
                    </w:rPr>
                    <w:t>套</w:t>
                  </w:r>
                </w:p>
              </w:tc>
              <w:tc>
                <w:tcPr>
                  <w:tcW w:w="731" w:type="pct"/>
                  <w:gridSpan w:val="2"/>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4" w:type="pct"/>
                <w:jc w:val="center"/>
                <w:tblCellMar>
                  <w:top w:w="0" w:type="dxa"/>
                  <w:left w:w="0" w:type="dxa"/>
                  <w:bottom w:w="0" w:type="dxa"/>
                  <w:right w:w="0" w:type="dxa"/>
                </w:tblCellMar>
              </w:tblPrEx>
              <w:trPr>
                <w:wAfter w:w="2" w:type="dxa"/>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8.</w:t>
                  </w:r>
                </w:p>
              </w:tc>
              <w:tc>
                <w:tcPr>
                  <w:tcW w:w="2777"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lang w:val="en-US"/>
                    </w:rPr>
                    <w:t>定位帽</w:t>
                  </w:r>
                </w:p>
              </w:tc>
              <w:tc>
                <w:tcPr>
                  <w:tcW w:w="948"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color w:val="000000"/>
                      <w:kern w:val="0"/>
                      <w:sz w:val="21"/>
                      <w:szCs w:val="21"/>
                      <w:lang w:val="en-US" w:eastAsia="zh-CN"/>
                    </w:rPr>
                    <w:t>个</w:t>
                  </w:r>
                </w:p>
              </w:tc>
              <w:tc>
                <w:tcPr>
                  <w:tcW w:w="731" w:type="pct"/>
                  <w:gridSpan w:val="2"/>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5</w:t>
                  </w:r>
                </w:p>
              </w:tc>
            </w:tr>
            <w:tr>
              <w:tblPrEx>
                <w:tblW w:w="4994"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9.</w:t>
                  </w:r>
                </w:p>
              </w:tc>
              <w:tc>
                <w:tcPr>
                  <w:tcW w:w="2777" w:type="pct"/>
                  <w:vAlign w:val="center"/>
                </w:tcPr>
                <w:p>
                  <w:pPr>
                    <w:adjustRightInd w:val="0"/>
                    <w:snapToGrid w:val="0"/>
                    <w:spacing w:line="360" w:lineRule="auto"/>
                    <w:ind w:left="123"/>
                    <w:rPr>
                      <w:rFonts w:ascii="宋体" w:eastAsia="宋体" w:hAnsi="宋体" w:cs="宋体" w:hint="eastAsia"/>
                      <w:sz w:val="21"/>
                      <w:szCs w:val="21"/>
                    </w:rPr>
                  </w:pPr>
                  <w:r>
                    <w:rPr>
                      <w:rFonts w:ascii="宋体" w:eastAsia="宋体" w:hAnsi="宋体" w:cs="宋体" w:hint="eastAsia"/>
                      <w:sz w:val="21"/>
                      <w:szCs w:val="21"/>
                    </w:rPr>
                    <w:t>MEP电极片</w:t>
                  </w:r>
                </w:p>
              </w:tc>
              <w:tc>
                <w:tcPr>
                  <w:tcW w:w="950" w:type="pct"/>
                  <w:gridSpan w:val="2"/>
                  <w:vAlign w:val="center"/>
                </w:tcPr>
                <w:p>
                  <w:pPr>
                    <w:adjustRightInd w:val="0"/>
                    <w:snapToGrid w:val="0"/>
                    <w:spacing w:line="360" w:lineRule="auto"/>
                    <w:ind w:left="0" w:leftChars="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片</w:t>
                  </w:r>
                </w:p>
              </w:tc>
              <w:tc>
                <w:tcPr>
                  <w:tcW w:w="731" w:type="pct"/>
                  <w:vAlign w:val="center"/>
                </w:tcPr>
                <w:p>
                  <w:pPr>
                    <w:adjustRightInd w:val="0"/>
                    <w:snapToGrid w:val="0"/>
                    <w:spacing w:line="360" w:lineRule="auto"/>
                    <w:ind w:left="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60</w:t>
                  </w:r>
                </w:p>
              </w:tc>
            </w:tr>
            <w:tr>
              <w:tblPrEx>
                <w:tblW w:w="4994"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10.</w:t>
                  </w:r>
                </w:p>
              </w:tc>
              <w:tc>
                <w:tcPr>
                  <w:tcW w:w="2777" w:type="pct"/>
                  <w:vAlign w:val="center"/>
                </w:tcPr>
                <w:p>
                  <w:pPr>
                    <w:adjustRightInd w:val="0"/>
                    <w:snapToGrid w:val="0"/>
                    <w:spacing w:line="360" w:lineRule="auto"/>
                    <w:ind w:left="123"/>
                    <w:rPr>
                      <w:rFonts w:ascii="宋体" w:eastAsia="宋体" w:hAnsi="宋体" w:cs="宋体" w:hint="eastAsia"/>
                      <w:sz w:val="21"/>
                      <w:szCs w:val="21"/>
                    </w:rPr>
                  </w:pPr>
                  <w:r>
                    <w:rPr>
                      <w:rFonts w:ascii="宋体" w:eastAsia="宋体" w:hAnsi="宋体" w:cs="宋体" w:hint="eastAsia"/>
                      <w:sz w:val="21"/>
                      <w:szCs w:val="21"/>
                    </w:rPr>
                    <w:t>MEP电极线</w:t>
                  </w:r>
                </w:p>
              </w:tc>
              <w:tc>
                <w:tcPr>
                  <w:tcW w:w="950" w:type="pct"/>
                  <w:gridSpan w:val="2"/>
                  <w:vAlign w:val="center"/>
                </w:tcPr>
                <w:p>
                  <w:pPr>
                    <w:adjustRightInd w:val="0"/>
                    <w:snapToGrid w:val="0"/>
                    <w:spacing w:line="360" w:lineRule="auto"/>
                    <w:ind w:left="0" w:leftChars="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对</w:t>
                  </w:r>
                </w:p>
              </w:tc>
              <w:tc>
                <w:tcPr>
                  <w:tcW w:w="731" w:type="pct"/>
                  <w:vAlign w:val="center"/>
                </w:tcPr>
                <w:p>
                  <w:pPr>
                    <w:adjustRightInd w:val="0"/>
                    <w:snapToGrid w:val="0"/>
                    <w:spacing w:line="360" w:lineRule="auto"/>
                    <w:ind w:left="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20</w:t>
                  </w:r>
                </w:p>
              </w:tc>
            </w:tr>
            <w:tr>
              <w:tblPrEx>
                <w:tblW w:w="4994"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11.</w:t>
                  </w:r>
                </w:p>
              </w:tc>
              <w:tc>
                <w:tcPr>
                  <w:tcW w:w="2777" w:type="pct"/>
                  <w:vAlign w:val="center"/>
                </w:tcPr>
                <w:p>
                  <w:pPr>
                    <w:adjustRightInd w:val="0"/>
                    <w:snapToGrid w:val="0"/>
                    <w:spacing w:line="360" w:lineRule="auto"/>
                    <w:ind w:left="123"/>
                    <w:rPr>
                      <w:rFonts w:ascii="宋体" w:eastAsia="宋体" w:hAnsi="宋体" w:cs="宋体" w:hint="eastAsia"/>
                      <w:sz w:val="21"/>
                      <w:szCs w:val="21"/>
                    </w:rPr>
                  </w:pPr>
                  <w:r>
                    <w:rPr>
                      <w:rFonts w:ascii="宋体" w:eastAsia="宋体" w:hAnsi="宋体" w:cs="宋体" w:hint="eastAsia"/>
                      <w:sz w:val="21"/>
                      <w:szCs w:val="21"/>
                    </w:rPr>
                    <w:t>接口CC++PYTHOA</w:t>
                  </w:r>
                </w:p>
              </w:tc>
              <w:tc>
                <w:tcPr>
                  <w:tcW w:w="950" w:type="pct"/>
                  <w:gridSpan w:val="2"/>
                  <w:vAlign w:val="center"/>
                </w:tcPr>
                <w:p>
                  <w:pPr>
                    <w:adjustRightInd w:val="0"/>
                    <w:snapToGrid w:val="0"/>
                    <w:spacing w:line="360" w:lineRule="auto"/>
                    <w:ind w:left="0" w:leftChars="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套</w:t>
                  </w:r>
                </w:p>
              </w:tc>
              <w:tc>
                <w:tcPr>
                  <w:tcW w:w="731" w:type="pct"/>
                  <w:vAlign w:val="center"/>
                </w:tcPr>
                <w:p>
                  <w:pPr>
                    <w:adjustRightInd w:val="0"/>
                    <w:snapToGrid w:val="0"/>
                    <w:spacing w:line="360" w:lineRule="auto"/>
                    <w:ind w:left="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r>
              <w:tblPrEx>
                <w:tblW w:w="4994"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12.</w:t>
                  </w:r>
                </w:p>
              </w:tc>
              <w:tc>
                <w:tcPr>
                  <w:tcW w:w="2777" w:type="pct"/>
                  <w:vAlign w:val="center"/>
                </w:tcPr>
                <w:p>
                  <w:pPr>
                    <w:adjustRightInd w:val="0"/>
                    <w:snapToGrid w:val="0"/>
                    <w:spacing w:line="360" w:lineRule="auto"/>
                    <w:ind w:left="123"/>
                    <w:rPr>
                      <w:rFonts w:ascii="宋体" w:eastAsia="宋体" w:hAnsi="宋体" w:cs="宋体" w:hint="eastAsia"/>
                      <w:sz w:val="21"/>
                      <w:szCs w:val="21"/>
                    </w:rPr>
                  </w:pPr>
                  <w:r>
                    <w:rPr>
                      <w:rFonts w:ascii="宋体" w:eastAsia="宋体" w:hAnsi="宋体" w:cs="宋体" w:hint="eastAsia"/>
                      <w:sz w:val="21"/>
                      <w:szCs w:val="21"/>
                    </w:rPr>
                    <w:t>专用推车</w:t>
                  </w:r>
                </w:p>
              </w:tc>
              <w:tc>
                <w:tcPr>
                  <w:tcW w:w="950" w:type="pct"/>
                  <w:gridSpan w:val="2"/>
                  <w:vAlign w:val="center"/>
                </w:tcPr>
                <w:p>
                  <w:pPr>
                    <w:adjustRightInd w:val="0"/>
                    <w:snapToGrid w:val="0"/>
                    <w:spacing w:line="360" w:lineRule="auto"/>
                    <w:ind w:left="0" w:leftChars="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台</w:t>
                  </w:r>
                </w:p>
              </w:tc>
              <w:tc>
                <w:tcPr>
                  <w:tcW w:w="731" w:type="pct"/>
                  <w:vAlign w:val="center"/>
                </w:tcPr>
                <w:p>
                  <w:pPr>
                    <w:adjustRightInd w:val="0"/>
                    <w:snapToGrid w:val="0"/>
                    <w:spacing w:line="360" w:lineRule="auto"/>
                    <w:ind w:left="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r>
              <w:tblPrEx>
                <w:tblW w:w="4994"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lang w:val="en-US" w:eastAsia="zh-CN"/>
                    </w:rPr>
                  </w:pPr>
                  <w:r>
                    <w:rPr>
                      <w:rFonts w:ascii="宋体" w:eastAsia="宋体" w:hAnsi="宋体" w:cs="宋体" w:hint="eastAsia"/>
                      <w:spacing w:val="-9"/>
                      <w:kern w:val="0"/>
                      <w:sz w:val="21"/>
                      <w:szCs w:val="21"/>
                      <w:lang w:val="en-US" w:eastAsia="zh-CN"/>
                    </w:rPr>
                    <w:t>13.</w:t>
                  </w:r>
                </w:p>
              </w:tc>
              <w:tc>
                <w:tcPr>
                  <w:tcW w:w="2777" w:type="pct"/>
                  <w:vAlign w:val="center"/>
                </w:tcPr>
                <w:p>
                  <w:pPr>
                    <w:adjustRightInd w:val="0"/>
                    <w:snapToGrid w:val="0"/>
                    <w:spacing w:line="360" w:lineRule="auto"/>
                    <w:ind w:left="123"/>
                    <w:rPr>
                      <w:rFonts w:ascii="宋体" w:eastAsia="宋体" w:hAnsi="宋体" w:cs="宋体" w:hint="eastAsia"/>
                      <w:sz w:val="21"/>
                      <w:szCs w:val="21"/>
                    </w:rPr>
                  </w:pPr>
                  <w:r>
                    <w:rPr>
                      <w:rFonts w:ascii="宋体" w:eastAsia="宋体" w:hAnsi="宋体" w:cs="宋体" w:hint="eastAsia"/>
                      <w:sz w:val="21"/>
                      <w:szCs w:val="21"/>
                    </w:rPr>
                    <w:t>不锈钢支架</w:t>
                  </w:r>
                </w:p>
              </w:tc>
              <w:tc>
                <w:tcPr>
                  <w:tcW w:w="950" w:type="pct"/>
                  <w:gridSpan w:val="2"/>
                  <w:vAlign w:val="center"/>
                </w:tcPr>
                <w:p>
                  <w:pPr>
                    <w:adjustRightInd w:val="0"/>
                    <w:snapToGrid w:val="0"/>
                    <w:spacing w:line="360" w:lineRule="auto"/>
                    <w:ind w:left="0" w:leftChars="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个</w:t>
                  </w:r>
                </w:p>
              </w:tc>
              <w:tc>
                <w:tcPr>
                  <w:tcW w:w="731" w:type="pct"/>
                  <w:vAlign w:val="center"/>
                </w:tcPr>
                <w:p>
                  <w:pPr>
                    <w:adjustRightInd w:val="0"/>
                    <w:snapToGrid w:val="0"/>
                    <w:spacing w:line="360" w:lineRule="auto"/>
                    <w:ind w:left="0"/>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bl>
          <w:p>
            <w:pPr>
              <w:pStyle w:val="NoSpacing"/>
              <w:rPr>
                <w:rFonts w:ascii="宋体" w:eastAsia="宋体" w:hAnsi="宋体" w:cs="宋体" w:hint="eastAsia"/>
                <w:sz w:val="21"/>
                <w:szCs w:val="21"/>
                <w:lang w:val="en-US" w:eastAsia="zh-CN"/>
              </w:rPr>
            </w:pPr>
          </w:p>
        </w:tc>
      </w:tr>
      <w:tr>
        <w:tblPrEx>
          <w:tblW w:w="4997" w:type="pct"/>
          <w:jc w:val="center"/>
          <w:tblCellMar>
            <w:top w:w="0" w:type="dxa"/>
            <w:left w:w="108" w:type="dxa"/>
            <w:bottom w:w="0" w:type="dxa"/>
            <w:right w:w="108" w:type="dxa"/>
          </w:tblCellMar>
        </w:tblPrEx>
        <w:trPr>
          <w:trHeight w:val="295"/>
          <w:jc w:val="center"/>
        </w:trPr>
        <w:tc>
          <w:tcPr>
            <w:tcW w:w="250" w:type="pct"/>
            <w:vMerge w:val="restart"/>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2</w:t>
            </w:r>
          </w:p>
        </w:tc>
        <w:tc>
          <w:tcPr>
            <w:tcW w:w="289" w:type="pct"/>
            <w:vMerge w:val="restar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压电式冲击波治疗仪</w:t>
            </w: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 xml:space="preserve">1、电磁式冲击波源: </w:t>
            </w:r>
            <w:r>
              <w:rPr>
                <w:rFonts w:ascii="宋体" w:hAnsi="宋体" w:cs="宋体" w:hint="eastAsia"/>
                <w:sz w:val="21"/>
                <w:szCs w:val="21"/>
                <w:lang w:val="en-US" w:eastAsia="zh-CN"/>
              </w:rPr>
              <w:t>采用</w:t>
            </w:r>
            <w:r>
              <w:rPr>
                <w:rFonts w:ascii="宋体" w:eastAsia="宋体" w:hAnsi="宋体" w:cs="宋体" w:hint="eastAsia"/>
                <w:sz w:val="21"/>
                <w:szCs w:val="21"/>
              </w:rPr>
              <w:t>无透镜自聚焦电磁式冲击波源,封闭水路系统作为冲击波传导介质；</w:t>
            </w:r>
          </w:p>
        </w:tc>
        <w:tc>
          <w:tcPr>
            <w:tcW w:w="483" w:type="pct"/>
          </w:tcPr>
          <w:p>
            <w:pPr>
              <w:pStyle w:val="NoSpacing"/>
              <w:rPr>
                <w:rFonts w:ascii="宋体" w:eastAsia="宋体" w:hAnsi="宋体" w:cs="宋体" w:hint="eastAsia"/>
                <w:sz w:val="21"/>
                <w:szCs w:val="21"/>
              </w:rPr>
            </w:pPr>
          </w:p>
        </w:tc>
        <w:tc>
          <w:tcPr>
            <w:tcW w:w="483" w:type="pct"/>
          </w:tcPr>
          <w:p>
            <w:pPr>
              <w:pStyle w:val="NoSpacing"/>
              <w:rPr>
                <w:rFonts w:ascii="宋体" w:eastAsia="宋体" w:hAnsi="宋体" w:cs="宋体" w:hint="eastAsia"/>
                <w:sz w:val="21"/>
                <w:szCs w:val="21"/>
              </w:rPr>
            </w:pPr>
          </w:p>
        </w:tc>
        <w:tc>
          <w:tcPr>
            <w:tcW w:w="493" w:type="pct"/>
          </w:tcPr>
          <w:p>
            <w:pPr>
              <w:pStyle w:val="NoSpacing"/>
              <w:rPr>
                <w:rFonts w:ascii="宋体" w:eastAsia="宋体" w:hAnsi="宋体" w:cs="宋体" w:hint="eastAsia"/>
                <w:sz w:val="21"/>
                <w:szCs w:val="21"/>
              </w:rPr>
            </w:pPr>
          </w:p>
        </w:tc>
      </w:tr>
      <w:tr>
        <w:tblPrEx>
          <w:tblW w:w="4997" w:type="pct"/>
          <w:jc w:val="center"/>
          <w:tblCellMar>
            <w:top w:w="0" w:type="dxa"/>
            <w:left w:w="108" w:type="dxa"/>
            <w:bottom w:w="0" w:type="dxa"/>
            <w:right w:w="108" w:type="dxa"/>
          </w:tblCellMar>
        </w:tblPrEx>
        <w:trPr>
          <w:trHeight w:val="403"/>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2、冲击波为柱状定向发射,非扇形发散式，冲击波最大压缩声压峰值≤30MPa；</w:t>
            </w:r>
          </w:p>
        </w:tc>
        <w:tc>
          <w:tcPr>
            <w:tcW w:w="483" w:type="pct"/>
          </w:tcPr>
          <w:p>
            <w:pPr>
              <w:pStyle w:val="NoSpacing"/>
              <w:rPr>
                <w:rFonts w:ascii="宋体" w:eastAsia="宋体" w:hAnsi="宋体" w:cs="宋体" w:hint="eastAsia"/>
                <w:sz w:val="21"/>
                <w:szCs w:val="21"/>
              </w:rPr>
            </w:pPr>
          </w:p>
        </w:tc>
        <w:tc>
          <w:tcPr>
            <w:tcW w:w="483" w:type="pct"/>
          </w:tcPr>
          <w:p>
            <w:pPr>
              <w:pStyle w:val="NoSpacing"/>
              <w:rPr>
                <w:rFonts w:ascii="宋体" w:eastAsia="宋体" w:hAnsi="宋体" w:cs="宋体" w:hint="eastAsia"/>
                <w:sz w:val="21"/>
                <w:szCs w:val="21"/>
              </w:rPr>
            </w:pPr>
          </w:p>
        </w:tc>
        <w:tc>
          <w:tcPr>
            <w:tcW w:w="493" w:type="pct"/>
          </w:tcPr>
          <w:p>
            <w:pPr>
              <w:pStyle w:val="NoSpacing"/>
              <w:rPr>
                <w:rFonts w:ascii="宋体" w:eastAsia="宋体" w:hAnsi="宋体" w:cs="宋体" w:hint="eastAsia"/>
                <w:sz w:val="21"/>
                <w:szCs w:val="21"/>
              </w:rPr>
            </w:pPr>
          </w:p>
        </w:tc>
      </w:tr>
      <w:tr>
        <w:tblPrEx>
          <w:tblW w:w="4997" w:type="pct"/>
          <w:jc w:val="center"/>
          <w:tblCellMar>
            <w:top w:w="0" w:type="dxa"/>
            <w:left w:w="108" w:type="dxa"/>
            <w:bottom w:w="0" w:type="dxa"/>
            <w:right w:w="108" w:type="dxa"/>
          </w:tblCellMar>
        </w:tblPrEx>
        <w:trPr>
          <w:trHeight w:val="91"/>
          <w:jc w:val="center"/>
        </w:trPr>
        <w:tc>
          <w:tcPr>
            <w:tcW w:w="250" w:type="pct"/>
            <w:vMerge/>
          </w:tcPr>
          <w:p>
            <w:pPr>
              <w:pStyle w:val="NoSpacing"/>
            </w:pPr>
          </w:p>
        </w:tc>
        <w:tc>
          <w:tcPr>
            <w:tcW w:w="289" w:type="pct"/>
            <w:vMerge/>
          </w:tcPr>
          <w:p>
            <w:pPr>
              <w:pStyle w:val="NoSpacing"/>
            </w:pPr>
          </w:p>
        </w:tc>
        <w:tc>
          <w:tcPr>
            <w:tcW w:w="2999" w:type="pct"/>
          </w:tcPr>
          <w:p>
            <w:pPr>
              <w:pStyle w:val="NoSpacing"/>
              <w:rPr>
                <w:rFonts w:ascii="宋体" w:eastAsia="宋体" w:hAnsi="宋体" w:cs="宋体" w:hint="eastAsia"/>
                <w:sz w:val="21"/>
                <w:szCs w:val="21"/>
              </w:rPr>
            </w:pPr>
            <w:r>
              <w:rPr>
                <w:rFonts w:ascii="宋体" w:eastAsia="宋体" w:hAnsi="宋体" w:cs="宋体" w:hint="eastAsia"/>
                <w:sz w:val="21"/>
                <w:szCs w:val="21"/>
              </w:rPr>
              <w:t>3、冲击波聚焦范围：径向≥±10mm；</w:t>
            </w:r>
            <w:r>
              <w:rPr>
                <w:rFonts w:ascii="宋体" w:hAnsi="宋体" w:cs="宋体" w:hint="eastAsia"/>
                <w:b/>
                <w:bCs/>
                <w:color w:val="FF0000"/>
                <w:szCs w:val="21"/>
              </w:rPr>
              <w:t>(提供生产厂家盖章的技术白皮书或产品彩页或产品说明书或其他证明材料)。</w:t>
            </w:r>
          </w:p>
        </w:tc>
        <w:tc>
          <w:tcPr>
            <w:tcW w:w="483" w:type="pct"/>
          </w:tcPr>
          <w:p>
            <w:pPr>
              <w:pStyle w:val="NoSpacing"/>
              <w:rPr>
                <w:rFonts w:ascii="宋体" w:eastAsia="宋体" w:hAnsi="宋体" w:cs="宋体" w:hint="eastAsia"/>
                <w:sz w:val="21"/>
                <w:szCs w:val="21"/>
              </w:rPr>
            </w:pPr>
          </w:p>
        </w:tc>
        <w:tc>
          <w:tcPr>
            <w:tcW w:w="483" w:type="pct"/>
          </w:tcPr>
          <w:p>
            <w:pPr>
              <w:pStyle w:val="NoSpacing"/>
              <w:rPr>
                <w:rFonts w:ascii="宋体" w:eastAsia="宋体" w:hAnsi="宋体" w:cs="宋体" w:hint="eastAsia"/>
                <w:sz w:val="21"/>
                <w:szCs w:val="21"/>
              </w:rPr>
            </w:pPr>
          </w:p>
        </w:tc>
        <w:tc>
          <w:tcPr>
            <w:tcW w:w="493" w:type="pct"/>
          </w:tcPr>
          <w:p>
            <w:pPr>
              <w:pStyle w:val="NoSpacing"/>
              <w:rPr>
                <w:rFonts w:ascii="宋体" w:eastAsia="宋体" w:hAnsi="宋体" w:cs="宋体" w:hint="eastAsia"/>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4、冲击波最大能流密度≤0.35 mJ/mm²，高压脉冲电容储能最大值≥40J；</w:t>
            </w:r>
          </w:p>
        </w:tc>
        <w:tc>
          <w:tcPr>
            <w:tcW w:w="483" w:type="pct"/>
          </w:tcPr>
          <w:p>
            <w:pPr>
              <w:pStyle w:val="NoSpacing"/>
              <w:rPr>
                <w:rFonts w:ascii="宋体" w:eastAsia="宋体" w:hAnsi="宋体" w:cs="宋体" w:hint="eastAsia"/>
                <w:sz w:val="21"/>
                <w:szCs w:val="21"/>
              </w:rPr>
            </w:pPr>
          </w:p>
        </w:tc>
        <w:tc>
          <w:tcPr>
            <w:tcW w:w="483" w:type="pct"/>
          </w:tcPr>
          <w:p>
            <w:pPr>
              <w:pStyle w:val="NoSpacing"/>
              <w:rPr>
                <w:rFonts w:ascii="宋体" w:eastAsia="宋体" w:hAnsi="宋体" w:cs="宋体" w:hint="eastAsia"/>
                <w:sz w:val="21"/>
                <w:szCs w:val="21"/>
              </w:rPr>
            </w:pPr>
          </w:p>
        </w:tc>
        <w:tc>
          <w:tcPr>
            <w:tcW w:w="493" w:type="pct"/>
          </w:tcPr>
          <w:p>
            <w:pPr>
              <w:pStyle w:val="NoSpacing"/>
              <w:rPr>
                <w:rFonts w:ascii="宋体" w:eastAsia="宋体" w:hAnsi="宋体" w:cs="宋体" w:hint="eastAsia"/>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5、冲击波脉冲宽度：≤1μs，冲击波脉冲上升时间：≤0.5μs；</w:t>
            </w:r>
          </w:p>
        </w:tc>
        <w:tc>
          <w:tcPr>
            <w:tcW w:w="483" w:type="pct"/>
          </w:tcPr>
          <w:p>
            <w:pPr>
              <w:pStyle w:val="NoSpacing"/>
              <w:rPr>
                <w:rFonts w:ascii="宋体" w:eastAsia="宋体" w:hAnsi="宋体" w:cs="宋体" w:hint="eastAsia"/>
                <w:sz w:val="21"/>
                <w:szCs w:val="21"/>
              </w:rPr>
            </w:pPr>
          </w:p>
        </w:tc>
        <w:tc>
          <w:tcPr>
            <w:tcW w:w="483" w:type="pct"/>
          </w:tcPr>
          <w:p>
            <w:pPr>
              <w:pStyle w:val="NoSpacing"/>
              <w:rPr>
                <w:rFonts w:ascii="宋体" w:eastAsia="宋体" w:hAnsi="宋体" w:cs="宋体" w:hint="eastAsia"/>
                <w:sz w:val="21"/>
                <w:szCs w:val="21"/>
              </w:rPr>
            </w:pPr>
          </w:p>
        </w:tc>
        <w:tc>
          <w:tcPr>
            <w:tcW w:w="493" w:type="pct"/>
          </w:tcPr>
          <w:p>
            <w:pPr>
              <w:pStyle w:val="NoSpacing"/>
              <w:rPr>
                <w:rFonts w:ascii="宋体" w:eastAsia="宋体" w:hAnsi="宋体" w:cs="宋体" w:hint="eastAsia"/>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6、冲击波最大发射频率≥4.5 Hz ；</w:t>
            </w:r>
          </w:p>
        </w:tc>
        <w:tc>
          <w:tcPr>
            <w:tcW w:w="483" w:type="pct"/>
          </w:tcPr>
          <w:p>
            <w:pPr>
              <w:pStyle w:val="NoSpacing"/>
              <w:rPr>
                <w:rFonts w:ascii="宋体" w:eastAsia="宋体" w:hAnsi="宋体" w:cs="宋体" w:hint="eastAsia"/>
                <w:sz w:val="21"/>
                <w:szCs w:val="21"/>
              </w:rPr>
            </w:pPr>
          </w:p>
        </w:tc>
        <w:tc>
          <w:tcPr>
            <w:tcW w:w="483" w:type="pct"/>
          </w:tcPr>
          <w:p>
            <w:pPr>
              <w:pStyle w:val="NoSpacing"/>
              <w:rPr>
                <w:rFonts w:ascii="宋体" w:eastAsia="宋体" w:hAnsi="宋体" w:cs="宋体" w:hint="eastAsia"/>
                <w:sz w:val="21"/>
                <w:szCs w:val="21"/>
              </w:rPr>
            </w:pPr>
          </w:p>
        </w:tc>
        <w:tc>
          <w:tcPr>
            <w:tcW w:w="493" w:type="pct"/>
          </w:tcPr>
          <w:p>
            <w:pPr>
              <w:pStyle w:val="NoSpacing"/>
              <w:rPr>
                <w:rFonts w:ascii="宋体" w:eastAsia="宋体" w:hAnsi="宋体" w:cs="宋体" w:hint="eastAsia"/>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7、冲击波触发模式：单次触发、连续触发。</w:t>
            </w:r>
          </w:p>
        </w:tc>
        <w:tc>
          <w:tcPr>
            <w:tcW w:w="483" w:type="pct"/>
          </w:tcPr>
          <w:p>
            <w:pPr>
              <w:pStyle w:val="NoSpacing"/>
              <w:rPr>
                <w:rFonts w:ascii="宋体" w:eastAsia="宋体" w:hAnsi="宋体" w:cs="宋体" w:hint="eastAsia"/>
                <w:sz w:val="21"/>
                <w:szCs w:val="21"/>
              </w:rPr>
            </w:pPr>
          </w:p>
        </w:tc>
        <w:tc>
          <w:tcPr>
            <w:tcW w:w="483" w:type="pct"/>
          </w:tcPr>
          <w:p>
            <w:pPr>
              <w:pStyle w:val="NoSpacing"/>
              <w:rPr>
                <w:rFonts w:ascii="宋体" w:eastAsia="宋体" w:hAnsi="宋体" w:cs="宋体" w:hint="eastAsia"/>
                <w:sz w:val="21"/>
                <w:szCs w:val="21"/>
              </w:rPr>
            </w:pPr>
          </w:p>
        </w:tc>
        <w:tc>
          <w:tcPr>
            <w:tcW w:w="493" w:type="pct"/>
          </w:tcPr>
          <w:p>
            <w:pPr>
              <w:pStyle w:val="NoSpacing"/>
              <w:rPr>
                <w:rFonts w:ascii="宋体" w:eastAsia="宋体" w:hAnsi="宋体" w:cs="宋体" w:hint="eastAsia"/>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8、手持式治疗头：手持式治疗头具有按键调节能量功能， 能量调节级数：</w:t>
            </w:r>
            <w:r>
              <w:rPr>
                <w:rFonts w:ascii="宋体" w:hAnsi="宋体" w:cs="宋体" w:hint="eastAsia"/>
                <w:sz w:val="21"/>
                <w:szCs w:val="21"/>
                <w:lang w:val="en-US" w:eastAsia="zh-CN"/>
              </w:rPr>
              <w:t>至少具有</w:t>
            </w:r>
            <w:r>
              <w:rPr>
                <w:rFonts w:ascii="宋体" w:eastAsia="宋体" w:hAnsi="宋体" w:cs="宋体" w:hint="eastAsia"/>
                <w:sz w:val="21"/>
                <w:szCs w:val="21"/>
              </w:rPr>
              <w:t>1至10级，治疗深度： ≥60mm；</w:t>
            </w:r>
            <w:r>
              <w:rPr>
                <w:rFonts w:ascii="宋体" w:hAnsi="宋体" w:cs="宋体" w:hint="eastAsia"/>
                <w:b/>
                <w:bCs/>
                <w:color w:val="FF0000"/>
                <w:szCs w:val="21"/>
              </w:rPr>
              <w:t>(提供生产厂家盖章的技术白皮书或产品彩页或产品说明书或其他证明材料)。</w:t>
            </w:r>
          </w:p>
        </w:tc>
        <w:tc>
          <w:tcPr>
            <w:tcW w:w="483" w:type="pct"/>
          </w:tcPr>
          <w:p>
            <w:pPr>
              <w:pStyle w:val="NoSpacing"/>
              <w:rPr>
                <w:rFonts w:ascii="宋体" w:eastAsia="宋体" w:hAnsi="宋体" w:cs="宋体" w:hint="eastAsia"/>
                <w:sz w:val="21"/>
                <w:szCs w:val="21"/>
              </w:rPr>
            </w:pPr>
          </w:p>
        </w:tc>
        <w:tc>
          <w:tcPr>
            <w:tcW w:w="483" w:type="pct"/>
          </w:tcPr>
          <w:p>
            <w:pPr>
              <w:pStyle w:val="NoSpacing"/>
              <w:rPr>
                <w:rFonts w:ascii="宋体" w:eastAsia="宋体" w:hAnsi="宋体" w:cs="宋体" w:hint="eastAsia"/>
                <w:sz w:val="21"/>
                <w:szCs w:val="21"/>
              </w:rPr>
            </w:pPr>
          </w:p>
        </w:tc>
        <w:tc>
          <w:tcPr>
            <w:tcW w:w="493" w:type="pct"/>
          </w:tcPr>
          <w:p>
            <w:pPr>
              <w:pStyle w:val="NoSpacing"/>
              <w:rPr>
                <w:rFonts w:ascii="宋体" w:eastAsia="宋体" w:hAnsi="宋体" w:cs="宋体" w:hint="eastAsia"/>
                <w:sz w:val="21"/>
                <w:szCs w:val="21"/>
              </w:rPr>
            </w:pPr>
          </w:p>
        </w:tc>
      </w:tr>
      <w:tr>
        <w:tblPrEx>
          <w:tblW w:w="4997" w:type="pct"/>
          <w:jc w:val="center"/>
          <w:tblCellMar>
            <w:top w:w="0" w:type="dxa"/>
            <w:left w:w="108" w:type="dxa"/>
            <w:bottom w:w="0" w:type="dxa"/>
            <w:right w:w="108" w:type="dxa"/>
          </w:tblCellMar>
        </w:tblPrEx>
        <w:trPr>
          <w:trHeight w:val="403"/>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9、屏幕上实时显示治疗焦点深度，手持式治疗头使用寿命 ≥150万次。</w:t>
            </w:r>
            <w:r>
              <w:rPr>
                <w:rFonts w:ascii="宋体" w:hAnsi="宋体" w:cs="宋体" w:hint="eastAsia"/>
                <w:b/>
                <w:bCs/>
                <w:color w:val="FF0000"/>
                <w:szCs w:val="21"/>
              </w:rPr>
              <w:t>(提供生产厂家盖章的技术白皮书或产品彩页或产品说明书或其他证明材料)。</w:t>
            </w:r>
          </w:p>
        </w:tc>
        <w:tc>
          <w:tcPr>
            <w:tcW w:w="483" w:type="pct"/>
          </w:tcPr>
          <w:p>
            <w:pPr>
              <w:pStyle w:val="NoSpacing"/>
              <w:rPr>
                <w:rFonts w:ascii="宋体" w:eastAsia="宋体" w:hAnsi="宋体" w:cs="宋体" w:hint="eastAsia"/>
                <w:sz w:val="21"/>
                <w:szCs w:val="21"/>
              </w:rPr>
            </w:pPr>
          </w:p>
        </w:tc>
        <w:tc>
          <w:tcPr>
            <w:tcW w:w="483" w:type="pct"/>
          </w:tcPr>
          <w:p>
            <w:pPr>
              <w:pStyle w:val="NoSpacing"/>
              <w:rPr>
                <w:rFonts w:ascii="宋体" w:eastAsia="宋体" w:hAnsi="宋体" w:cs="宋体" w:hint="eastAsia"/>
                <w:sz w:val="21"/>
                <w:szCs w:val="21"/>
              </w:rPr>
            </w:pPr>
          </w:p>
        </w:tc>
        <w:tc>
          <w:tcPr>
            <w:tcW w:w="493" w:type="pct"/>
          </w:tcPr>
          <w:p>
            <w:pPr>
              <w:pStyle w:val="NoSpacing"/>
              <w:rPr>
                <w:rFonts w:ascii="宋体" w:eastAsia="宋体" w:hAnsi="宋体" w:cs="宋体" w:hint="eastAsia"/>
                <w:sz w:val="21"/>
                <w:szCs w:val="21"/>
              </w:rPr>
            </w:pPr>
          </w:p>
        </w:tc>
      </w:tr>
      <w:tr>
        <w:tblPrEx>
          <w:tblW w:w="4997" w:type="pct"/>
          <w:jc w:val="center"/>
          <w:tblCellMar>
            <w:top w:w="0" w:type="dxa"/>
            <w:left w:w="108" w:type="dxa"/>
            <w:bottom w:w="0" w:type="dxa"/>
            <w:right w:w="108" w:type="dxa"/>
          </w:tblCellMar>
        </w:tblPrEx>
        <w:trPr>
          <w:trHeight w:val="403"/>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default"/>
                <w:sz w:val="21"/>
                <w:szCs w:val="21"/>
                <w:lang w:val="en-US" w:eastAsia="zh-CN"/>
              </w:rPr>
            </w:pPr>
            <w:r>
              <w:rPr>
                <w:rFonts w:ascii="宋体" w:hAnsi="宋体" w:cs="宋体" w:hint="eastAsia"/>
                <w:sz w:val="21"/>
                <w:szCs w:val="21"/>
                <w:lang w:val="en-US" w:eastAsia="zh-CN"/>
              </w:rPr>
              <w:t>10、</w:t>
            </w:r>
            <w:r>
              <w:rPr>
                <w:rFonts w:ascii="宋体" w:hAnsi="宋体" w:cs="宋体" w:hint="eastAsia"/>
                <w:szCs w:val="21"/>
              </w:rPr>
              <w:t>手柄具有红外线深度测量功能</w:t>
            </w:r>
            <w:r>
              <w:rPr>
                <w:rFonts w:ascii="宋体" w:hAnsi="宋体" w:cs="宋体" w:hint="eastAsia"/>
                <w:szCs w:val="21"/>
                <w:lang w:eastAsia="zh-CN"/>
              </w:rPr>
              <w:t>。</w:t>
            </w:r>
            <w:r>
              <w:rPr>
                <w:rFonts w:ascii="宋体" w:hAnsi="宋体" w:cs="宋体" w:hint="eastAsia"/>
                <w:b/>
                <w:bCs/>
                <w:color w:val="FF0000"/>
                <w:szCs w:val="21"/>
              </w:rPr>
              <w:t>(提供生产厂家盖章的技术白皮书或产品彩页或产品说明书或其他证明材料)。</w:t>
            </w:r>
          </w:p>
        </w:tc>
        <w:tc>
          <w:tcPr>
            <w:tcW w:w="483" w:type="pct"/>
          </w:tcPr>
          <w:p>
            <w:pPr>
              <w:pStyle w:val="NoSpacing"/>
              <w:rPr>
                <w:rFonts w:ascii="宋体" w:hAnsi="宋体" w:cs="宋体" w:hint="eastAsia"/>
                <w:sz w:val="21"/>
                <w:szCs w:val="21"/>
                <w:lang w:val="en-US" w:eastAsia="zh-CN"/>
              </w:rPr>
            </w:pPr>
          </w:p>
        </w:tc>
        <w:tc>
          <w:tcPr>
            <w:tcW w:w="483" w:type="pct"/>
          </w:tcPr>
          <w:p>
            <w:pPr>
              <w:pStyle w:val="NoSpacing"/>
              <w:rPr>
                <w:rFonts w:ascii="宋体" w:hAnsi="宋体" w:cs="宋体" w:hint="eastAsia"/>
                <w:sz w:val="21"/>
                <w:szCs w:val="21"/>
                <w:lang w:val="en-US" w:eastAsia="zh-CN"/>
              </w:rPr>
            </w:pPr>
          </w:p>
        </w:tc>
        <w:tc>
          <w:tcPr>
            <w:tcW w:w="493" w:type="pct"/>
          </w:tcPr>
          <w:p>
            <w:pPr>
              <w:pStyle w:val="NoSpacing"/>
              <w:rPr>
                <w:rFonts w:ascii="宋体" w:hAnsi="宋体" w:cs="宋体" w:hint="eastAsia"/>
                <w:sz w:val="21"/>
                <w:szCs w:val="21"/>
                <w:lang w:val="en-US" w:eastAsia="zh-CN"/>
              </w:rPr>
            </w:pPr>
          </w:p>
        </w:tc>
      </w:tr>
      <w:tr>
        <w:tblPrEx>
          <w:tblW w:w="4997" w:type="pct"/>
          <w:jc w:val="center"/>
          <w:tblCellMar>
            <w:top w:w="0" w:type="dxa"/>
            <w:left w:w="108" w:type="dxa"/>
            <w:bottom w:w="0" w:type="dxa"/>
            <w:right w:w="108" w:type="dxa"/>
          </w:tblCellMar>
        </w:tblPrEx>
        <w:trPr>
          <w:trHeight w:val="90"/>
          <w:jc w:val="center"/>
        </w:trPr>
        <w:tc>
          <w:tcPr>
            <w:tcW w:w="250" w:type="pct"/>
            <w:vMerge/>
          </w:tcPr>
          <w:p>
            <w:pPr>
              <w:pStyle w:val="NoSpacing"/>
            </w:pPr>
          </w:p>
        </w:tc>
        <w:tc>
          <w:tcPr>
            <w:tcW w:w="289" w:type="pct"/>
            <w:vMerge/>
          </w:tcPr>
          <w:p>
            <w:pPr>
              <w:pStyle w:val="NoSpacing"/>
            </w:pPr>
          </w:p>
        </w:tc>
        <w:tc>
          <w:tcPr>
            <w:tcW w:w="2999" w:type="pct"/>
          </w:tcPr>
          <w:p>
            <w:pPr>
              <w:pStyle w:val="NoSpacing"/>
              <w:rPr>
                <w:rFonts w:ascii="宋体" w:eastAsia="宋体" w:hAnsi="宋体" w:cs="宋体" w:hint="eastAsia"/>
                <w:sz w:val="21"/>
                <w:szCs w:val="21"/>
              </w:rPr>
            </w:pPr>
            <w:r>
              <w:rPr>
                <w:rFonts w:ascii="宋体" w:eastAsia="宋体" w:hAnsi="宋体" w:cs="宋体" w:hint="eastAsia"/>
                <w:sz w:val="21"/>
                <w:szCs w:val="21"/>
              </w:rPr>
              <w:t>1</w:t>
            </w:r>
            <w:r>
              <w:rPr>
                <w:rFonts w:ascii="宋体" w:hAnsi="宋体" w:cs="宋体" w:hint="eastAsia"/>
                <w:sz w:val="21"/>
                <w:szCs w:val="21"/>
                <w:lang w:val="en-US" w:eastAsia="zh-CN"/>
              </w:rPr>
              <w:t>1</w:t>
            </w:r>
            <w:r>
              <w:rPr>
                <w:rFonts w:ascii="宋体" w:eastAsia="宋体" w:hAnsi="宋体" w:cs="宋体" w:hint="eastAsia"/>
                <w:sz w:val="21"/>
                <w:szCs w:val="21"/>
              </w:rPr>
              <w:t xml:space="preserve"> 、操控系统： 整机操控系统由内嵌式计算机模块控制</w:t>
            </w:r>
          </w:p>
        </w:tc>
        <w:tc>
          <w:tcPr>
            <w:tcW w:w="483" w:type="pct"/>
          </w:tcPr>
          <w:p>
            <w:pPr>
              <w:pStyle w:val="NoSpacing"/>
              <w:rPr>
                <w:rFonts w:ascii="宋体" w:eastAsia="宋体" w:hAnsi="宋体" w:cs="宋体" w:hint="eastAsia"/>
                <w:sz w:val="21"/>
                <w:szCs w:val="21"/>
              </w:rPr>
            </w:pPr>
          </w:p>
        </w:tc>
        <w:tc>
          <w:tcPr>
            <w:tcW w:w="483" w:type="pct"/>
          </w:tcPr>
          <w:p>
            <w:pPr>
              <w:pStyle w:val="NoSpacing"/>
              <w:rPr>
                <w:rFonts w:ascii="宋体" w:eastAsia="宋体" w:hAnsi="宋体" w:cs="宋体" w:hint="eastAsia"/>
                <w:sz w:val="21"/>
                <w:szCs w:val="21"/>
              </w:rPr>
            </w:pPr>
          </w:p>
        </w:tc>
        <w:tc>
          <w:tcPr>
            <w:tcW w:w="493" w:type="pct"/>
          </w:tcPr>
          <w:p>
            <w:pPr>
              <w:pStyle w:val="NoSpacing"/>
              <w:rPr>
                <w:rFonts w:ascii="宋体" w:eastAsia="宋体" w:hAnsi="宋体" w:cs="宋体" w:hint="eastAsia"/>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w:t>
            </w:r>
            <w:r>
              <w:rPr>
                <w:rFonts w:ascii="宋体" w:hAnsi="宋体" w:cs="宋体" w:hint="eastAsia"/>
                <w:sz w:val="21"/>
                <w:szCs w:val="21"/>
                <w:lang w:val="en-US" w:eastAsia="zh-CN"/>
              </w:rPr>
              <w:t>2</w:t>
            </w:r>
            <w:r>
              <w:rPr>
                <w:rFonts w:ascii="宋体" w:eastAsia="宋体" w:hAnsi="宋体" w:cs="宋体" w:hint="eastAsia"/>
                <w:sz w:val="21"/>
                <w:szCs w:val="21"/>
              </w:rPr>
              <w:t>、彩色触摸屏尺寸≥10寸，可预设冲击波发射次数，达到预设值自动停止，操作界面可显示当前冲击波发射次数，同时记录冲击波累计发射总次数；</w:t>
            </w:r>
          </w:p>
        </w:tc>
        <w:tc>
          <w:tcPr>
            <w:tcW w:w="483" w:type="pct"/>
          </w:tcPr>
          <w:p>
            <w:pPr>
              <w:pStyle w:val="NoSpacing"/>
              <w:rPr>
                <w:rFonts w:ascii="宋体" w:eastAsia="宋体" w:hAnsi="宋体" w:cs="宋体" w:hint="eastAsia"/>
                <w:sz w:val="21"/>
                <w:szCs w:val="21"/>
              </w:rPr>
            </w:pPr>
          </w:p>
        </w:tc>
        <w:tc>
          <w:tcPr>
            <w:tcW w:w="483" w:type="pct"/>
          </w:tcPr>
          <w:p>
            <w:pPr>
              <w:pStyle w:val="NoSpacing"/>
              <w:rPr>
                <w:rFonts w:ascii="宋体" w:eastAsia="宋体" w:hAnsi="宋体" w:cs="宋体" w:hint="eastAsia"/>
                <w:sz w:val="21"/>
                <w:szCs w:val="21"/>
              </w:rPr>
            </w:pPr>
          </w:p>
        </w:tc>
        <w:tc>
          <w:tcPr>
            <w:tcW w:w="493" w:type="pct"/>
          </w:tcPr>
          <w:p>
            <w:pPr>
              <w:pStyle w:val="NoSpacing"/>
              <w:rPr>
                <w:rFonts w:ascii="宋体" w:eastAsia="宋体" w:hAnsi="宋体" w:cs="宋体" w:hint="eastAsia"/>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w:t>
            </w:r>
            <w:r>
              <w:rPr>
                <w:rFonts w:ascii="宋体" w:hAnsi="宋体" w:cs="宋体" w:hint="eastAsia"/>
                <w:sz w:val="21"/>
                <w:szCs w:val="21"/>
                <w:lang w:val="en-US" w:eastAsia="zh-CN"/>
              </w:rPr>
              <w:t>3</w:t>
            </w:r>
            <w:r>
              <w:rPr>
                <w:rFonts w:ascii="宋体" w:eastAsia="宋体" w:hAnsi="宋体" w:cs="宋体" w:hint="eastAsia"/>
                <w:sz w:val="21"/>
                <w:szCs w:val="21"/>
              </w:rPr>
              <w:t>、系统内置多个治疗参数预设方案供临床参考。</w:t>
            </w:r>
          </w:p>
        </w:tc>
        <w:tc>
          <w:tcPr>
            <w:tcW w:w="483" w:type="pct"/>
          </w:tcPr>
          <w:p>
            <w:pPr>
              <w:pStyle w:val="NoSpacing"/>
              <w:rPr>
                <w:rFonts w:ascii="宋体" w:eastAsia="宋体" w:hAnsi="宋体" w:cs="宋体" w:hint="eastAsia"/>
                <w:sz w:val="21"/>
                <w:szCs w:val="21"/>
              </w:rPr>
            </w:pPr>
          </w:p>
        </w:tc>
        <w:tc>
          <w:tcPr>
            <w:tcW w:w="483" w:type="pct"/>
          </w:tcPr>
          <w:p>
            <w:pPr>
              <w:pStyle w:val="NoSpacing"/>
              <w:rPr>
                <w:rFonts w:ascii="宋体" w:eastAsia="宋体" w:hAnsi="宋体" w:cs="宋体" w:hint="eastAsia"/>
                <w:sz w:val="21"/>
                <w:szCs w:val="21"/>
              </w:rPr>
            </w:pPr>
          </w:p>
        </w:tc>
        <w:tc>
          <w:tcPr>
            <w:tcW w:w="493" w:type="pct"/>
          </w:tcPr>
          <w:p>
            <w:pPr>
              <w:pStyle w:val="NoSpacing"/>
              <w:rPr>
                <w:rFonts w:ascii="宋体" w:eastAsia="宋体" w:hAnsi="宋体" w:cs="宋体" w:hint="eastAsia"/>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sz w:val="21"/>
                <w:szCs w:val="21"/>
              </w:rPr>
              <w:t>1</w:t>
            </w:r>
            <w:r>
              <w:rPr>
                <w:rFonts w:ascii="宋体" w:hAnsi="宋体" w:cs="宋体" w:hint="eastAsia"/>
                <w:sz w:val="21"/>
                <w:szCs w:val="21"/>
                <w:lang w:val="en-US" w:eastAsia="zh-CN"/>
              </w:rPr>
              <w:t>4</w:t>
            </w:r>
            <w:r>
              <w:rPr>
                <w:rFonts w:ascii="宋体" w:eastAsia="宋体" w:hAnsi="宋体" w:cs="宋体" w:hint="eastAsia"/>
                <w:sz w:val="21"/>
                <w:szCs w:val="21"/>
              </w:rPr>
              <w:t>、具有安全自检系统，自动检测各功能模块是否故障；整机重量≤20kg。</w:t>
            </w:r>
          </w:p>
        </w:tc>
        <w:tc>
          <w:tcPr>
            <w:tcW w:w="483" w:type="pct"/>
          </w:tcPr>
          <w:p>
            <w:pPr>
              <w:pStyle w:val="NoSpacing"/>
              <w:rPr>
                <w:rFonts w:ascii="宋体" w:eastAsia="宋体" w:hAnsi="宋体" w:cs="宋体" w:hint="eastAsia"/>
                <w:sz w:val="21"/>
                <w:szCs w:val="21"/>
              </w:rPr>
            </w:pPr>
          </w:p>
        </w:tc>
        <w:tc>
          <w:tcPr>
            <w:tcW w:w="483" w:type="pct"/>
          </w:tcPr>
          <w:p>
            <w:pPr>
              <w:pStyle w:val="NoSpacing"/>
              <w:rPr>
                <w:rFonts w:ascii="宋体" w:eastAsia="宋体" w:hAnsi="宋体" w:cs="宋体" w:hint="eastAsia"/>
                <w:sz w:val="21"/>
                <w:szCs w:val="21"/>
              </w:rPr>
            </w:pPr>
          </w:p>
        </w:tc>
        <w:tc>
          <w:tcPr>
            <w:tcW w:w="493" w:type="pct"/>
          </w:tcPr>
          <w:p>
            <w:pPr>
              <w:pStyle w:val="NoSpacing"/>
              <w:rPr>
                <w:rFonts w:ascii="宋体" w:eastAsia="宋体" w:hAnsi="宋体" w:cs="宋体" w:hint="eastAsia"/>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4459" w:type="pct"/>
            <w:gridSpan w:val="4"/>
          </w:tcPr>
          <w:p>
            <w:pPr>
              <w:rPr>
                <w:rFonts w:ascii="宋体" w:eastAsia="宋体" w:hAnsi="宋体" w:cs="宋体" w:hint="eastAsia"/>
                <w:sz w:val="21"/>
                <w:szCs w:val="21"/>
                <w:lang w:val="en-US" w:eastAsia="zh-CN"/>
              </w:rPr>
            </w:pPr>
            <w:r>
              <w:rPr>
                <w:rFonts w:ascii="宋体" w:eastAsia="宋体" w:hAnsi="宋体" w:cs="宋体" w:hint="eastAsia"/>
                <w:bCs/>
                <w:sz w:val="21"/>
                <w:szCs w:val="21"/>
              </w:rPr>
              <w:t>★</w:t>
            </w:r>
            <w:r>
              <w:rPr>
                <w:rFonts w:ascii="宋体" w:eastAsia="宋体" w:hAnsi="宋体" w:cs="宋体" w:hint="eastAsia"/>
                <w:sz w:val="21"/>
                <w:szCs w:val="21"/>
                <w:lang w:val="en-US" w:eastAsia="zh-CN"/>
              </w:rPr>
              <w:t>配置清单：</w:t>
            </w:r>
          </w:p>
          <w:tbl>
            <w:tblPr>
              <w:tblStyle w:val="TableNormal1"/>
              <w:tblW w:w="4992"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796"/>
              <w:gridCol w:w="4100"/>
              <w:gridCol w:w="1395"/>
              <w:gridCol w:w="1080"/>
            </w:tblGrid>
            <w:tr>
              <w:tblPrEx>
                <w:tblW w:w="4992"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jc w:val="center"/>
                    <w:rPr>
                      <w:rFonts w:ascii="宋体" w:eastAsia="宋体" w:hAnsi="宋体" w:cs="宋体" w:hint="eastAsia"/>
                      <w:kern w:val="0"/>
                      <w:sz w:val="21"/>
                      <w:szCs w:val="21"/>
                    </w:rPr>
                  </w:pPr>
                  <w:r>
                    <w:rPr>
                      <w:rFonts w:ascii="宋体" w:eastAsia="宋体" w:hAnsi="宋体" w:cs="宋体" w:hint="eastAsia"/>
                      <w:spacing w:val="4"/>
                      <w:kern w:val="0"/>
                      <w:sz w:val="21"/>
                      <w:szCs w:val="21"/>
                    </w:rPr>
                    <w:t>序号</w:t>
                  </w:r>
                </w:p>
              </w:tc>
              <w:tc>
                <w:tcPr>
                  <w:tcW w:w="2780" w:type="pct"/>
                  <w:vAlign w:val="center"/>
                </w:tcPr>
                <w:p>
                  <w:pPr>
                    <w:adjustRightInd w:val="0"/>
                    <w:snapToGrid w:val="0"/>
                    <w:spacing w:line="360" w:lineRule="auto"/>
                    <w:jc w:val="center"/>
                    <w:rPr>
                      <w:rFonts w:ascii="宋体" w:eastAsia="宋体" w:hAnsi="宋体" w:cs="宋体" w:hint="eastAsia"/>
                      <w:spacing w:val="4"/>
                      <w:kern w:val="0"/>
                      <w:sz w:val="21"/>
                      <w:szCs w:val="21"/>
                    </w:rPr>
                  </w:pPr>
                  <w:r>
                    <w:rPr>
                      <w:rFonts w:ascii="宋体" w:eastAsia="宋体" w:hAnsi="宋体" w:cs="宋体" w:hint="eastAsia"/>
                      <w:spacing w:val="4"/>
                      <w:kern w:val="0"/>
                      <w:sz w:val="21"/>
                      <w:szCs w:val="21"/>
                    </w:rPr>
                    <w:t>名称</w:t>
                  </w:r>
                </w:p>
              </w:tc>
              <w:tc>
                <w:tcPr>
                  <w:tcW w:w="946" w:type="pct"/>
                  <w:vAlign w:val="center"/>
                </w:tcPr>
                <w:p>
                  <w:pPr>
                    <w:adjustRightInd w:val="0"/>
                    <w:snapToGrid w:val="0"/>
                    <w:spacing w:line="360" w:lineRule="auto"/>
                    <w:ind w:left="596"/>
                    <w:rPr>
                      <w:rFonts w:ascii="宋体" w:eastAsia="宋体" w:hAnsi="宋体" w:cs="宋体" w:hint="eastAsia"/>
                      <w:kern w:val="0"/>
                      <w:sz w:val="21"/>
                      <w:szCs w:val="21"/>
                    </w:rPr>
                  </w:pPr>
                  <w:r>
                    <w:rPr>
                      <w:rFonts w:ascii="宋体" w:eastAsia="宋体" w:hAnsi="宋体" w:cs="宋体" w:hint="eastAsia"/>
                      <w:spacing w:val="7"/>
                      <w:kern w:val="0"/>
                      <w:sz w:val="21"/>
                      <w:szCs w:val="21"/>
                    </w:rPr>
                    <w:t>单位</w:t>
                  </w:r>
                </w:p>
              </w:tc>
              <w:tc>
                <w:tcPr>
                  <w:tcW w:w="732" w:type="pct"/>
                  <w:vAlign w:val="center"/>
                </w:tcPr>
                <w:p>
                  <w:pPr>
                    <w:adjustRightInd w:val="0"/>
                    <w:snapToGrid w:val="0"/>
                    <w:spacing w:line="360" w:lineRule="auto"/>
                    <w:ind w:left="307"/>
                    <w:rPr>
                      <w:rFonts w:ascii="宋体" w:eastAsia="宋体" w:hAnsi="宋体" w:cs="宋体" w:hint="eastAsia"/>
                      <w:kern w:val="0"/>
                      <w:sz w:val="21"/>
                      <w:szCs w:val="21"/>
                    </w:rPr>
                  </w:pPr>
                  <w:r>
                    <w:rPr>
                      <w:rFonts w:ascii="宋体" w:eastAsia="宋体" w:hAnsi="宋体" w:cs="宋体" w:hint="eastAsia"/>
                      <w:spacing w:val="4"/>
                      <w:kern w:val="0"/>
                      <w:sz w:val="21"/>
                      <w:szCs w:val="21"/>
                    </w:rPr>
                    <w:t>数量</w:t>
                  </w:r>
                </w:p>
              </w:tc>
            </w:tr>
            <w:tr>
              <w:tblPrEx>
                <w:tblW w:w="4992" w:type="pct"/>
                <w:jc w:val="center"/>
                <w:tblCellMar>
                  <w:top w:w="0" w:type="dxa"/>
                  <w:left w:w="0" w:type="dxa"/>
                  <w:bottom w:w="0" w:type="dxa"/>
                  <w:right w:w="0" w:type="dxa"/>
                </w:tblCellMar>
              </w:tblPrEx>
              <w:trPr>
                <w:trHeight w:val="334"/>
                <w:jc w:val="center"/>
              </w:trPr>
              <w:tc>
                <w:tcPr>
                  <w:tcW w:w="540" w:type="pct"/>
                  <w:vAlign w:val="center"/>
                </w:tcPr>
                <w:p>
                  <w:pPr>
                    <w:adjustRightInd w:val="0"/>
                    <w:snapToGrid w:val="0"/>
                    <w:spacing w:line="360" w:lineRule="auto"/>
                    <w:ind w:left="123"/>
                    <w:jc w:val="center"/>
                    <w:rPr>
                      <w:rFonts w:ascii="宋体" w:eastAsia="宋体" w:hAnsi="宋体" w:cs="宋体" w:hint="eastAsia"/>
                      <w:kern w:val="0"/>
                      <w:sz w:val="21"/>
                      <w:szCs w:val="21"/>
                    </w:rPr>
                  </w:pPr>
                  <w:r>
                    <w:rPr>
                      <w:rFonts w:ascii="宋体" w:eastAsia="宋体" w:hAnsi="宋体" w:cs="宋体" w:hint="eastAsia"/>
                      <w:spacing w:val="-13"/>
                      <w:kern w:val="0"/>
                      <w:sz w:val="21"/>
                      <w:szCs w:val="21"/>
                    </w:rPr>
                    <w:t>1.</w:t>
                  </w:r>
                </w:p>
              </w:tc>
              <w:tc>
                <w:tcPr>
                  <w:tcW w:w="2780" w:type="pct"/>
                  <w:vAlign w:val="center"/>
                </w:tcPr>
                <w:p>
                  <w:pPr>
                    <w:widowControl/>
                    <w:jc w:val="left"/>
                    <w:rPr>
                      <w:rFonts w:ascii="宋体" w:eastAsia="宋体" w:hAnsi="宋体" w:cs="宋体" w:hint="eastAsia"/>
                      <w:spacing w:val="-13"/>
                      <w:kern w:val="0"/>
                      <w:sz w:val="21"/>
                      <w:szCs w:val="21"/>
                    </w:rPr>
                  </w:pPr>
                  <w:r>
                    <w:rPr>
                      <w:rFonts w:ascii="宋体" w:eastAsia="宋体" w:hAnsi="宋体" w:cs="宋体" w:hint="eastAsia"/>
                      <w:sz w:val="21"/>
                      <w:szCs w:val="21"/>
                    </w:rPr>
                    <w:t>主机</w:t>
                  </w:r>
                </w:p>
              </w:tc>
              <w:tc>
                <w:tcPr>
                  <w:tcW w:w="946"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color w:val="000000"/>
                      <w:kern w:val="0"/>
                      <w:sz w:val="21"/>
                      <w:szCs w:val="21"/>
                    </w:rPr>
                    <w:t>台</w:t>
                  </w:r>
                </w:p>
              </w:tc>
              <w:tc>
                <w:tcPr>
                  <w:tcW w:w="732" w:type="pct"/>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2" w:type="pct"/>
                <w:jc w:val="center"/>
                <w:tblCellMar>
                  <w:top w:w="0" w:type="dxa"/>
                  <w:left w:w="0" w:type="dxa"/>
                  <w:bottom w:w="0" w:type="dxa"/>
                  <w:right w:w="0" w:type="dxa"/>
                </w:tblCellMar>
              </w:tblPrEx>
              <w:trPr>
                <w:trHeight w:val="473"/>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2.</w:t>
                  </w:r>
                </w:p>
              </w:tc>
              <w:tc>
                <w:tcPr>
                  <w:tcW w:w="2780"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手持式治疗头</w:t>
                  </w:r>
                </w:p>
              </w:tc>
              <w:tc>
                <w:tcPr>
                  <w:tcW w:w="946" w:type="pct"/>
                  <w:vAlign w:val="center"/>
                </w:tcPr>
                <w:p>
                  <w:pPr>
                    <w:widowControl/>
                    <w:jc w:val="center"/>
                    <w:rPr>
                      <w:rFonts w:ascii="宋体" w:eastAsia="宋体" w:hAnsi="宋体" w:cs="宋体" w:hint="eastAsia"/>
                      <w:kern w:val="0"/>
                      <w:sz w:val="21"/>
                      <w:szCs w:val="21"/>
                      <w:lang w:val="en-US" w:eastAsia="zh-CN"/>
                    </w:rPr>
                  </w:pPr>
                  <w:r>
                    <w:rPr>
                      <w:rFonts w:ascii="宋体" w:eastAsia="宋体" w:hAnsi="宋体" w:cs="宋体" w:hint="eastAsia"/>
                      <w:color w:val="000000"/>
                      <w:kern w:val="0"/>
                      <w:sz w:val="21"/>
                      <w:szCs w:val="21"/>
                      <w:lang w:val="en-US" w:eastAsia="zh-CN"/>
                    </w:rPr>
                    <w:t>个</w:t>
                  </w:r>
                </w:p>
              </w:tc>
              <w:tc>
                <w:tcPr>
                  <w:tcW w:w="732" w:type="pct"/>
                  <w:vAlign w:val="center"/>
                </w:tcPr>
                <w:p>
                  <w:pPr>
                    <w:adjustRightInd w:val="0"/>
                    <w:snapToGrid w:val="0"/>
                    <w:spacing w:line="360" w:lineRule="auto"/>
                    <w:ind w:left="583"/>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1</w:t>
                  </w:r>
                </w:p>
              </w:tc>
            </w:tr>
            <w:tr>
              <w:tblPrEx>
                <w:tblW w:w="4992"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kern w:val="0"/>
                      <w:sz w:val="21"/>
                      <w:szCs w:val="21"/>
                    </w:rPr>
                  </w:pPr>
                  <w:r>
                    <w:rPr>
                      <w:rFonts w:ascii="宋体" w:eastAsia="宋体" w:hAnsi="宋体" w:cs="宋体" w:hint="eastAsia"/>
                      <w:spacing w:val="-9"/>
                      <w:kern w:val="0"/>
                      <w:sz w:val="21"/>
                      <w:szCs w:val="21"/>
                    </w:rPr>
                    <w:t>3.</w:t>
                  </w:r>
                </w:p>
              </w:tc>
              <w:tc>
                <w:tcPr>
                  <w:tcW w:w="2780"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视化治疗系统</w:t>
                  </w:r>
                </w:p>
              </w:tc>
              <w:tc>
                <w:tcPr>
                  <w:tcW w:w="946"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套</w:t>
                  </w:r>
                </w:p>
              </w:tc>
              <w:tc>
                <w:tcPr>
                  <w:tcW w:w="732"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r>
              <w:tblPrEx>
                <w:tblW w:w="4992"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4.</w:t>
                  </w:r>
                </w:p>
              </w:tc>
              <w:tc>
                <w:tcPr>
                  <w:tcW w:w="2780"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治疗方案预设置系统</w:t>
                  </w:r>
                </w:p>
              </w:tc>
              <w:tc>
                <w:tcPr>
                  <w:tcW w:w="946" w:type="pct"/>
                  <w:vAlign w:val="center"/>
                </w:tcPr>
                <w:p>
                  <w:pPr>
                    <w:widowControl/>
                    <w:jc w:val="center"/>
                    <w:rPr>
                      <w:rFonts w:ascii="宋体" w:eastAsia="宋体" w:hAnsi="宋体" w:cs="宋体" w:hint="eastAsia"/>
                      <w:spacing w:val="6"/>
                      <w:kern w:val="0"/>
                      <w:sz w:val="21"/>
                      <w:szCs w:val="21"/>
                    </w:rPr>
                  </w:pPr>
                  <w:r>
                    <w:rPr>
                      <w:rFonts w:ascii="宋体" w:eastAsia="宋体" w:hAnsi="宋体" w:cs="宋体" w:hint="eastAsia"/>
                      <w:kern w:val="0"/>
                      <w:sz w:val="21"/>
                      <w:szCs w:val="21"/>
                      <w:lang w:val="en-US" w:eastAsia="zh-CN"/>
                    </w:rPr>
                    <w:t>套</w:t>
                  </w:r>
                </w:p>
              </w:tc>
              <w:tc>
                <w:tcPr>
                  <w:tcW w:w="732" w:type="pct"/>
                  <w:vAlign w:val="center"/>
                </w:tcPr>
                <w:p>
                  <w:pPr>
                    <w:adjustRightInd w:val="0"/>
                    <w:snapToGrid w:val="0"/>
                    <w:spacing w:line="360" w:lineRule="auto"/>
                    <w:ind w:left="583" w:leftChars="0"/>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1</w:t>
                  </w:r>
                </w:p>
              </w:tc>
            </w:tr>
            <w:tr>
              <w:tblPrEx>
                <w:tblW w:w="4992" w:type="pct"/>
                <w:jc w:val="center"/>
                <w:tblCellMar>
                  <w:top w:w="0" w:type="dxa"/>
                  <w:left w:w="0" w:type="dxa"/>
                  <w:bottom w:w="0" w:type="dxa"/>
                  <w:right w:w="0" w:type="dxa"/>
                </w:tblCellMar>
              </w:tblPrEx>
              <w:trPr>
                <w:trHeight w:val="338"/>
                <w:jc w:val="center"/>
              </w:trPr>
              <w:tc>
                <w:tcPr>
                  <w:tcW w:w="540" w:type="pct"/>
                  <w:vAlign w:val="center"/>
                </w:tcPr>
                <w:p>
                  <w:pPr>
                    <w:adjustRightInd w:val="0"/>
                    <w:snapToGrid w:val="0"/>
                    <w:spacing w:line="360" w:lineRule="auto"/>
                    <w:ind w:left="114"/>
                    <w:jc w:val="center"/>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5.</w:t>
                  </w:r>
                </w:p>
              </w:tc>
              <w:tc>
                <w:tcPr>
                  <w:tcW w:w="2780" w:type="pct"/>
                  <w:vAlign w:val="center"/>
                </w:tcPr>
                <w:p>
                  <w:pPr>
                    <w:widowControl/>
                    <w:jc w:val="left"/>
                    <w:rPr>
                      <w:rFonts w:ascii="宋体" w:eastAsia="宋体" w:hAnsi="宋体" w:cs="宋体" w:hint="eastAsia"/>
                      <w:spacing w:val="-1"/>
                      <w:sz w:val="21"/>
                      <w:szCs w:val="21"/>
                    </w:rPr>
                  </w:pPr>
                  <w:r>
                    <w:rPr>
                      <w:rFonts w:ascii="宋体" w:eastAsia="宋体" w:hAnsi="宋体" w:cs="宋体" w:hint="eastAsia"/>
                      <w:sz w:val="21"/>
                      <w:szCs w:val="21"/>
                    </w:rPr>
                    <w:t>万向轮推车</w:t>
                  </w:r>
                </w:p>
              </w:tc>
              <w:tc>
                <w:tcPr>
                  <w:tcW w:w="946" w:type="pct"/>
                  <w:vAlign w:val="center"/>
                </w:tcPr>
                <w:p>
                  <w:pPr>
                    <w:widowControl/>
                    <w:jc w:val="center"/>
                    <w:rPr>
                      <w:rFonts w:ascii="宋体" w:eastAsia="宋体" w:hAnsi="宋体" w:cs="宋体" w:hint="eastAsia"/>
                      <w:spacing w:val="6"/>
                      <w:kern w:val="0"/>
                      <w:sz w:val="21"/>
                      <w:szCs w:val="21"/>
                      <w:lang w:val="en-US" w:eastAsia="zh-CN"/>
                    </w:rPr>
                  </w:pPr>
                  <w:r>
                    <w:rPr>
                      <w:rFonts w:ascii="宋体" w:eastAsia="宋体" w:hAnsi="宋体" w:cs="宋体" w:hint="eastAsia"/>
                      <w:spacing w:val="6"/>
                      <w:kern w:val="0"/>
                      <w:sz w:val="21"/>
                      <w:szCs w:val="21"/>
                      <w:lang w:val="en-US" w:eastAsia="zh-CN"/>
                    </w:rPr>
                    <w:t>台</w:t>
                  </w:r>
                </w:p>
              </w:tc>
              <w:tc>
                <w:tcPr>
                  <w:tcW w:w="732" w:type="pct"/>
                  <w:vAlign w:val="center"/>
                </w:tcPr>
                <w:p>
                  <w:pPr>
                    <w:adjustRightInd w:val="0"/>
                    <w:snapToGrid w:val="0"/>
                    <w:spacing w:line="360" w:lineRule="auto"/>
                    <w:ind w:left="583" w:leftChars="0"/>
                    <w:rPr>
                      <w:rFonts w:ascii="宋体" w:eastAsia="宋体" w:hAnsi="宋体" w:cs="宋体" w:hint="eastAsia"/>
                      <w:spacing w:val="6"/>
                      <w:kern w:val="0"/>
                      <w:sz w:val="21"/>
                      <w:szCs w:val="21"/>
                      <w:lang w:eastAsia="zh-CN"/>
                    </w:rPr>
                  </w:pPr>
                  <w:r>
                    <w:rPr>
                      <w:rFonts w:ascii="宋体" w:eastAsia="宋体" w:hAnsi="宋体" w:cs="宋体" w:hint="eastAsia"/>
                      <w:kern w:val="0"/>
                      <w:sz w:val="21"/>
                      <w:szCs w:val="21"/>
                      <w:lang w:val="en-US" w:eastAsia="zh-CN"/>
                    </w:rPr>
                    <w:t>1</w:t>
                  </w:r>
                </w:p>
              </w:tc>
            </w:tr>
          </w:tbl>
          <w:p>
            <w:pPr>
              <w:pStyle w:val="NoSpacing"/>
              <w:rPr>
                <w:rFonts w:ascii="宋体" w:eastAsia="宋体" w:hAnsi="宋体" w:cs="宋体" w:hint="eastAsia"/>
                <w:sz w:val="21"/>
                <w:szCs w:val="21"/>
                <w:lang w:val="en-US" w:eastAsia="zh-CN"/>
              </w:rPr>
            </w:pPr>
          </w:p>
        </w:tc>
      </w:tr>
      <w:tr>
        <w:tblPrEx>
          <w:tblW w:w="4997" w:type="pct"/>
          <w:jc w:val="center"/>
          <w:tblCellMar>
            <w:top w:w="0" w:type="dxa"/>
            <w:left w:w="108" w:type="dxa"/>
            <w:bottom w:w="0" w:type="dxa"/>
            <w:right w:w="108" w:type="dxa"/>
          </w:tblCellMar>
        </w:tblPrEx>
        <w:trPr>
          <w:trHeight w:val="295"/>
          <w:jc w:val="center"/>
        </w:trPr>
        <w:tc>
          <w:tcPr>
            <w:tcW w:w="250" w:type="pct"/>
            <w:vMerge w:val="restart"/>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3</w:t>
            </w:r>
          </w:p>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val="restart"/>
          </w:tcPr>
          <w:p>
            <w:pPr>
              <w:rPr>
                <w:rFonts w:ascii="宋体" w:eastAsia="宋体" w:hAnsi="宋体" w:cs="宋体" w:hint="eastAsia"/>
                <w:color w:val="000000" w:themeColor="text1"/>
                <w:sz w:val="21"/>
                <w:szCs w:val="21"/>
                <w:lang w:val="en-US" w:eastAsia="zh-CN"/>
                <w14:textFill>
                  <w14:solidFill>
                    <w14:schemeClr w14:val="tx1"/>
                  </w14:solidFill>
                </w14:textFill>
              </w:rPr>
            </w:pPr>
            <w:r>
              <w:rPr>
                <w:rFonts w:ascii="宋体" w:eastAsia="宋体" w:hAnsi="宋体" w:cs="宋体" w:hint="eastAsia"/>
                <w:color w:val="000000" w:themeColor="text1"/>
                <w:sz w:val="21"/>
                <w:szCs w:val="21"/>
                <w:lang w:val="en-US" w:eastAsia="zh-CN"/>
                <w14:textFill>
                  <w14:solidFill>
                    <w14:schemeClr w14:val="tx1"/>
                  </w14:solidFill>
                </w14:textFill>
              </w:rPr>
              <w:t>生物刺激反馈仪</w:t>
            </w:r>
          </w:p>
        </w:tc>
        <w:tc>
          <w:tcPr>
            <w:tcW w:w="4459" w:type="pct"/>
            <w:gridSpan w:val="4"/>
          </w:tcPr>
          <w:p>
            <w:pPr>
              <w:pStyle w:val="NoSpacing"/>
              <w:rPr>
                <w:rFonts w:ascii="宋体" w:eastAsia="宋体" w:hAnsi="宋体" w:cs="宋体" w:hint="eastAsia"/>
                <w:b/>
                <w:bCs/>
                <w:sz w:val="21"/>
                <w:szCs w:val="21"/>
              </w:rPr>
            </w:pPr>
            <w:r>
              <w:rPr>
                <w:rFonts w:ascii="宋体" w:eastAsia="宋体" w:hAnsi="宋体" w:cs="宋体" w:hint="eastAsia"/>
                <w:b/>
                <w:bCs/>
                <w:sz w:val="21"/>
                <w:szCs w:val="21"/>
              </w:rPr>
              <w:t>（一）硬件参数：</w:t>
            </w: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1.独立4通道设备。</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2.AD采样率：≥8192 Hz</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3.AD采样位数：</w:t>
            </w:r>
            <w:r>
              <w:rPr>
                <w:rFonts w:hint="eastAsia"/>
                <w:lang w:val="en-US" w:eastAsia="zh-CN"/>
              </w:rPr>
              <w:t>≥</w:t>
            </w:r>
            <w:r>
              <w:rPr>
                <w:rFonts w:ascii="宋体" w:eastAsia="宋体" w:hAnsi="宋体" w:cs="宋体" w:hint="eastAsia"/>
                <w:b w:val="0"/>
                <w:bCs w:val="0"/>
                <w:sz w:val="21"/>
                <w:szCs w:val="21"/>
              </w:rPr>
              <w:t>16</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4.刺激强度</w:t>
            </w:r>
            <w:r>
              <w:rPr>
                <w:rFonts w:ascii="宋体" w:hAnsi="宋体" w:cs="宋体" w:hint="eastAsia"/>
                <w:b w:val="0"/>
                <w:bCs w:val="0"/>
                <w:sz w:val="21"/>
                <w:szCs w:val="21"/>
                <w:lang w:val="en-US" w:eastAsia="zh-CN"/>
              </w:rPr>
              <w:t>至少包含</w:t>
            </w:r>
            <w:r>
              <w:rPr>
                <w:rFonts w:ascii="宋体" w:eastAsia="宋体" w:hAnsi="宋体" w:cs="宋体" w:hint="eastAsia"/>
                <w:b w:val="0"/>
                <w:bCs w:val="0"/>
                <w:sz w:val="21"/>
                <w:szCs w:val="21"/>
              </w:rPr>
              <w:t>：0-100mA</w:t>
            </w:r>
            <w:r>
              <w:rPr>
                <w:rFonts w:ascii="宋体" w:hAnsi="宋体" w:cs="宋体" w:hint="eastAsia"/>
                <w:b w:val="0"/>
                <w:bCs w:val="0"/>
                <w:sz w:val="21"/>
                <w:szCs w:val="21"/>
                <w:lang w:eastAsia="zh-CN"/>
              </w:rPr>
              <w:t>。</w:t>
            </w:r>
            <w:r>
              <w:rPr>
                <w:rFonts w:ascii="宋体" w:hAnsi="宋体" w:cs="宋体" w:hint="eastAsia"/>
                <w:b/>
                <w:bCs/>
                <w:color w:val="FF0000"/>
                <w:szCs w:val="21"/>
              </w:rPr>
              <w:t>(提供生产厂家盖章的技术白皮书或产品彩页或产品说明书或其他证明材料)。</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5.刺激频率</w:t>
            </w:r>
            <w:r>
              <w:rPr>
                <w:rFonts w:ascii="宋体" w:hAnsi="宋体" w:cs="宋体" w:hint="eastAsia"/>
                <w:b w:val="0"/>
                <w:bCs w:val="0"/>
                <w:sz w:val="21"/>
                <w:szCs w:val="21"/>
                <w:lang w:val="en-US" w:eastAsia="zh-CN"/>
              </w:rPr>
              <w:t>至少包含</w:t>
            </w:r>
            <w:r>
              <w:rPr>
                <w:rFonts w:ascii="宋体" w:eastAsia="宋体" w:hAnsi="宋体" w:cs="宋体" w:hint="eastAsia"/>
                <w:b w:val="0"/>
                <w:bCs w:val="0"/>
                <w:sz w:val="21"/>
                <w:szCs w:val="21"/>
              </w:rPr>
              <w:t>：0.5-999Hz</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6.脉冲宽度</w:t>
            </w:r>
            <w:r>
              <w:rPr>
                <w:rFonts w:ascii="宋体" w:hAnsi="宋体" w:cs="宋体" w:hint="eastAsia"/>
                <w:b w:val="0"/>
                <w:bCs w:val="0"/>
                <w:sz w:val="21"/>
                <w:szCs w:val="21"/>
                <w:lang w:val="en-US" w:eastAsia="zh-CN"/>
              </w:rPr>
              <w:t>至少包含</w:t>
            </w:r>
            <w:r>
              <w:rPr>
                <w:rFonts w:ascii="宋体" w:eastAsia="宋体" w:hAnsi="宋体" w:cs="宋体" w:hint="eastAsia"/>
                <w:b w:val="0"/>
                <w:bCs w:val="0"/>
                <w:sz w:val="21"/>
                <w:szCs w:val="21"/>
              </w:rPr>
              <w:t>：10μs～1000μs</w:t>
            </w:r>
            <w:r>
              <w:rPr>
                <w:rFonts w:ascii="宋体" w:hAnsi="宋体" w:cs="宋体" w:hint="eastAsia"/>
                <w:b w:val="0"/>
                <w:bCs w:val="0"/>
                <w:sz w:val="21"/>
                <w:szCs w:val="21"/>
                <w:lang w:eastAsia="zh-CN"/>
              </w:rPr>
              <w:t>。</w:t>
            </w:r>
            <w:r>
              <w:rPr>
                <w:rFonts w:ascii="宋体" w:hAnsi="宋体" w:cs="宋体" w:hint="eastAsia"/>
                <w:b/>
                <w:bCs/>
                <w:color w:val="FF0000"/>
                <w:szCs w:val="21"/>
              </w:rPr>
              <w:t>(提供生产厂家盖章的技术白皮书或产品彩页或产品说明书或其他证明材料)。</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default"/>
                <w:sz w:val="21"/>
                <w:szCs w:val="21"/>
                <w:lang w:val="en-US" w:eastAsia="zh-CN"/>
              </w:rPr>
            </w:pPr>
            <w:r>
              <w:rPr>
                <w:rFonts w:ascii="宋体" w:eastAsia="宋体" w:hAnsi="宋体" w:cs="宋体" w:hint="eastAsia"/>
                <w:b w:val="0"/>
                <w:bCs w:val="0"/>
                <w:sz w:val="21"/>
                <w:szCs w:val="21"/>
              </w:rPr>
              <w:t>7.上升下降时间：</w:t>
            </w:r>
            <w:r>
              <w:rPr>
                <w:rFonts w:ascii="宋体" w:hAnsi="宋体" w:cs="宋体" w:hint="eastAsia"/>
                <w:b w:val="0"/>
                <w:bCs w:val="0"/>
                <w:sz w:val="21"/>
                <w:szCs w:val="21"/>
                <w:lang w:eastAsia="zh-CN"/>
              </w:rPr>
              <w:t>在</w:t>
            </w:r>
            <w:r>
              <w:rPr>
                <w:rFonts w:ascii="宋体" w:eastAsia="宋体" w:hAnsi="宋体" w:cs="宋体" w:hint="eastAsia"/>
                <w:b w:val="0"/>
                <w:bCs w:val="0"/>
                <w:sz w:val="21"/>
                <w:szCs w:val="21"/>
              </w:rPr>
              <w:t>0-10s</w:t>
            </w:r>
            <w:r>
              <w:rPr>
                <w:rFonts w:ascii="宋体" w:hAnsi="宋体" w:cs="宋体" w:hint="eastAsia"/>
                <w:b w:val="0"/>
                <w:bCs w:val="0"/>
                <w:sz w:val="21"/>
                <w:szCs w:val="21"/>
                <w:lang w:val="en-US" w:eastAsia="zh-CN"/>
              </w:rPr>
              <w:t>范围内</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8.内置放大器带宽</w:t>
            </w:r>
            <w:r>
              <w:rPr>
                <w:rFonts w:ascii="宋体" w:hAnsi="宋体" w:cs="宋体" w:hint="eastAsia"/>
                <w:b w:val="0"/>
                <w:bCs w:val="0"/>
                <w:sz w:val="21"/>
                <w:szCs w:val="21"/>
                <w:lang w:val="en-US" w:eastAsia="zh-CN"/>
              </w:rPr>
              <w:t>至少包含</w:t>
            </w:r>
            <w:r>
              <w:rPr>
                <w:rFonts w:ascii="宋体" w:eastAsia="宋体" w:hAnsi="宋体" w:cs="宋体" w:hint="eastAsia"/>
                <w:b w:val="0"/>
                <w:bCs w:val="0"/>
                <w:sz w:val="21"/>
                <w:szCs w:val="21"/>
              </w:rPr>
              <w:t xml:space="preserve">：20Hz～500Hz </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9.内置放大器测量范围</w:t>
            </w:r>
            <w:r>
              <w:rPr>
                <w:rFonts w:ascii="宋体" w:hAnsi="宋体" w:cs="宋体" w:hint="eastAsia"/>
                <w:b w:val="0"/>
                <w:bCs w:val="0"/>
                <w:sz w:val="21"/>
                <w:szCs w:val="21"/>
                <w:lang w:val="en-US" w:eastAsia="zh-CN"/>
              </w:rPr>
              <w:t>至少包含</w:t>
            </w:r>
            <w:r>
              <w:rPr>
                <w:rFonts w:ascii="宋体" w:eastAsia="宋体" w:hAnsi="宋体" w:cs="宋体" w:hint="eastAsia"/>
                <w:b w:val="0"/>
                <w:bCs w:val="0"/>
                <w:sz w:val="21"/>
                <w:szCs w:val="21"/>
              </w:rPr>
              <w:t>：1-999μV（r.m.s）</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 xml:space="preserve">10.内置放大器最高分辨率：≤2μV(r.m.s) </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11.内置放大器输入噪声：＜1μV（r.m.s）</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12.刺激波形：双相平衡波</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13.彩色液晶触摸屏</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14.物理调节：外置电流调节旋钮</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4459" w:type="pct"/>
            <w:gridSpan w:val="4"/>
          </w:tcPr>
          <w:p>
            <w:pPr>
              <w:pStyle w:val="NoSpacing"/>
              <w:rPr>
                <w:rFonts w:ascii="宋体" w:eastAsia="宋体" w:hAnsi="宋体" w:cs="宋体" w:hint="eastAsia"/>
                <w:b/>
                <w:bCs/>
                <w:sz w:val="21"/>
                <w:szCs w:val="21"/>
              </w:rPr>
            </w:pPr>
            <w:r>
              <w:rPr>
                <w:rFonts w:ascii="宋体" w:eastAsia="宋体" w:hAnsi="宋体" w:cs="宋体" w:hint="eastAsia"/>
                <w:b/>
                <w:bCs/>
                <w:sz w:val="21"/>
                <w:szCs w:val="21"/>
              </w:rPr>
              <w:t>（二）软件参数：</w:t>
            </w: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1.内置嵌入式软件：具有功能康复、基础康复和评估反馈三大工作模块，且可根据患者需求编辑个性化治疗方案；</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2.内置多种治疗方案，包括：垂腕、垂足、吞咽、肩关节半脱位、促醒、镇痛等方案，可自定义治疗方案并可储存；</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3.具有神经肌肉电刺激功能（Neuromuscular Electrical Stimulation, NMES）；</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4.具有肌电触发电刺激功能（EMG Trigger Stim,ETS）；强化正反馈，根据肌电信号实时改变电刺激强度，肌电值越大，电流强度也越大；</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5.具有对侧控制性功能电刺激功能（CCFES）：CCFES以健侧肌电信号控制患侧进行对称性运动，提供双侧的皮质驱动，</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6.神经肌肉电刺激方案可实现多人，多通道，多方案，随时开始。</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7.具有时序模式和独立刺激模式可选。</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8.可编辑个性化治疗方案，自定义临床方案刺激时间、间歇时间、波升时间、波降时间、刺激频率、脉宽可调，且推荐临床常用的治疗参数；提供常规刺激、载波调制和变频电刺激三种刺激形式选择，方案通道可自定义。</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9.具备表面肌电评估功能，实时评估患者肌力情况，可出具评估报告，评估报告可存储及导出。</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600"/>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2999" w:type="pct"/>
          </w:tcPr>
          <w:p>
            <w:pPr>
              <w:pStyle w:val="NoSpacing"/>
              <w:rPr>
                <w:rFonts w:ascii="宋体" w:eastAsia="宋体" w:hAnsi="宋体" w:cs="宋体" w:hint="eastAsia"/>
                <w:sz w:val="21"/>
                <w:szCs w:val="21"/>
                <w:lang w:val="en-US" w:eastAsia="zh-CN"/>
              </w:rPr>
            </w:pPr>
            <w:r>
              <w:rPr>
                <w:rFonts w:ascii="宋体" w:eastAsia="宋体" w:hAnsi="宋体" w:cs="宋体" w:hint="eastAsia"/>
                <w:b w:val="0"/>
                <w:bCs w:val="0"/>
                <w:sz w:val="21"/>
                <w:szCs w:val="21"/>
              </w:rPr>
              <w:t>10.具备多媒体生物反馈训练功能，5大类动画反馈：可进行肌力放松、增强、耐力、协调、精准训练；</w:t>
            </w:r>
          </w:p>
        </w:tc>
        <w:tc>
          <w:tcPr>
            <w:tcW w:w="483" w:type="pct"/>
          </w:tcPr>
          <w:p>
            <w:pPr>
              <w:pStyle w:val="NoSpacing"/>
              <w:rPr>
                <w:rFonts w:ascii="宋体" w:eastAsia="宋体" w:hAnsi="宋体" w:cs="宋体" w:hint="eastAsia"/>
                <w:b w:val="0"/>
                <w:bCs w:val="0"/>
                <w:sz w:val="21"/>
                <w:szCs w:val="21"/>
              </w:rPr>
            </w:pPr>
          </w:p>
        </w:tc>
        <w:tc>
          <w:tcPr>
            <w:tcW w:w="483" w:type="pct"/>
          </w:tcPr>
          <w:p>
            <w:pPr>
              <w:pStyle w:val="NoSpacing"/>
              <w:rPr>
                <w:rFonts w:ascii="宋体" w:eastAsia="宋体" w:hAnsi="宋体" w:cs="宋体" w:hint="eastAsia"/>
                <w:b w:val="0"/>
                <w:bCs w:val="0"/>
                <w:sz w:val="21"/>
                <w:szCs w:val="21"/>
              </w:rPr>
            </w:pPr>
          </w:p>
        </w:tc>
        <w:tc>
          <w:tcPr>
            <w:tcW w:w="493" w:type="pct"/>
          </w:tcPr>
          <w:p>
            <w:pPr>
              <w:pStyle w:val="NoSpacing"/>
              <w:rPr>
                <w:rFonts w:ascii="宋体" w:eastAsia="宋体" w:hAnsi="宋体" w:cs="宋体" w:hint="eastAsia"/>
                <w:b w:val="0"/>
                <w:bCs w:val="0"/>
                <w:sz w:val="21"/>
                <w:szCs w:val="21"/>
              </w:rPr>
            </w:pPr>
          </w:p>
        </w:tc>
      </w:tr>
      <w:tr>
        <w:tblPrEx>
          <w:tblW w:w="4997" w:type="pct"/>
          <w:jc w:val="center"/>
          <w:tblCellMar>
            <w:top w:w="0" w:type="dxa"/>
            <w:left w:w="108" w:type="dxa"/>
            <w:bottom w:w="0" w:type="dxa"/>
            <w:right w:w="108" w:type="dxa"/>
          </w:tblCellMar>
        </w:tblPrEx>
        <w:trPr>
          <w:trHeight w:val="295"/>
          <w:jc w:val="center"/>
        </w:trPr>
        <w:tc>
          <w:tcPr>
            <w:tcW w:w="250" w:type="pct"/>
            <w:vMerge/>
          </w:tcPr>
          <w:p>
            <w:pPr>
              <w:jc w:val="center"/>
              <w:rPr>
                <w:rFonts w:ascii="宋体" w:eastAsia="宋体" w:hAnsi="宋体" w:cs="宋体" w:hint="eastAsia"/>
                <w:color w:val="000000" w:themeColor="text1"/>
                <w:sz w:val="21"/>
                <w:szCs w:val="21"/>
                <w:lang w:val="en-US" w:eastAsia="zh-CN"/>
                <w14:textFill>
                  <w14:solidFill>
                    <w14:schemeClr w14:val="tx1"/>
                  </w14:solidFill>
                </w14:textFill>
              </w:rPr>
            </w:pPr>
          </w:p>
        </w:tc>
        <w:tc>
          <w:tcPr>
            <w:tcW w:w="289" w:type="pct"/>
            <w:vMerge/>
          </w:tcPr>
          <w:p>
            <w:pPr>
              <w:rPr>
                <w:rFonts w:ascii="宋体" w:eastAsia="宋体" w:hAnsi="宋体" w:cs="宋体" w:hint="eastAsia"/>
                <w:color w:val="000000" w:themeColor="text1"/>
                <w:sz w:val="21"/>
                <w:szCs w:val="21"/>
                <w:lang w:val="en-US" w:eastAsia="zh-CN"/>
                <w14:textFill>
                  <w14:solidFill>
                    <w14:schemeClr w14:val="tx1"/>
                  </w14:solidFill>
                </w14:textFill>
              </w:rPr>
            </w:pPr>
          </w:p>
        </w:tc>
        <w:tc>
          <w:tcPr>
            <w:tcW w:w="4459" w:type="pct"/>
            <w:gridSpan w:val="4"/>
          </w:tcPr>
          <w:p>
            <w:pPr>
              <w:rPr>
                <w:rFonts w:ascii="宋体" w:eastAsia="宋体" w:hAnsi="宋体" w:cs="宋体" w:hint="eastAsia"/>
                <w:sz w:val="21"/>
                <w:szCs w:val="21"/>
                <w:lang w:val="en-US" w:eastAsia="zh-CN"/>
              </w:rPr>
            </w:pPr>
            <w:r>
              <w:rPr>
                <w:rFonts w:ascii="宋体" w:eastAsia="宋体" w:hAnsi="宋体" w:cs="宋体" w:hint="eastAsia"/>
                <w:bCs/>
                <w:sz w:val="21"/>
                <w:szCs w:val="21"/>
              </w:rPr>
              <w:t>★</w:t>
            </w:r>
            <w:r>
              <w:rPr>
                <w:rFonts w:ascii="宋体" w:eastAsia="宋体" w:hAnsi="宋体" w:cs="宋体" w:hint="eastAsia"/>
                <w:sz w:val="21"/>
                <w:szCs w:val="21"/>
                <w:lang w:val="en-US" w:eastAsia="zh-CN"/>
              </w:rPr>
              <w:t>配置清单：</w:t>
            </w:r>
          </w:p>
          <w:tbl>
            <w:tblPr>
              <w:tblStyle w:val="TableNormal"/>
              <w:tblW w:w="499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796"/>
              <w:gridCol w:w="4103"/>
              <w:gridCol w:w="1396"/>
              <w:gridCol w:w="1079"/>
            </w:tblGrid>
            <w:tr>
              <w:tblPrEx>
                <w:tblW w:w="499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rPr>
                <w:trHeight w:val="338"/>
                <w:jc w:val="center"/>
              </w:trPr>
              <w:tc>
                <w:tcPr>
                  <w:tcW w:w="540" w:type="pct"/>
                  <w:vAlign w:val="center"/>
                </w:tcPr>
                <w:p>
                  <w:pPr>
                    <w:rPr>
                      <w:rFonts w:hint="eastAsia"/>
                    </w:rPr>
                  </w:pPr>
                  <w:r>
                    <w:rPr>
                      <w:rFonts w:hint="eastAsia"/>
                    </w:rPr>
                    <w:t>序号</w:t>
                  </w:r>
                </w:p>
              </w:tc>
              <w:tc>
                <w:tcPr>
                  <w:tcW w:w="2781" w:type="pct"/>
                  <w:vAlign w:val="center"/>
                </w:tcPr>
                <w:p>
                  <w:pPr>
                    <w:rPr>
                      <w:rFonts w:hint="eastAsia"/>
                    </w:rPr>
                  </w:pPr>
                  <w:r>
                    <w:rPr>
                      <w:rFonts w:hint="eastAsia"/>
                    </w:rPr>
                    <w:t>名称</w:t>
                  </w:r>
                </w:p>
              </w:tc>
              <w:tc>
                <w:tcPr>
                  <w:tcW w:w="946" w:type="pct"/>
                  <w:vAlign w:val="center"/>
                </w:tcPr>
                <w:p>
                  <w:pPr>
                    <w:jc w:val="center"/>
                    <w:rPr>
                      <w:rFonts w:hint="eastAsia"/>
                    </w:rPr>
                  </w:pPr>
                  <w:r>
                    <w:rPr>
                      <w:rFonts w:hint="eastAsia"/>
                    </w:rPr>
                    <w:t>单位</w:t>
                  </w:r>
                </w:p>
              </w:tc>
              <w:tc>
                <w:tcPr>
                  <w:tcW w:w="731" w:type="pct"/>
                  <w:vAlign w:val="center"/>
                </w:tcPr>
                <w:p>
                  <w:pPr>
                    <w:jc w:val="center"/>
                    <w:rPr>
                      <w:rFonts w:hint="eastAsia"/>
                    </w:rPr>
                  </w:pPr>
                  <w:r>
                    <w:rPr>
                      <w:rFonts w:hint="eastAsia"/>
                    </w:rPr>
                    <w:t>数量</w:t>
                  </w:r>
                </w:p>
              </w:tc>
            </w:tr>
            <w:tr>
              <w:tblPrEx>
                <w:tblW w:w="4994" w:type="pct"/>
                <w:jc w:val="center"/>
                <w:tblCellMar>
                  <w:top w:w="0" w:type="dxa"/>
                  <w:left w:w="0" w:type="dxa"/>
                  <w:bottom w:w="0" w:type="dxa"/>
                  <w:right w:w="0" w:type="dxa"/>
                </w:tblCellMar>
              </w:tblPrEx>
              <w:trPr>
                <w:trHeight w:val="334"/>
                <w:jc w:val="center"/>
              </w:trPr>
              <w:tc>
                <w:tcPr>
                  <w:tcW w:w="540" w:type="pct"/>
                  <w:vAlign w:val="center"/>
                </w:tcPr>
                <w:p>
                  <w:pPr>
                    <w:jc w:val="center"/>
                    <w:rPr>
                      <w:rFonts w:hint="eastAsia"/>
                    </w:rPr>
                  </w:pPr>
                  <w:r>
                    <w:rPr>
                      <w:rFonts w:hint="eastAsia"/>
                    </w:rPr>
                    <w:t>1.</w:t>
                  </w:r>
                </w:p>
              </w:tc>
              <w:tc>
                <w:tcPr>
                  <w:tcW w:w="2781" w:type="pct"/>
                  <w:vAlign w:val="center"/>
                </w:tcPr>
                <w:p>
                  <w:pPr>
                    <w:rPr>
                      <w:rFonts w:hint="eastAsia"/>
                    </w:rPr>
                  </w:pPr>
                  <w:r>
                    <w:rPr>
                      <w:rFonts w:hint="eastAsia"/>
                    </w:rPr>
                    <w:t>生物反馈刺激仪主机</w:t>
                  </w:r>
                </w:p>
              </w:tc>
              <w:tc>
                <w:tcPr>
                  <w:tcW w:w="946" w:type="pct"/>
                  <w:vAlign w:val="center"/>
                </w:tcPr>
                <w:p>
                  <w:pPr>
                    <w:jc w:val="center"/>
                    <w:rPr>
                      <w:rFonts w:hint="eastAsia"/>
                      <w:lang w:val="en-US" w:eastAsia="zh-CN"/>
                    </w:rPr>
                  </w:pPr>
                  <w:r>
                    <w:rPr>
                      <w:rFonts w:hint="eastAsia"/>
                    </w:rPr>
                    <w:t>台</w:t>
                  </w:r>
                </w:p>
              </w:tc>
              <w:tc>
                <w:tcPr>
                  <w:tcW w:w="731" w:type="pct"/>
                  <w:vAlign w:val="center"/>
                </w:tcPr>
                <w:p>
                  <w:pPr>
                    <w:jc w:val="center"/>
                    <w:rPr>
                      <w:rFonts w:hint="eastAsia"/>
                      <w:lang w:val="en-US" w:eastAsia="zh-CN"/>
                    </w:rPr>
                  </w:pPr>
                  <w:r>
                    <w:rPr>
                      <w:rFonts w:hint="eastAsia"/>
                      <w:lang w:val="en-US" w:eastAsia="zh-CN"/>
                    </w:rPr>
                    <w:t>1</w:t>
                  </w:r>
                </w:p>
              </w:tc>
            </w:tr>
            <w:tr>
              <w:tblPrEx>
                <w:tblW w:w="4994" w:type="pct"/>
                <w:jc w:val="center"/>
                <w:tblCellMar>
                  <w:top w:w="0" w:type="dxa"/>
                  <w:left w:w="0" w:type="dxa"/>
                  <w:bottom w:w="0" w:type="dxa"/>
                  <w:right w:w="0" w:type="dxa"/>
                </w:tblCellMar>
              </w:tblPrEx>
              <w:trPr>
                <w:trHeight w:val="473"/>
                <w:jc w:val="center"/>
              </w:trPr>
              <w:tc>
                <w:tcPr>
                  <w:tcW w:w="540" w:type="pct"/>
                  <w:vAlign w:val="center"/>
                </w:tcPr>
                <w:p>
                  <w:pPr>
                    <w:jc w:val="center"/>
                    <w:rPr>
                      <w:rFonts w:hint="eastAsia"/>
                    </w:rPr>
                  </w:pPr>
                  <w:r>
                    <w:rPr>
                      <w:rFonts w:hint="eastAsia"/>
                    </w:rPr>
                    <w:t>2.</w:t>
                  </w:r>
                </w:p>
              </w:tc>
              <w:tc>
                <w:tcPr>
                  <w:tcW w:w="2781" w:type="pct"/>
                  <w:vAlign w:val="center"/>
                </w:tcPr>
                <w:p>
                  <w:pPr>
                    <w:rPr>
                      <w:rFonts w:hint="eastAsia"/>
                    </w:rPr>
                  </w:pPr>
                  <w:r>
                    <w:rPr>
                      <w:rFonts w:hint="eastAsia"/>
                    </w:rPr>
                    <w:t>电极线</w:t>
                  </w:r>
                </w:p>
              </w:tc>
              <w:tc>
                <w:tcPr>
                  <w:tcW w:w="946" w:type="pct"/>
                  <w:vAlign w:val="center"/>
                </w:tcPr>
                <w:p>
                  <w:pPr>
                    <w:jc w:val="center"/>
                    <w:rPr>
                      <w:rFonts w:hint="eastAsia"/>
                      <w:lang w:val="en-US" w:eastAsia="zh-CN"/>
                    </w:rPr>
                  </w:pPr>
                  <w:r>
                    <w:rPr>
                      <w:rFonts w:hint="eastAsia"/>
                      <w:lang w:val="en-US" w:eastAsia="zh-CN"/>
                    </w:rPr>
                    <w:t>根</w:t>
                  </w:r>
                </w:p>
              </w:tc>
              <w:tc>
                <w:tcPr>
                  <w:tcW w:w="731" w:type="pct"/>
                  <w:vAlign w:val="center"/>
                </w:tcPr>
                <w:p>
                  <w:pPr>
                    <w:jc w:val="center"/>
                    <w:rPr>
                      <w:rFonts w:hint="eastAsia"/>
                      <w:lang w:val="en-US" w:eastAsia="zh-CN"/>
                    </w:rPr>
                  </w:pPr>
                  <w:r>
                    <w:rPr>
                      <w:rFonts w:hint="eastAsia"/>
                      <w:lang w:val="en-US" w:eastAsia="zh-CN"/>
                    </w:rPr>
                    <w:t>4</w:t>
                  </w:r>
                </w:p>
              </w:tc>
            </w:tr>
            <w:tr>
              <w:tblPrEx>
                <w:tblW w:w="4994" w:type="pct"/>
                <w:jc w:val="center"/>
                <w:tblCellMar>
                  <w:top w:w="0" w:type="dxa"/>
                  <w:left w:w="0" w:type="dxa"/>
                  <w:bottom w:w="0" w:type="dxa"/>
                  <w:right w:w="0" w:type="dxa"/>
                </w:tblCellMar>
              </w:tblPrEx>
              <w:trPr>
                <w:trHeight w:val="338"/>
                <w:jc w:val="center"/>
              </w:trPr>
              <w:tc>
                <w:tcPr>
                  <w:tcW w:w="540" w:type="pct"/>
                  <w:vAlign w:val="center"/>
                </w:tcPr>
                <w:p>
                  <w:pPr>
                    <w:jc w:val="center"/>
                    <w:rPr>
                      <w:rFonts w:hint="eastAsia"/>
                    </w:rPr>
                  </w:pPr>
                  <w:r>
                    <w:rPr>
                      <w:rFonts w:hint="eastAsia"/>
                    </w:rPr>
                    <w:t>3.</w:t>
                  </w:r>
                </w:p>
              </w:tc>
              <w:tc>
                <w:tcPr>
                  <w:tcW w:w="2781" w:type="pct"/>
                  <w:vAlign w:val="center"/>
                </w:tcPr>
                <w:p>
                  <w:pPr>
                    <w:rPr>
                      <w:rFonts w:hint="eastAsia"/>
                    </w:rPr>
                  </w:pPr>
                  <w:r>
                    <w:rPr>
                      <w:rFonts w:hint="eastAsia"/>
                    </w:rPr>
                    <w:t>理疗电极片</w:t>
                  </w:r>
                </w:p>
              </w:tc>
              <w:tc>
                <w:tcPr>
                  <w:tcW w:w="946" w:type="pct"/>
                  <w:vAlign w:val="center"/>
                </w:tcPr>
                <w:p>
                  <w:pPr>
                    <w:jc w:val="center"/>
                    <w:rPr>
                      <w:rFonts w:hint="eastAsia"/>
                      <w:lang w:val="en-US" w:eastAsia="zh-CN"/>
                    </w:rPr>
                  </w:pPr>
                  <w:r>
                    <w:rPr>
                      <w:rFonts w:hint="eastAsia"/>
                      <w:lang w:val="en-US" w:eastAsia="zh-CN"/>
                    </w:rPr>
                    <w:t>片</w:t>
                  </w:r>
                </w:p>
              </w:tc>
              <w:tc>
                <w:tcPr>
                  <w:tcW w:w="731" w:type="pct"/>
                  <w:vAlign w:val="center"/>
                </w:tcPr>
                <w:p>
                  <w:pPr>
                    <w:jc w:val="center"/>
                    <w:rPr>
                      <w:rFonts w:hint="eastAsia"/>
                      <w:lang w:val="en-US" w:eastAsia="zh-CN"/>
                    </w:rPr>
                  </w:pPr>
                  <w:r>
                    <w:rPr>
                      <w:rFonts w:hint="eastAsia"/>
                      <w:lang w:val="en-US" w:eastAsia="zh-CN"/>
                    </w:rPr>
                    <w:t>40</w:t>
                  </w:r>
                </w:p>
              </w:tc>
            </w:tr>
            <w:tr>
              <w:tblPrEx>
                <w:tblW w:w="4994" w:type="pct"/>
                <w:jc w:val="center"/>
                <w:tblCellMar>
                  <w:top w:w="0" w:type="dxa"/>
                  <w:left w:w="0" w:type="dxa"/>
                  <w:bottom w:w="0" w:type="dxa"/>
                  <w:right w:w="0" w:type="dxa"/>
                </w:tblCellMar>
              </w:tblPrEx>
              <w:trPr>
                <w:trHeight w:val="338"/>
                <w:jc w:val="center"/>
              </w:trPr>
              <w:tc>
                <w:tcPr>
                  <w:tcW w:w="540" w:type="pct"/>
                  <w:vAlign w:val="center"/>
                </w:tcPr>
                <w:p>
                  <w:pPr>
                    <w:jc w:val="center"/>
                    <w:rPr>
                      <w:rFonts w:hint="eastAsia"/>
                    </w:rPr>
                  </w:pPr>
                  <w:r>
                    <w:rPr>
                      <w:rFonts w:hint="eastAsia"/>
                    </w:rPr>
                    <w:t>4.</w:t>
                  </w:r>
                </w:p>
              </w:tc>
              <w:tc>
                <w:tcPr>
                  <w:tcW w:w="2781" w:type="pct"/>
                  <w:vAlign w:val="center"/>
                </w:tcPr>
                <w:p>
                  <w:pPr>
                    <w:rPr>
                      <w:rFonts w:hint="eastAsia"/>
                    </w:rPr>
                  </w:pPr>
                  <w:r>
                    <w:rPr>
                      <w:rFonts w:hint="eastAsia"/>
                    </w:rPr>
                    <w:t>一次性使用心电电极片</w:t>
                  </w:r>
                </w:p>
              </w:tc>
              <w:tc>
                <w:tcPr>
                  <w:tcW w:w="946" w:type="pct"/>
                  <w:vAlign w:val="center"/>
                </w:tcPr>
                <w:p>
                  <w:pPr>
                    <w:jc w:val="center"/>
                    <w:rPr>
                      <w:rFonts w:hint="eastAsia"/>
                    </w:rPr>
                  </w:pPr>
                  <w:r>
                    <w:rPr>
                      <w:rFonts w:hint="eastAsia"/>
                      <w:lang w:val="en-US" w:eastAsia="zh-CN"/>
                    </w:rPr>
                    <w:t>片</w:t>
                  </w:r>
                </w:p>
              </w:tc>
              <w:tc>
                <w:tcPr>
                  <w:tcW w:w="731" w:type="pct"/>
                  <w:vAlign w:val="center"/>
                </w:tcPr>
                <w:p>
                  <w:pPr>
                    <w:jc w:val="center"/>
                    <w:rPr>
                      <w:rFonts w:hint="eastAsia"/>
                      <w:lang w:val="en-US" w:eastAsia="zh-CN"/>
                    </w:rPr>
                  </w:pPr>
                  <w:r>
                    <w:rPr>
                      <w:rFonts w:hint="eastAsia"/>
                      <w:lang w:val="en-US" w:eastAsia="zh-CN"/>
                    </w:rPr>
                    <w:t>50</w:t>
                  </w:r>
                </w:p>
              </w:tc>
            </w:tr>
            <w:tr>
              <w:tblPrEx>
                <w:tblW w:w="4994" w:type="pct"/>
                <w:jc w:val="center"/>
                <w:tblCellMar>
                  <w:top w:w="0" w:type="dxa"/>
                  <w:left w:w="0" w:type="dxa"/>
                  <w:bottom w:w="0" w:type="dxa"/>
                  <w:right w:w="0" w:type="dxa"/>
                </w:tblCellMar>
              </w:tblPrEx>
              <w:trPr>
                <w:trHeight w:val="338"/>
                <w:jc w:val="center"/>
              </w:trPr>
              <w:tc>
                <w:tcPr>
                  <w:tcW w:w="540" w:type="pct"/>
                  <w:vAlign w:val="center"/>
                </w:tcPr>
                <w:p>
                  <w:pPr>
                    <w:jc w:val="center"/>
                    <w:rPr>
                      <w:rFonts w:hint="eastAsia"/>
                      <w:lang w:val="en-US" w:eastAsia="zh-CN"/>
                    </w:rPr>
                  </w:pPr>
                  <w:r>
                    <w:rPr>
                      <w:rFonts w:hint="eastAsia"/>
                      <w:lang w:val="en-US" w:eastAsia="zh-CN"/>
                    </w:rPr>
                    <w:t>5.</w:t>
                  </w:r>
                </w:p>
              </w:tc>
              <w:tc>
                <w:tcPr>
                  <w:tcW w:w="2781" w:type="pct"/>
                  <w:vAlign w:val="center"/>
                </w:tcPr>
                <w:p>
                  <w:pPr>
                    <w:rPr>
                      <w:rFonts w:hint="eastAsia"/>
                      <w:lang w:val="en-US" w:eastAsia="zh-CN"/>
                    </w:rPr>
                  </w:pPr>
                  <w:r>
                    <w:rPr>
                      <w:rFonts w:hint="eastAsia"/>
                      <w:lang w:val="en-US" w:eastAsia="zh-CN"/>
                    </w:rPr>
                    <w:t>U盘</w:t>
                  </w:r>
                </w:p>
              </w:tc>
              <w:tc>
                <w:tcPr>
                  <w:tcW w:w="946" w:type="pct"/>
                  <w:vAlign w:val="center"/>
                </w:tcPr>
                <w:p>
                  <w:pPr>
                    <w:jc w:val="center"/>
                    <w:rPr>
                      <w:rFonts w:hint="eastAsia"/>
                      <w:lang w:val="en-US" w:eastAsia="zh-CN"/>
                    </w:rPr>
                  </w:pPr>
                  <w:r>
                    <w:rPr>
                      <w:rFonts w:hint="eastAsia"/>
                      <w:lang w:val="en-US" w:eastAsia="zh-CN"/>
                    </w:rPr>
                    <w:t>个</w:t>
                  </w:r>
                </w:p>
              </w:tc>
              <w:tc>
                <w:tcPr>
                  <w:tcW w:w="731" w:type="pct"/>
                  <w:vAlign w:val="center"/>
                </w:tcPr>
                <w:p>
                  <w:pPr>
                    <w:jc w:val="center"/>
                    <w:rPr>
                      <w:rFonts w:hint="eastAsia"/>
                      <w:lang w:val="en-US" w:eastAsia="zh-CN"/>
                    </w:rPr>
                  </w:pPr>
                  <w:r>
                    <w:rPr>
                      <w:rFonts w:hint="eastAsia"/>
                      <w:lang w:val="en-US" w:eastAsia="zh-CN"/>
                    </w:rPr>
                    <w:t>1</w:t>
                  </w:r>
                </w:p>
              </w:tc>
            </w:tr>
            <w:tr>
              <w:tblPrEx>
                <w:tblW w:w="4994" w:type="pct"/>
                <w:jc w:val="center"/>
                <w:tblCellMar>
                  <w:top w:w="0" w:type="dxa"/>
                  <w:left w:w="0" w:type="dxa"/>
                  <w:bottom w:w="0" w:type="dxa"/>
                  <w:right w:w="0" w:type="dxa"/>
                </w:tblCellMar>
              </w:tblPrEx>
              <w:trPr>
                <w:trHeight w:val="338"/>
                <w:jc w:val="center"/>
              </w:trPr>
              <w:tc>
                <w:tcPr>
                  <w:tcW w:w="540" w:type="pct"/>
                  <w:vAlign w:val="center"/>
                </w:tcPr>
                <w:p>
                  <w:pPr>
                    <w:jc w:val="center"/>
                    <w:rPr>
                      <w:rFonts w:hint="eastAsia"/>
                      <w:lang w:val="en-US" w:eastAsia="zh-CN"/>
                    </w:rPr>
                  </w:pPr>
                  <w:r>
                    <w:rPr>
                      <w:rFonts w:hint="eastAsia"/>
                      <w:lang w:val="en-US" w:eastAsia="zh-CN"/>
                    </w:rPr>
                    <w:t>6.</w:t>
                  </w:r>
                </w:p>
              </w:tc>
              <w:tc>
                <w:tcPr>
                  <w:tcW w:w="2781" w:type="pct"/>
                  <w:vAlign w:val="center"/>
                </w:tcPr>
                <w:p>
                  <w:pPr>
                    <w:rPr>
                      <w:rFonts w:hint="eastAsia"/>
                      <w:lang w:val="en-US" w:eastAsia="zh-CN"/>
                    </w:rPr>
                  </w:pPr>
                  <w:r>
                    <w:rPr>
                      <w:rFonts w:hint="eastAsia"/>
                      <w:lang w:val="en-US" w:eastAsia="zh-CN"/>
                    </w:rPr>
                    <w:t>推车</w:t>
                  </w:r>
                </w:p>
              </w:tc>
              <w:tc>
                <w:tcPr>
                  <w:tcW w:w="946" w:type="pct"/>
                  <w:vAlign w:val="center"/>
                </w:tcPr>
                <w:p>
                  <w:pPr>
                    <w:jc w:val="center"/>
                    <w:rPr>
                      <w:rFonts w:hint="eastAsia"/>
                      <w:lang w:val="en-US" w:eastAsia="zh-CN"/>
                    </w:rPr>
                  </w:pPr>
                  <w:r>
                    <w:rPr>
                      <w:rFonts w:hint="eastAsia"/>
                      <w:lang w:val="en-US" w:eastAsia="zh-CN"/>
                    </w:rPr>
                    <w:t>台</w:t>
                  </w:r>
                </w:p>
              </w:tc>
              <w:tc>
                <w:tcPr>
                  <w:tcW w:w="731" w:type="pct"/>
                  <w:vAlign w:val="center"/>
                </w:tcPr>
                <w:p>
                  <w:pPr>
                    <w:jc w:val="center"/>
                    <w:rPr>
                      <w:rFonts w:hint="eastAsia"/>
                      <w:lang w:val="en-US" w:eastAsia="zh-CN"/>
                    </w:rPr>
                  </w:pPr>
                  <w:r>
                    <w:rPr>
                      <w:rFonts w:hint="eastAsia"/>
                      <w:lang w:val="en-US" w:eastAsia="zh-CN"/>
                    </w:rPr>
                    <w:t>1</w:t>
                  </w:r>
                </w:p>
              </w:tc>
            </w:tr>
            <w:tr>
              <w:tblPrEx>
                <w:tblW w:w="4994" w:type="pct"/>
                <w:jc w:val="center"/>
                <w:tblCellMar>
                  <w:top w:w="0" w:type="dxa"/>
                  <w:left w:w="0" w:type="dxa"/>
                  <w:bottom w:w="0" w:type="dxa"/>
                  <w:right w:w="0" w:type="dxa"/>
                </w:tblCellMar>
              </w:tblPrEx>
              <w:trPr>
                <w:trHeight w:val="338"/>
                <w:jc w:val="center"/>
              </w:trPr>
              <w:tc>
                <w:tcPr>
                  <w:tcW w:w="540" w:type="pct"/>
                  <w:vAlign w:val="center"/>
                </w:tcPr>
                <w:p>
                  <w:pPr>
                    <w:jc w:val="center"/>
                    <w:rPr>
                      <w:rFonts w:hint="eastAsia"/>
                      <w:lang w:val="en-US" w:eastAsia="zh-CN"/>
                    </w:rPr>
                  </w:pPr>
                  <w:r>
                    <w:rPr>
                      <w:rFonts w:hint="eastAsia"/>
                      <w:lang w:val="en-US" w:eastAsia="zh-CN"/>
                    </w:rPr>
                    <w:t>7.</w:t>
                  </w:r>
                </w:p>
              </w:tc>
              <w:tc>
                <w:tcPr>
                  <w:tcW w:w="2781" w:type="pct"/>
                  <w:vAlign w:val="center"/>
                </w:tcPr>
                <w:p>
                  <w:pPr>
                    <w:rPr>
                      <w:rFonts w:hint="eastAsia"/>
                    </w:rPr>
                  </w:pPr>
                  <w:r>
                    <w:rPr>
                      <w:rFonts w:hint="eastAsia"/>
                    </w:rPr>
                    <w:t>多媒体生物刺激反馈仪嵌入式软件</w:t>
                  </w:r>
                </w:p>
              </w:tc>
              <w:tc>
                <w:tcPr>
                  <w:tcW w:w="946" w:type="pct"/>
                  <w:vAlign w:val="center"/>
                </w:tcPr>
                <w:p>
                  <w:pPr>
                    <w:jc w:val="center"/>
                    <w:rPr>
                      <w:rFonts w:hint="eastAsia"/>
                      <w:lang w:val="en-US" w:eastAsia="zh-CN"/>
                    </w:rPr>
                  </w:pPr>
                  <w:r>
                    <w:rPr>
                      <w:rFonts w:hint="eastAsia"/>
                      <w:lang w:val="en-US" w:eastAsia="zh-CN"/>
                    </w:rPr>
                    <w:t>套</w:t>
                  </w:r>
                </w:p>
              </w:tc>
              <w:tc>
                <w:tcPr>
                  <w:tcW w:w="731" w:type="pct"/>
                  <w:vAlign w:val="center"/>
                </w:tcPr>
                <w:p>
                  <w:pPr>
                    <w:jc w:val="center"/>
                    <w:rPr>
                      <w:rFonts w:hint="eastAsia"/>
                      <w:lang w:eastAsia="zh-CN"/>
                    </w:rPr>
                  </w:pPr>
                  <w:r>
                    <w:rPr>
                      <w:rFonts w:hint="eastAsia"/>
                      <w:lang w:val="en-US" w:eastAsia="zh-CN"/>
                    </w:rPr>
                    <w:t>1</w:t>
                  </w:r>
                </w:p>
              </w:tc>
            </w:tr>
          </w:tbl>
          <w:p>
            <w:pPr>
              <w:pStyle w:val="NoSpacing"/>
              <w:rPr>
                <w:rFonts w:ascii="宋体" w:eastAsia="宋体" w:hAnsi="宋体" w:cs="宋体" w:hint="eastAsia"/>
                <w:sz w:val="21"/>
                <w:szCs w:val="21"/>
                <w:lang w:val="en-US" w:eastAsia="zh-CN"/>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2" w:name="_Hlk72095977"/>
      <w:r>
        <w:rPr>
          <w:rFonts w:hint="eastAsia"/>
          <w:sz w:val="21"/>
          <w:szCs w:val="21"/>
        </w:rPr>
        <w:t>证明资料【如有的话，提供的证明资料应统一编号（排序），格式自定】</w:t>
      </w:r>
      <w:bookmarkEnd w:id="72"/>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3" w:name="_Hlk72094407"/>
      <w:r>
        <w:rPr>
          <w:rFonts w:hint="eastAsia"/>
          <w:b w:val="0"/>
          <w:bCs/>
          <w:sz w:val="21"/>
          <w:szCs w:val="21"/>
        </w:rPr>
        <w:t>对应“用户需求书”中的“技术要求”章节</w:t>
      </w:r>
      <w:bookmarkEnd w:id="73"/>
      <w:r>
        <w:rPr>
          <w:rFonts w:hint="eastAsia"/>
          <w:b w:val="0"/>
          <w:bCs/>
          <w:sz w:val="21"/>
          <w:szCs w:val="21"/>
        </w:rPr>
        <w:t>相关内容。</w:t>
      </w:r>
    </w:p>
    <w:p>
      <w:pPr>
        <w:pStyle w:val="NormalWeb"/>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ascii="Times New Roman" w:eastAsia="宋体" w:hAnsi="Times New Roman" w:cs="Times New Roman" w:hint="eastAsia"/>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ascii="Times New Roman" w:eastAsia="宋体" w:hAnsi="Times New Roman" w:cs="Times New Roman" w:hint="eastAsia"/>
          <w:b w:val="0"/>
          <w:bCs/>
          <w:color w:val="FF0000"/>
          <w:kern w:val="2"/>
          <w:sz w:val="21"/>
          <w:szCs w:val="21"/>
          <w:u w:val="none"/>
          <w:lang w:val="en-US" w:eastAsia="zh-CN"/>
        </w:rPr>
        <w:t>“投标技术响应”必须与</w:t>
      </w:r>
      <w:r>
        <w:rPr>
          <w:rFonts w:cs="Times New Roman" w:hint="eastAsia"/>
          <w:b w:val="0"/>
          <w:bCs/>
          <w:color w:val="FF0000"/>
          <w:kern w:val="2"/>
          <w:sz w:val="21"/>
          <w:szCs w:val="21"/>
          <w:u w:val="none"/>
          <w:lang w:val="en-US" w:eastAsia="zh-CN"/>
        </w:rPr>
        <w:t>所投产品</w:t>
      </w:r>
      <w:r>
        <w:rPr>
          <w:rFonts w:ascii="Times New Roman" w:eastAsia="宋体" w:hAnsi="Times New Roman" w:cs="Times New Roman" w:hint="eastAsia"/>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ascii="Times New Roman" w:eastAsia="宋体" w:hAnsi="Times New Roman" w:cs="Times New Roman" w:hint="eastAsia"/>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4" w:name="_Hlk72158270"/>
      <w:r>
        <w:rPr>
          <w:rFonts w:hint="eastAsia"/>
          <w:b w:val="0"/>
          <w:bCs/>
          <w:sz w:val="21"/>
          <w:szCs w:val="21"/>
        </w:rPr>
        <w:t>“偏离情况”</w:t>
      </w:r>
      <w:bookmarkEnd w:id="74"/>
      <w:r>
        <w:rPr>
          <w:rFonts w:hint="eastAsia"/>
          <w:b w:val="0"/>
          <w:bCs/>
          <w:sz w:val="21"/>
          <w:szCs w:val="21"/>
        </w:rPr>
        <w:t>一栏填写如实填写“正偏离”、“负偏离”或“无偏离”，其中：</w:t>
      </w:r>
      <w:bookmarkStart w:id="75" w:name="_Hlk72093866"/>
      <w:r>
        <w:rPr>
          <w:rFonts w:hint="eastAsia"/>
          <w:b w:val="0"/>
          <w:bCs/>
          <w:sz w:val="21"/>
          <w:szCs w:val="21"/>
        </w:rPr>
        <w:t>“正偏离”表示“投标响应优于招标技术要求”，“负偏离”表示“投标响应不满足招标技术要求”，“无偏离”表示“投标响应与招标技术要求一致”</w:t>
      </w:r>
      <w:bookmarkEnd w:id="75"/>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eastAsia="宋体" w:hint="eastAsia"/>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ascii="Times New Roman" w:eastAsia="宋体" w:hAnsi="Times New Roman" w:cs="Times New Roman" w:hint="eastAsia"/>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6" w:name="_Hlk72096106"/>
      <w:r>
        <w:rPr>
          <w:rFonts w:hint="eastAsia"/>
          <w:b w:val="0"/>
          <w:bCs/>
          <w:sz w:val="21"/>
          <w:szCs w:val="21"/>
        </w:rPr>
        <w:t>证明资料条款响应要求</w:t>
      </w:r>
      <w:bookmarkEnd w:id="76"/>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7"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8" w:name="_Hlk73558164"/>
      <w:r>
        <w:rPr>
          <w:rFonts w:hint="eastAsia"/>
          <w:b w:val="0"/>
          <w:bCs/>
          <w:sz w:val="21"/>
          <w:szCs w:val="21"/>
        </w:rPr>
        <w:t>且投标人在“偏离情况”一栏响应为“正偏离”或“无偏离”的，经评审委员会认定，将判定为负偏离。</w:t>
      </w:r>
      <w:bookmarkEnd w:id="77"/>
      <w:bookmarkEnd w:id="78"/>
    </w:p>
    <w:p>
      <w:pPr>
        <w:ind w:firstLine="420" w:firstLineChars="200"/>
        <w:rPr>
          <w:b w:val="0"/>
          <w:bCs/>
          <w:sz w:val="21"/>
          <w:szCs w:val="21"/>
        </w:rPr>
      </w:pPr>
      <w:r>
        <w:rPr>
          <w:rFonts w:hint="eastAsia"/>
          <w:b w:val="0"/>
          <w:bCs/>
          <w:sz w:val="21"/>
          <w:szCs w:val="21"/>
        </w:rPr>
        <w:t>6、</w:t>
      </w:r>
      <w:bookmarkStart w:id="79" w:name="_Hlk72096137"/>
      <w:r>
        <w:rPr>
          <w:rFonts w:hint="eastAsia"/>
          <w:b w:val="0"/>
          <w:bCs/>
          <w:sz w:val="21"/>
          <w:szCs w:val="21"/>
        </w:rPr>
        <w:t>表后“证明资料”部分内容的编制</w:t>
      </w:r>
      <w:bookmarkEnd w:id="79"/>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80" w:name="_Hlk73558180"/>
      <w:r>
        <w:rPr>
          <w:rFonts w:hint="eastAsia"/>
          <w:b w:val="0"/>
          <w:bCs/>
          <w:sz w:val="21"/>
          <w:szCs w:val="21"/>
        </w:rPr>
        <w:t>未按照招标文件要求在表后放置证明材料的供应商将承担不利后果，经评审委员会认定，相关技术要求将判定为负偏离。</w:t>
      </w:r>
      <w:bookmarkEnd w:id="80"/>
    </w:p>
    <w:p>
      <w:pPr>
        <w:ind w:firstLine="420" w:firstLineChars="200"/>
        <w:rPr>
          <w:b w:val="0"/>
          <w:bCs/>
          <w:sz w:val="21"/>
          <w:szCs w:val="21"/>
        </w:rPr>
      </w:pPr>
      <w:r>
        <w:rPr>
          <w:rFonts w:hint="eastAsia"/>
          <w:b w:val="0"/>
          <w:bCs/>
          <w:sz w:val="21"/>
          <w:szCs w:val="21"/>
        </w:rPr>
        <w:t>7、</w:t>
      </w:r>
      <w:bookmarkStart w:id="81" w:name="_Hlk72096176"/>
      <w:r>
        <w:rPr>
          <w:rFonts w:hint="eastAsia"/>
          <w:b w:val="0"/>
          <w:bCs/>
          <w:sz w:val="21"/>
          <w:szCs w:val="21"/>
        </w:rPr>
        <w:t>证明资料的形式及其它具体要求</w:t>
      </w:r>
      <w:bookmarkEnd w:id="81"/>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2"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2"/>
    </w:p>
    <w:p>
      <w:pPr>
        <w:ind w:firstLine="420" w:firstLineChars="200"/>
        <w:rPr>
          <w:b/>
          <w:sz w:val="24"/>
        </w:rPr>
      </w:pPr>
    </w:p>
    <w:p>
      <w:pPr>
        <w:rPr>
          <w:sz w:val="24"/>
        </w:rPr>
      </w:pPr>
      <w:r>
        <w:rPr>
          <w:sz w:val="24"/>
        </w:rPr>
        <w:br w:type="page"/>
      </w:r>
    </w:p>
    <w:p>
      <w:pPr>
        <w:pStyle w:val="Heading3"/>
        <w:numPr>
          <w:ilvl w:val="0"/>
          <w:numId w:val="0"/>
        </w:numPr>
        <w:jc w:val="center"/>
        <w:rPr>
          <w:rFonts w:ascii="黑体" w:eastAsia="黑体" w:hint="eastAsia"/>
          <w:b w:val="0"/>
          <w:bCs w:val="0"/>
          <w:sz w:val="24"/>
          <w:szCs w:val="20"/>
        </w:rPr>
      </w:pPr>
      <w:bookmarkStart w:id="83" w:name="_Hlk72260576"/>
      <w:r>
        <w:rPr>
          <w:rFonts w:ascii="黑体" w:eastAsia="黑体" w:hAnsi="宋体" w:cs="Times New Roman" w:hint="eastAsia"/>
          <w:b w:val="0"/>
          <w:bCs w:val="0"/>
          <w:kern w:val="2"/>
          <w:sz w:val="24"/>
          <w:szCs w:val="20"/>
          <w:lang w:val="en-US" w:eastAsia="zh-CN" w:bidi="ar-SA"/>
        </w:rPr>
        <w:t>六、项目服务方案</w:t>
      </w:r>
    </w:p>
    <w:p>
      <w:pPr>
        <w:numPr>
          <w:ilvl w:val="0"/>
          <w:numId w:val="0"/>
        </w:numPr>
        <w:jc w:val="center"/>
        <w:rPr>
          <w:rFonts w:ascii="黑体" w:eastAsia="黑体" w:hint="eastAsia"/>
          <w:b w:val="0"/>
          <w:bCs w:val="0"/>
          <w:sz w:val="24"/>
          <w:szCs w:val="20"/>
        </w:rPr>
      </w:pPr>
      <w:r>
        <w:rPr>
          <w:rFonts w:ascii="黑体" w:eastAsia="黑体" w:hint="eastAsia"/>
          <w:b w:val="0"/>
          <w:bCs w:val="0"/>
          <w:sz w:val="24"/>
          <w:szCs w:val="20"/>
          <w:lang w:val="en-US" w:eastAsia="zh-CN"/>
        </w:rPr>
        <w:t>七</w:t>
      </w:r>
      <w:r>
        <w:rPr>
          <w:rFonts w:ascii="黑体" w:eastAsia="黑体" w:hint="eastAsia"/>
          <w:b w:val="0"/>
          <w:bCs w:val="0"/>
          <w:sz w:val="24"/>
          <w:szCs w:val="20"/>
        </w:rPr>
        <w:t>、技术保障措施</w:t>
      </w:r>
    </w:p>
    <w:p>
      <w:pPr>
        <w:numPr>
          <w:ilvl w:val="0"/>
          <w:numId w:val="0"/>
        </w:numPr>
        <w:jc w:val="center"/>
        <w:rPr>
          <w:rFonts w:ascii="黑体" w:eastAsia="黑体" w:hint="eastAsia"/>
          <w:b w:val="0"/>
          <w:bCs w:val="0"/>
          <w:sz w:val="24"/>
          <w:szCs w:val="20"/>
        </w:rPr>
      </w:pPr>
    </w:p>
    <w:p>
      <w:pPr>
        <w:numPr>
          <w:ilvl w:val="0"/>
          <w:numId w:val="0"/>
        </w:numPr>
        <w:jc w:val="center"/>
        <w:rPr>
          <w:rFonts w:ascii="黑体" w:eastAsia="黑体" w:hint="eastAsia"/>
          <w:b w:val="0"/>
          <w:bCs w:val="0"/>
          <w:sz w:val="24"/>
          <w:szCs w:val="20"/>
          <w:lang w:val="en-US" w:eastAsia="zh-CN"/>
        </w:rPr>
      </w:pPr>
      <w:r>
        <w:rPr>
          <w:rFonts w:ascii="黑体" w:eastAsia="黑体" w:hint="eastAsia"/>
          <w:b w:val="0"/>
          <w:bCs w:val="0"/>
          <w:sz w:val="24"/>
          <w:szCs w:val="20"/>
          <w:lang w:val="en-US" w:eastAsia="zh-CN"/>
        </w:rPr>
        <w:t>八</w:t>
      </w:r>
      <w:r>
        <w:rPr>
          <w:rFonts w:ascii="黑体" w:eastAsia="黑体" w:hint="eastAsia"/>
          <w:b w:val="0"/>
          <w:bCs w:val="0"/>
          <w:sz w:val="24"/>
          <w:szCs w:val="20"/>
        </w:rPr>
        <w:t>、</w:t>
      </w:r>
      <w:r>
        <w:rPr>
          <w:rFonts w:ascii="黑体" w:eastAsia="黑体" w:hint="eastAsia"/>
          <w:b w:val="0"/>
          <w:bCs w:val="0"/>
          <w:sz w:val="24"/>
          <w:szCs w:val="20"/>
          <w:lang w:val="en-US" w:eastAsia="zh-CN"/>
        </w:rPr>
        <w:t>同类业绩</w:t>
      </w:r>
    </w:p>
    <w:p>
      <w:pPr>
        <w:pStyle w:val="Heading3"/>
        <w:jc w:val="center"/>
        <w:rPr>
          <w:rFonts w:ascii="黑体" w:eastAsia="黑体"/>
          <w:b w:val="0"/>
          <w:bCs w:val="0"/>
          <w:sz w:val="24"/>
          <w:szCs w:val="20"/>
        </w:rPr>
      </w:pPr>
      <w:r>
        <w:rPr>
          <w:rFonts w:ascii="黑体" w:eastAsia="黑体" w:hint="eastAsia"/>
          <w:b w:val="0"/>
          <w:bCs w:val="0"/>
          <w:sz w:val="24"/>
          <w:szCs w:val="20"/>
          <w:lang w:val="en-US" w:eastAsia="zh-CN"/>
        </w:rPr>
        <w:t>九</w:t>
      </w:r>
      <w:r>
        <w:rPr>
          <w:rFonts w:ascii="黑体" w:eastAsia="黑体" w:hint="eastAsia"/>
          <w:b w:val="0"/>
          <w:bCs w:val="0"/>
          <w:sz w:val="24"/>
          <w:szCs w:val="20"/>
        </w:rPr>
        <w:t>、</w:t>
      </w:r>
      <w:bookmarkStart w:id="84" w:name="_Hlk72062872"/>
      <w:r>
        <w:rPr>
          <w:rFonts w:ascii="黑体" w:eastAsia="黑体" w:hint="eastAsia"/>
          <w:b w:val="0"/>
          <w:bCs w:val="0"/>
          <w:sz w:val="24"/>
          <w:szCs w:val="20"/>
        </w:rPr>
        <w:t>投标人认为需要加以说明的其他内容</w:t>
      </w:r>
      <w:bookmarkEnd w:id="84"/>
    </w:p>
    <w:p>
      <w:pPr>
        <w:widowControl/>
        <w:jc w:val="center"/>
        <w:rPr>
          <w:rFonts w:ascii="黑体" w:eastAsia="黑体" w:hAnsi="宋体"/>
          <w:kern w:val="0"/>
          <w:sz w:val="24"/>
          <w:szCs w:val="20"/>
        </w:rPr>
      </w:pPr>
      <w:bookmarkEnd w:id="83"/>
      <w:r>
        <w:rPr>
          <w:rFonts w:ascii="黑体" w:eastAsia="黑体" w:hAnsi="宋体" w:hint="eastAsia"/>
          <w:kern w:val="0"/>
          <w:sz w:val="24"/>
          <w:szCs w:val="20"/>
        </w:rPr>
        <w:t>（一）</w:t>
      </w:r>
      <w:r>
        <w:rPr>
          <w:rFonts w:ascii="黑体" w:eastAsia="黑体" w:hAnsi="宋体" w:hint="eastAsia"/>
          <w:kern w:val="0"/>
          <w:sz w:val="24"/>
          <w:szCs w:val="20"/>
          <w:highlight w:val="yellow"/>
        </w:rPr>
        <w:t>政府采购违法行为风险知悉确认书</w:t>
      </w:r>
    </w:p>
    <w:p>
      <w:pPr>
        <w:widowControl/>
        <w:jc w:val="center"/>
        <w:rPr>
          <w:rFonts w:ascii="黑体" w:eastAsia="黑体" w:hAnsi="宋体"/>
          <w:kern w:val="0"/>
          <w:sz w:val="24"/>
          <w:szCs w:val="20"/>
        </w:rPr>
      </w:pPr>
    </w:p>
    <w:p>
      <w:pPr>
        <w:spacing w:before="0" w:beforeLines="0" w:after="120" w:afterLines="50" w:line="360" w:lineRule="exact"/>
        <w:ind w:firstLine="420" w:firstLineChars="200"/>
        <w:rPr>
          <w:rFonts w:ascii="宋体" w:eastAsia="宋体" w:hAnsi="宋体" w:cs="宋体" w:hint="eastAsia"/>
          <w:b/>
          <w:bCs/>
          <w:color w:val="auto"/>
          <w:sz w:val="21"/>
          <w:szCs w:val="21"/>
          <w:lang w:val="en-US" w:eastAsia="zh-CN"/>
        </w:rPr>
      </w:pPr>
      <w:r>
        <w:rPr>
          <w:rFonts w:ascii="宋体" w:eastAsia="宋体" w:hAnsi="宋体" w:cs="宋体" w:hint="eastAsia"/>
          <w:b/>
          <w:bCs/>
          <w:color w:val="auto"/>
          <w:sz w:val="21"/>
          <w:szCs w:val="21"/>
          <w:lang w:eastAsia="zh-CN"/>
        </w:rPr>
        <w:t>我</w:t>
      </w:r>
      <w:r>
        <w:rPr>
          <w:rFonts w:ascii="宋体" w:eastAsia="宋体" w:hAnsi="宋体" w:cs="宋体" w:hint="eastAsia"/>
          <w:b/>
          <w:bCs/>
          <w:color w:val="auto"/>
          <w:sz w:val="21"/>
          <w:szCs w:val="21"/>
          <w:lang w:val="en-US" w:eastAsia="zh-CN"/>
        </w:rPr>
        <w:t>单位</w:t>
      </w:r>
      <w:r>
        <w:rPr>
          <w:rFonts w:ascii="宋体" w:eastAsia="宋体" w:hAnsi="宋体" w:cs="宋体" w:hint="eastAsia"/>
          <w:b/>
          <w:bCs/>
          <w:color w:val="auto"/>
          <w:sz w:val="21"/>
          <w:szCs w:val="21"/>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781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tblInd w:w="0" w:type="dxa"/>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tblInd w:w="0" w:type="dxa"/>
          <w:tblCellMar>
            <w:top w:w="0" w:type="dxa"/>
            <w:left w:w="108" w:type="dxa"/>
            <w:bottom w:w="0" w:type="dxa"/>
            <w:right w:w="108" w:type="dxa"/>
          </w:tblCellMar>
        </w:tblPrEx>
        <w:trPr>
          <w:trHeight w:val="90"/>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tblInd w:w="0" w:type="dxa"/>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tblInd w:w="0" w:type="dxa"/>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tblInd w:w="0" w:type="dxa"/>
          <w:tblCellMar>
            <w:top w:w="0" w:type="dxa"/>
            <w:left w:w="108" w:type="dxa"/>
            <w:bottom w:w="0" w:type="dxa"/>
            <w:right w:w="108" w:type="dxa"/>
          </w:tblCellMar>
        </w:tblPrEx>
        <w:trPr>
          <w:trHeight w:val="90"/>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tblInd w:w="0" w:type="dxa"/>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20" w:beforeLines="50" w:line="38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一、</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（一）通过转让或者租借等方式从其他单位获取资格或者资质证书投标的</w:t>
      </w:r>
      <w:r>
        <w:rPr>
          <w:rFonts w:ascii="宋体" w:eastAsia="宋体" w:hAnsi="宋体" w:cs="宋体" w:hint="eastAsia"/>
          <w:color w:val="auto"/>
          <w:szCs w:val="21"/>
          <w:highlight w:val="none"/>
        </w:rPr>
        <w:t>。</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（三）项目负责人或者主要技术人员不是本单位人员的。</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（四）投标保证金不是从投标供应商基本账户转出的。</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（五）其他隐瞒真实情况、提供虚假资料的行为。</w:t>
      </w:r>
    </w:p>
    <w:p>
      <w:pPr>
        <w:spacing w:beforeLines="0" w:line="38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二、</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（四）不同投标供应商的投标文件或部分投标文件相互混装。</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（五）不同投标供应商的投标文件内容存在非正常一致。</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（七）不同投标人的投标报价呈规律性差异。</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（九）主管部门依照法律、法规认定的其他情形。</w:t>
      </w:r>
    </w:p>
    <w:p>
      <w:pPr>
        <w:spacing w:beforeLines="0" w:line="34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三、</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已充分知悉下列情形</w:t>
      </w:r>
      <w:r>
        <w:rPr>
          <w:rFonts w:ascii="宋体" w:eastAsia="宋体" w:hAnsi="宋体" w:cs="宋体" w:hint="eastAsia"/>
          <w:b/>
          <w:color w:val="auto"/>
          <w:szCs w:val="21"/>
          <w:lang w:eastAsia="zh-CN"/>
        </w:rPr>
        <w:t>存在</w:t>
      </w:r>
      <w:r>
        <w:rPr>
          <w:rFonts w:ascii="宋体" w:eastAsia="宋体" w:hAnsi="宋体" w:cs="宋体" w:hint="eastAsia"/>
          <w:b/>
          <w:color w:val="auto"/>
          <w:szCs w:val="21"/>
        </w:rPr>
        <w:t>法律风险，在投标前已对相关风险事项进行排</w:t>
      </w:r>
      <w:r>
        <w:rPr>
          <w:rFonts w:ascii="宋体" w:eastAsia="宋体" w:hAnsi="宋体" w:cs="宋体" w:hint="eastAsia"/>
          <w:b/>
          <w:color w:val="auto"/>
          <w:szCs w:val="21"/>
          <w:highlight w:val="none"/>
        </w:rPr>
        <w:t>查。</w:t>
      </w:r>
    </w:p>
    <w:p>
      <w:pPr>
        <w:spacing w:beforeLines="0" w:line="340" w:lineRule="exact"/>
        <w:ind w:firstLine="420" w:firstLineChars="200"/>
        <w:rPr>
          <w:rFonts w:ascii="宋体" w:eastAsia="宋体" w:hAnsi="宋体" w:cs="宋体" w:hint="eastAsia"/>
          <w:b/>
          <w:color w:val="auto"/>
          <w:szCs w:val="21"/>
        </w:rPr>
      </w:pPr>
      <w:r>
        <w:rPr>
          <w:rFonts w:ascii="宋体" w:eastAsia="宋体" w:hAnsi="宋体" w:cs="宋体" w:hint="eastAsia"/>
          <w:color w:val="auto"/>
          <w:szCs w:val="21"/>
        </w:rPr>
        <w:t>（一）对于从其他主体获取的投标资料，</w:t>
      </w:r>
      <w:r>
        <w:rPr>
          <w:rFonts w:ascii="宋体" w:eastAsia="宋体" w:hAnsi="宋体" w:cs="宋体" w:hint="eastAsia"/>
          <w:color w:val="auto"/>
          <w:szCs w:val="21"/>
          <w:lang w:eastAsia="zh-CN"/>
        </w:rPr>
        <w:t>我</w:t>
      </w:r>
      <w:r>
        <w:rPr>
          <w:rFonts w:ascii="宋体" w:eastAsia="宋体" w:hAnsi="宋体" w:cs="宋体" w:hint="eastAsia"/>
          <w:color w:val="auto"/>
          <w:szCs w:val="21"/>
          <w:lang w:val="en-US" w:eastAsia="zh-CN"/>
        </w:rPr>
        <w:t>单位</w:t>
      </w:r>
      <w:r>
        <w:rPr>
          <w:rFonts w:ascii="宋体" w:eastAsia="宋体" w:hAnsi="宋体" w:cs="宋体" w:hint="eastAsia"/>
          <w:color w:val="auto"/>
          <w:szCs w:val="21"/>
        </w:rPr>
        <w:t>应审慎核查，确保</w:t>
      </w:r>
      <w:r>
        <w:rPr>
          <w:rFonts w:ascii="宋体" w:eastAsia="宋体" w:hAnsi="宋体" w:cs="宋体" w:hint="eastAsia"/>
          <w:color w:val="auto"/>
          <w:szCs w:val="21"/>
          <w:lang w:eastAsia="zh-CN"/>
        </w:rPr>
        <w:t>其</w:t>
      </w:r>
      <w:r>
        <w:rPr>
          <w:rFonts w:ascii="宋体" w:eastAsia="宋体" w:hAnsi="宋体" w:cs="宋体" w:hint="eastAsia"/>
          <w:color w:val="auto"/>
          <w:szCs w:val="21"/>
        </w:rPr>
        <w:t>真实性。</w:t>
      </w:r>
      <w:r>
        <w:rPr>
          <w:rFonts w:ascii="宋体" w:eastAsia="宋体" w:hAnsi="宋体" w:cs="宋体" w:hint="eastAsia"/>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szCs w:val="21"/>
          <w:lang w:eastAsia="zh-CN"/>
        </w:rPr>
        <w:t>处理</w:t>
      </w:r>
      <w:r>
        <w:rPr>
          <w:rFonts w:ascii="宋体" w:eastAsia="宋体" w:hAnsi="宋体" w:cs="宋体" w:hint="eastAsia"/>
          <w:color w:val="auto"/>
          <w:szCs w:val="21"/>
        </w:rPr>
        <w:t>。</w:t>
      </w:r>
    </w:p>
    <w:p>
      <w:pPr>
        <w:spacing w:beforeLines="0"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w:t>
      </w:r>
      <w:r>
        <w:rPr>
          <w:rFonts w:ascii="宋体" w:eastAsia="宋体" w:hAnsi="宋体" w:cs="宋体" w:hint="eastAsia"/>
          <w:color w:val="auto"/>
          <w:szCs w:val="21"/>
          <w:lang w:eastAsia="zh-CN"/>
        </w:rPr>
        <w:t>三</w:t>
      </w:r>
      <w:r>
        <w:rPr>
          <w:rFonts w:ascii="宋体" w:eastAsia="宋体" w:hAnsi="宋体" w:cs="宋体" w:hint="eastAsia"/>
          <w:color w:val="auto"/>
          <w:szCs w:val="21"/>
        </w:rPr>
        <w:t>）</w:t>
      </w:r>
      <w:r>
        <w:rPr>
          <w:rFonts w:ascii="宋体" w:eastAsia="宋体" w:hAnsi="宋体" w:cs="宋体" w:hint="eastAsia"/>
          <w:color w:val="auto"/>
          <w:szCs w:val="21"/>
          <w:lang w:eastAsia="zh-CN"/>
        </w:rPr>
        <w:t>我</w:t>
      </w:r>
      <w:r>
        <w:rPr>
          <w:rFonts w:ascii="宋体" w:eastAsia="宋体" w:hAnsi="宋体" w:cs="宋体" w:hint="eastAsia"/>
          <w:color w:val="auto"/>
          <w:szCs w:val="21"/>
          <w:lang w:val="en-US" w:eastAsia="zh-CN"/>
        </w:rPr>
        <w:t>单位</w:t>
      </w:r>
      <w:r>
        <w:rPr>
          <w:rFonts w:ascii="宋体" w:eastAsia="宋体" w:hAnsi="宋体" w:cs="宋体" w:hint="eastAsia"/>
          <w:color w:val="auto"/>
          <w:szCs w:val="21"/>
        </w:rPr>
        <w:t>对投标电子密钥</w:t>
      </w:r>
      <w:r>
        <w:rPr>
          <w:rFonts w:ascii="宋体" w:eastAsia="宋体" w:hAnsi="宋体" w:cs="宋体" w:hint="eastAsia"/>
          <w:color w:val="auto"/>
          <w:szCs w:val="21"/>
          <w:lang w:eastAsia="zh-CN"/>
        </w:rPr>
        <w:t>或</w:t>
      </w:r>
      <w:r>
        <w:rPr>
          <w:rFonts w:ascii="宋体" w:eastAsia="宋体" w:hAnsi="宋体" w:cs="宋体" w:hint="eastAsia"/>
          <w:color w:val="auto"/>
          <w:szCs w:val="21"/>
          <w:lang w:val="en-US" w:eastAsia="zh-CN"/>
        </w:rPr>
        <w:t>电子营业执照</w:t>
      </w:r>
      <w:r>
        <w:rPr>
          <w:rFonts w:ascii="宋体" w:eastAsia="宋体" w:hAnsi="宋体" w:cs="宋体" w:hint="eastAsia"/>
          <w:color w:val="auto"/>
          <w:szCs w:val="21"/>
        </w:rPr>
        <w:t>负有妥善保管、及时变更和续期等主体责任</w:t>
      </w:r>
      <w:r>
        <w:rPr>
          <w:rFonts w:ascii="宋体" w:eastAsia="宋体" w:hAnsi="宋体" w:cs="宋体" w:hint="eastAsia"/>
          <w:color w:val="auto"/>
          <w:szCs w:val="21"/>
          <w:lang w:eastAsia="zh-CN"/>
        </w:rPr>
        <w:t>；</w:t>
      </w:r>
      <w:r>
        <w:rPr>
          <w:rFonts w:ascii="宋体" w:eastAsia="宋体" w:hAnsi="宋体" w:cs="宋体" w:hint="eastAsia"/>
          <w:color w:val="auto"/>
          <w:szCs w:val="21"/>
        </w:rPr>
        <w:t>使用电子密钥</w:t>
      </w:r>
      <w:r>
        <w:rPr>
          <w:rFonts w:ascii="宋体" w:eastAsia="宋体" w:hAnsi="宋体" w:cs="宋体" w:hint="eastAsia"/>
          <w:color w:val="auto"/>
          <w:szCs w:val="21"/>
          <w:lang w:eastAsia="zh-CN"/>
        </w:rPr>
        <w:t>或</w:t>
      </w:r>
      <w:r>
        <w:rPr>
          <w:rFonts w:ascii="宋体" w:eastAsia="宋体" w:hAnsi="宋体" w:cs="宋体" w:hint="eastAsia"/>
          <w:color w:val="auto"/>
          <w:szCs w:val="21"/>
          <w:lang w:val="en-US" w:eastAsia="zh-CN"/>
        </w:rPr>
        <w:t>电子营业执照</w:t>
      </w:r>
      <w:r>
        <w:rPr>
          <w:rFonts w:ascii="宋体" w:eastAsia="宋体" w:hAnsi="宋体" w:cs="宋体" w:hint="eastAsia"/>
          <w:color w:val="auto"/>
          <w:szCs w:val="21"/>
        </w:rPr>
        <w:t>在深圳政府采购网站进行的活动，均具有法律效力，须承担相应的法律后果。</w:t>
      </w:r>
      <w:r>
        <w:rPr>
          <w:rFonts w:ascii="宋体" w:eastAsia="宋体" w:hAnsi="宋体" w:cs="宋体" w:hint="eastAsia"/>
          <w:color w:val="auto"/>
          <w:szCs w:val="21"/>
          <w:lang w:eastAsia="zh-CN"/>
        </w:rPr>
        <w:t>若</w:t>
      </w:r>
      <w:r>
        <w:rPr>
          <w:rFonts w:ascii="宋体" w:eastAsia="宋体" w:hAnsi="宋体" w:cs="宋体" w:hint="eastAsia"/>
          <w:b/>
          <w:bCs/>
          <w:color w:val="auto"/>
          <w:szCs w:val="21"/>
        </w:rPr>
        <w:t>擅自将投标密钥</w:t>
      </w:r>
      <w:r>
        <w:rPr>
          <w:rFonts w:ascii="宋体" w:eastAsia="宋体" w:hAnsi="宋体" w:cs="宋体" w:hint="eastAsia"/>
          <w:b/>
          <w:bCs/>
          <w:color w:val="auto"/>
          <w:szCs w:val="21"/>
          <w:lang w:eastAsia="zh-CN"/>
        </w:rPr>
        <w:t>或</w:t>
      </w:r>
      <w:r>
        <w:rPr>
          <w:rFonts w:ascii="宋体" w:eastAsia="宋体" w:hAnsi="宋体" w:cs="宋体" w:hint="eastAsia"/>
          <w:b/>
          <w:bCs/>
          <w:color w:val="auto"/>
          <w:szCs w:val="21"/>
          <w:lang w:val="en-US" w:eastAsia="zh-CN"/>
        </w:rPr>
        <w:t>电子营业执照</w:t>
      </w:r>
      <w:r>
        <w:rPr>
          <w:rFonts w:ascii="宋体" w:eastAsia="宋体" w:hAnsi="宋体" w:cs="宋体" w:hint="eastAsia"/>
          <w:b/>
          <w:bCs/>
          <w:color w:val="auto"/>
          <w:szCs w:val="21"/>
        </w:rPr>
        <w:t>出借他人使用所造成的法律后果，由</w:t>
      </w:r>
      <w:r>
        <w:rPr>
          <w:rFonts w:ascii="宋体" w:eastAsia="宋体" w:hAnsi="宋体" w:cs="宋体" w:hint="eastAsia"/>
          <w:b/>
          <w:bCs/>
          <w:color w:val="auto"/>
          <w:szCs w:val="21"/>
          <w:lang w:eastAsia="zh-CN"/>
        </w:rPr>
        <w:t>我</w:t>
      </w:r>
      <w:r>
        <w:rPr>
          <w:rFonts w:ascii="宋体" w:eastAsia="宋体" w:hAnsi="宋体" w:cs="宋体" w:hint="eastAsia"/>
          <w:b/>
          <w:bCs/>
          <w:color w:val="auto"/>
          <w:szCs w:val="21"/>
          <w:lang w:val="en-US" w:eastAsia="zh-CN"/>
        </w:rPr>
        <w:t>单位</w:t>
      </w:r>
      <w:r>
        <w:rPr>
          <w:rFonts w:ascii="宋体" w:eastAsia="宋体" w:hAnsi="宋体" w:cs="宋体" w:hint="eastAsia"/>
          <w:b/>
          <w:bCs/>
          <w:color w:val="auto"/>
          <w:szCs w:val="21"/>
        </w:rPr>
        <w:t>自行承担</w:t>
      </w:r>
      <w:r>
        <w:rPr>
          <w:rFonts w:ascii="宋体" w:eastAsia="宋体" w:hAnsi="宋体" w:cs="宋体" w:hint="eastAsia"/>
          <w:color w:val="auto"/>
          <w:szCs w:val="21"/>
        </w:rPr>
        <w:t>。</w:t>
      </w:r>
    </w:p>
    <w:p>
      <w:pPr>
        <w:spacing w:beforeLines="0" w:line="34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四、</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已充分知悉政府采购违法、违规行为的法律</w:t>
      </w:r>
      <w:r>
        <w:rPr>
          <w:rFonts w:ascii="宋体" w:eastAsia="宋体" w:hAnsi="宋体" w:cs="宋体" w:hint="eastAsia"/>
          <w:b/>
          <w:color w:val="auto"/>
          <w:szCs w:val="21"/>
          <w:highlight w:val="none"/>
        </w:rPr>
        <w:t>后果。</w:t>
      </w:r>
    </w:p>
    <w:p>
      <w:pPr>
        <w:spacing w:beforeLines="0" w:line="340" w:lineRule="exact"/>
        <w:ind w:firstLine="420" w:firstLineChars="200"/>
        <w:rPr>
          <w:rFonts w:ascii="宋体" w:eastAsia="宋体" w:hAnsi="宋体" w:cs="宋体" w:hint="eastAsia"/>
          <w:color w:val="auto"/>
          <w:szCs w:val="21"/>
          <w:highlight w:val="none"/>
        </w:rPr>
      </w:pPr>
      <w:r>
        <w:rPr>
          <w:rFonts w:ascii="宋体" w:eastAsia="宋体" w:hAnsi="宋体" w:cs="宋体" w:hint="eastAsia"/>
          <w:color w:val="auto"/>
          <w:szCs w:val="21"/>
        </w:rPr>
        <w:t>经查实，若</w:t>
      </w:r>
      <w:r>
        <w:rPr>
          <w:rFonts w:ascii="宋体" w:eastAsia="宋体" w:hAnsi="宋体" w:cs="宋体" w:hint="eastAsia"/>
          <w:color w:val="auto"/>
          <w:szCs w:val="21"/>
          <w:lang w:eastAsia="zh-CN"/>
        </w:rPr>
        <w:t>我</w:t>
      </w:r>
      <w:r>
        <w:rPr>
          <w:rFonts w:ascii="宋体" w:eastAsia="宋体" w:hAnsi="宋体" w:cs="宋体" w:hint="eastAsia"/>
          <w:color w:val="auto"/>
          <w:szCs w:val="21"/>
          <w:lang w:val="en-US" w:eastAsia="zh-CN"/>
        </w:rPr>
        <w:t>单位</w:t>
      </w:r>
      <w:r>
        <w:rPr>
          <w:rFonts w:ascii="宋体" w:eastAsia="宋体" w:hAnsi="宋体" w:cs="宋体" w:hint="eastAsia"/>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宋体" w:eastAsia="宋体" w:hAnsi="宋体" w:cs="宋体" w:hint="eastAsia"/>
          <w:color w:val="auto"/>
          <w:szCs w:val="21"/>
          <w:highlight w:val="none"/>
        </w:rPr>
        <w:t>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szCs w:val="21"/>
          <w:highlight w:val="yellow"/>
        </w:rPr>
      </w:pPr>
      <w:r>
        <w:rPr>
          <w:rFonts w:ascii="宋体" w:eastAsia="宋体" w:hAnsi="宋体" w:cs="宋体" w:hint="eastAsia"/>
          <w:color w:val="auto"/>
          <w:szCs w:val="21"/>
          <w:highlight w:val="yellow"/>
        </w:rPr>
        <w:t>以下文字请投标供应商抄写并确认：“</w:t>
      </w:r>
      <w:r>
        <w:rPr>
          <w:rFonts w:ascii="宋体" w:eastAsia="宋体" w:hAnsi="宋体" w:cs="宋体" w:hint="eastAsia"/>
          <w:color w:val="auto"/>
          <w:szCs w:val="21"/>
          <w:highlight w:val="yellow"/>
          <w:lang w:eastAsia="zh-CN"/>
        </w:rPr>
        <w:t>我</w:t>
      </w:r>
      <w:r>
        <w:rPr>
          <w:rFonts w:ascii="宋体" w:eastAsia="宋体" w:hAnsi="宋体" w:cs="宋体" w:hint="eastAsia"/>
          <w:color w:val="auto"/>
          <w:szCs w:val="21"/>
          <w:highlight w:val="yellow"/>
          <w:lang w:val="en-US" w:eastAsia="zh-CN"/>
        </w:rPr>
        <w:t>单位</w:t>
      </w:r>
      <w:r>
        <w:rPr>
          <w:rFonts w:ascii="宋体" w:eastAsia="宋体" w:hAnsi="宋体" w:cs="宋体" w:hint="eastAsia"/>
          <w:color w:val="auto"/>
          <w:szCs w:val="21"/>
          <w:highlight w:val="yellow"/>
        </w:rPr>
        <w:t>已仔细阅读《政府采购违法行为风险知悉确认书》，充分知悉违法行为的法律后果，并承诺将严谨、诚信、依法依规参与政府采购活动”。</w:t>
      </w:r>
    </w:p>
    <w:tbl>
      <w:tblPr>
        <w:tblStyle w:val="112"/>
        <w:tblW w:w="8529" w:type="dxa"/>
        <w:tblInd w:w="0" w:type="dxa"/>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tblInd w:w="0" w:type="dxa"/>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highlight w:val="none"/>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Cs w:val="21"/>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u w:val="single"/>
        </w:rPr>
      </w:pPr>
      <w:r>
        <w:rPr>
          <w:rFonts w:ascii="宋体" w:eastAsia="宋体" w:hAnsi="宋体" w:cs="宋体" w:hint="eastAsia"/>
          <w:color w:val="auto"/>
          <w:spacing w:val="-4"/>
          <w:kern w:val="0"/>
          <w:szCs w:val="21"/>
          <w:lang w:eastAsia="zh-CN"/>
        </w:rPr>
        <w:t>单位</w:t>
      </w:r>
      <w:r>
        <w:rPr>
          <w:rFonts w:ascii="宋体" w:eastAsia="宋体" w:hAnsi="宋体" w:cs="宋体" w:hint="eastAsia"/>
          <w:color w:val="auto"/>
          <w:spacing w:val="-4"/>
          <w:kern w:val="0"/>
          <w:szCs w:val="21"/>
        </w:rPr>
        <w:t>负责人签名：</w:t>
      </w:r>
      <w:r>
        <w:rPr>
          <w:rFonts w:ascii="宋体" w:eastAsia="宋体" w:hAnsi="宋体" w:cs="宋体" w:hint="eastAsia"/>
          <w:color w:val="auto"/>
          <w:spacing w:val="-4"/>
          <w:kern w:val="0"/>
          <w:szCs w:val="21"/>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u w:val="single"/>
        </w:rPr>
      </w:pPr>
      <w:r>
        <w:rPr>
          <w:rFonts w:ascii="宋体" w:eastAsia="宋体" w:hAnsi="宋体" w:cs="宋体" w:hint="eastAsia"/>
          <w:color w:val="auto"/>
          <w:spacing w:val="-4"/>
          <w:kern w:val="0"/>
          <w:szCs w:val="21"/>
          <w:lang w:val="en-US" w:eastAsia="zh-CN"/>
        </w:rPr>
        <w:t xml:space="preserve">                                 </w:t>
      </w:r>
      <w:r>
        <w:rPr>
          <w:rFonts w:ascii="宋体" w:eastAsia="宋体" w:hAnsi="宋体" w:cs="宋体" w:hint="eastAsia"/>
          <w:color w:val="auto"/>
          <w:spacing w:val="-4"/>
          <w:kern w:val="0"/>
          <w:szCs w:val="21"/>
          <w:lang w:eastAsia="zh-CN"/>
        </w:rPr>
        <w:t>（加盖</w:t>
      </w:r>
      <w:r>
        <w:rPr>
          <w:rFonts w:ascii="宋体" w:eastAsia="宋体" w:hAnsi="宋体" w:cs="宋体" w:hint="eastAsia"/>
          <w:color w:val="auto"/>
          <w:spacing w:val="-4"/>
          <w:kern w:val="0"/>
          <w:szCs w:val="21"/>
        </w:rPr>
        <w:t>公章</w:t>
      </w:r>
      <w:r>
        <w:rPr>
          <w:rFonts w:ascii="宋体" w:eastAsia="宋体" w:hAnsi="宋体" w:cs="宋体" w:hint="eastAsia"/>
          <w:color w:val="auto"/>
          <w:spacing w:val="-4"/>
          <w:kern w:val="0"/>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u w:val="single"/>
        </w:rPr>
      </w:pPr>
      <w:r>
        <w:rPr>
          <w:rFonts w:ascii="宋体" w:eastAsia="宋体" w:hAnsi="宋体" w:cs="宋体" w:hint="eastAsia"/>
          <w:color w:val="auto"/>
          <w:spacing w:val="-4"/>
          <w:kern w:val="0"/>
          <w:szCs w:val="21"/>
        </w:rPr>
        <w:t xml:space="preserve">     日期：</w:t>
      </w:r>
      <w:r>
        <w:rPr>
          <w:rFonts w:ascii="宋体" w:eastAsia="宋体" w:hAnsi="宋体" w:cs="宋体" w:hint="eastAsia"/>
          <w:color w:val="auto"/>
          <w:spacing w:val="-4"/>
          <w:kern w:val="0"/>
          <w:szCs w:val="21"/>
          <w:u w:val="single"/>
        </w:rPr>
        <w:t xml:space="preserve">              </w:t>
      </w:r>
    </w:p>
    <w:p>
      <w:pPr>
        <w:widowControl/>
        <w:autoSpaceDE w:val="0"/>
        <w:autoSpaceDN w:val="0"/>
        <w:spacing w:beforeLines="0" w:line="340" w:lineRule="exact"/>
        <w:ind w:firstLine="420" w:firstLineChars="200"/>
        <w:jc w:val="left"/>
        <w:rPr>
          <w:rFonts w:ascii="宋体" w:eastAsia="宋体" w:hAnsi="宋体" w:cs="宋体" w:hint="eastAsia"/>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cs="宋体" w:hint="eastAsia"/>
          <w:b/>
          <w:bCs/>
          <w:color w:val="auto"/>
          <w:spacing w:val="-4"/>
          <w:kern w:val="0"/>
          <w:szCs w:val="21"/>
          <w:highlight w:val="none"/>
        </w:rPr>
      </w:pPr>
      <w:r>
        <w:rPr>
          <w:rFonts w:ascii="宋体" w:eastAsia="宋体" w:hAnsi="宋体" w:cs="宋体" w:hint="eastAsia"/>
          <w:b/>
          <w:bCs/>
          <w:color w:val="auto"/>
          <w:spacing w:val="-4"/>
          <w:kern w:val="0"/>
          <w:szCs w:val="21"/>
        </w:rPr>
        <w:t>注：</w:t>
      </w:r>
      <w:r>
        <w:rPr>
          <w:rFonts w:ascii="宋体" w:eastAsia="宋体" w:hAnsi="宋体" w:cs="宋体" w:hint="eastAsia"/>
          <w:b/>
          <w:bCs/>
          <w:color w:val="auto"/>
          <w:spacing w:val="-4"/>
          <w:kern w:val="0"/>
          <w:szCs w:val="21"/>
          <w:lang w:val="en-US" w:eastAsia="zh-CN"/>
        </w:rPr>
        <w:t>1.</w:t>
      </w:r>
      <w:r>
        <w:rPr>
          <w:rFonts w:ascii="宋体" w:eastAsia="宋体" w:hAnsi="宋体" w:cs="宋体" w:hint="eastAsia"/>
          <w:b/>
          <w:bCs/>
          <w:color w:val="auto"/>
          <w:spacing w:val="-4"/>
          <w:kern w:val="0"/>
          <w:szCs w:val="21"/>
          <w:lang w:eastAsia="zh-CN"/>
        </w:rPr>
        <w:t>《</w:t>
      </w:r>
      <w:r>
        <w:rPr>
          <w:rFonts w:ascii="宋体" w:eastAsia="宋体" w:hAnsi="宋体" w:cs="宋体" w:hint="eastAsia"/>
          <w:b/>
          <w:bCs/>
          <w:color w:val="auto"/>
          <w:spacing w:val="-4"/>
          <w:kern w:val="0"/>
          <w:szCs w:val="21"/>
          <w:lang w:val="en-US" w:eastAsia="zh-CN"/>
        </w:rPr>
        <w:t>政府采购违法行为风险知悉确认书</w:t>
      </w:r>
      <w:r>
        <w:rPr>
          <w:rFonts w:ascii="宋体" w:eastAsia="宋体" w:hAnsi="宋体" w:cs="宋体" w:hint="eastAsia"/>
          <w:b/>
          <w:bCs/>
          <w:color w:val="auto"/>
          <w:spacing w:val="-4"/>
          <w:kern w:val="0"/>
          <w:szCs w:val="21"/>
          <w:lang w:eastAsia="zh-CN"/>
        </w:rPr>
        <w:t>》需由</w:t>
      </w:r>
      <w:r>
        <w:rPr>
          <w:rFonts w:ascii="宋体" w:eastAsia="宋体" w:hAnsi="宋体" w:cs="宋体" w:hint="eastAsia"/>
          <w:b/>
          <w:bCs/>
          <w:color w:val="auto"/>
          <w:spacing w:val="-4"/>
          <w:kern w:val="0"/>
          <w:szCs w:val="21"/>
        </w:rPr>
        <w:t>投标供应商负责人签字并加盖单位公章后，扫描上传至投标文件</w:t>
      </w:r>
      <w:r>
        <w:rPr>
          <w:rFonts w:ascii="宋体" w:eastAsia="宋体" w:hAnsi="宋体" w:cs="宋体" w:hint="eastAsia"/>
          <w:b/>
          <w:bCs/>
          <w:color w:val="auto"/>
          <w:spacing w:val="-4"/>
          <w:kern w:val="0"/>
          <w:szCs w:val="21"/>
          <w:highlight w:val="none"/>
        </w:rPr>
        <w:t>一并提交。</w:t>
      </w:r>
    </w:p>
    <w:p>
      <w:pPr>
        <w:pStyle w:val="NoSpacing"/>
        <w:rPr>
          <w:rFonts w:ascii="Calibri" w:eastAsia="宋体" w:hAnsi="Calibri" w:cs="Times New Roman" w:hint="default"/>
          <w:kern w:val="2"/>
          <w:sz w:val="21"/>
          <w:szCs w:val="22"/>
          <w:lang w:val="en-US" w:eastAsia="zh-CN"/>
        </w:rPr>
      </w:pPr>
      <w:r>
        <w:rPr>
          <w:rFonts w:ascii="宋体" w:hAnsi="宋体" w:cs="宋体" w:hint="eastAsia"/>
          <w:b/>
          <w:bCs/>
          <w:color w:val="auto"/>
          <w:spacing w:val="-4"/>
          <w:kern w:val="0"/>
          <w:szCs w:val="21"/>
          <w:highlight w:val="none"/>
          <w:lang w:val="en-US" w:eastAsia="zh-CN"/>
        </w:rPr>
        <w:t>2.</w:t>
      </w:r>
      <w:r>
        <w:rPr>
          <w:rFonts w:ascii="宋体" w:hAnsi="宋体" w:cs="宋体" w:hint="eastAsia"/>
          <w:b/>
          <w:bCs/>
          <w:color w:val="auto"/>
          <w:spacing w:val="-4"/>
          <w:kern w:val="0"/>
          <w:szCs w:val="21"/>
          <w:highlight w:val="none"/>
        </w:rPr>
        <w:t>根据《深圳市财政局关于在采购文件及深圳政府采购智慧平台增设供应商投标特别警示条款等事宜的通知》（深财购〔2025〕7号）</w:t>
      </w:r>
      <w:r>
        <w:rPr>
          <w:rFonts w:ascii="宋体" w:hAnsi="宋体" w:cs="宋体" w:hint="eastAsia"/>
          <w:b/>
          <w:bCs/>
          <w:color w:val="auto"/>
          <w:spacing w:val="-4"/>
          <w:kern w:val="0"/>
          <w:szCs w:val="21"/>
          <w:highlight w:val="none"/>
          <w:lang w:val="en-US" w:eastAsia="zh-CN"/>
        </w:rPr>
        <w:t>的要求</w:t>
      </w:r>
      <w:r>
        <w:rPr>
          <w:rFonts w:ascii="宋体" w:hAnsi="宋体" w:cs="宋体" w:hint="eastAsia"/>
          <w:b/>
          <w:bCs/>
          <w:color w:val="auto"/>
          <w:spacing w:val="-4"/>
          <w:kern w:val="0"/>
          <w:szCs w:val="21"/>
          <w:highlight w:val="none"/>
        </w:rPr>
        <w:t>，</w:t>
      </w:r>
      <w:r>
        <w:rPr>
          <w:rFonts w:ascii="宋体" w:eastAsia="宋体" w:hAnsi="宋体" w:cs="宋体" w:hint="eastAsia"/>
          <w:b/>
          <w:bCs/>
          <w:color w:val="auto"/>
          <w:spacing w:val="-4"/>
          <w:kern w:val="0"/>
          <w:szCs w:val="21"/>
          <w:lang w:eastAsia="zh-CN"/>
        </w:rPr>
        <w:t>《</w:t>
      </w:r>
      <w:r>
        <w:rPr>
          <w:rFonts w:ascii="宋体" w:eastAsia="宋体" w:hAnsi="宋体" w:cs="宋体" w:hint="eastAsia"/>
          <w:b/>
          <w:bCs/>
          <w:color w:val="auto"/>
          <w:spacing w:val="-4"/>
          <w:kern w:val="0"/>
          <w:szCs w:val="21"/>
          <w:lang w:val="en-US" w:eastAsia="zh-CN"/>
        </w:rPr>
        <w:t>政府采购违法行为风险知悉确认书</w:t>
      </w:r>
      <w:r>
        <w:rPr>
          <w:rFonts w:ascii="宋体" w:eastAsia="宋体" w:hAnsi="宋体" w:cs="宋体" w:hint="eastAsia"/>
          <w:b/>
          <w:bCs/>
          <w:color w:val="auto"/>
          <w:spacing w:val="-4"/>
          <w:kern w:val="0"/>
          <w:szCs w:val="21"/>
          <w:lang w:eastAsia="zh-CN"/>
        </w:rPr>
        <w:t>》</w:t>
      </w:r>
      <w:r>
        <w:rPr>
          <w:rFonts w:ascii="宋体" w:hAnsi="宋体" w:cs="宋体" w:hint="eastAsia"/>
          <w:b/>
          <w:bCs/>
          <w:color w:val="auto"/>
          <w:spacing w:val="-4"/>
          <w:kern w:val="0"/>
          <w:szCs w:val="21"/>
          <w:highlight w:val="none"/>
        </w:rPr>
        <w:t>用于对供应商违法行为的提醒，不作为供应商资格性审查及符合性审查条件。</w:t>
      </w:r>
    </w:p>
    <w:p>
      <w:pPr>
        <w:widowControl/>
        <w:autoSpaceDE w:val="0"/>
        <w:autoSpaceDN w:val="0"/>
        <w:spacing w:line="400" w:lineRule="exact"/>
        <w:jc w:val="left"/>
        <w:rPr>
          <w:rFonts w:ascii="宋体" w:hAnsi="宋体" w:eastAsiaTheme="minorEastAsia"/>
          <w:color w:val="FF0000"/>
          <w:spacing w:val="-4"/>
          <w:kern w:val="0"/>
          <w:szCs w:val="21"/>
        </w:rPr>
      </w:pPr>
    </w:p>
    <w:p>
      <w:pPr>
        <w:jc w:val="center"/>
        <w:rPr>
          <w:rFonts w:ascii="黑体" w:eastAsia="黑体" w:hint="eastAsia"/>
          <w:b w:val="0"/>
          <w:bCs w:val="0"/>
          <w:sz w:val="24"/>
          <w:szCs w:val="20"/>
          <w:lang w:val="en-US" w:eastAsia="zh-CN"/>
        </w:rPr>
      </w:pPr>
      <w:r>
        <w:rPr>
          <w:rFonts w:ascii="黑体" w:eastAsia="黑体" w:hint="eastAsia"/>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b/>
          <w:bCs/>
        </w:rPr>
      </w:pPr>
      <w:r>
        <w:rPr>
          <w:rFonts w:ascii="宋体" w:hAnsi="宋体" w:cs="宋体" w:hint="eastAsia"/>
          <w:b/>
          <w:bCs/>
          <w:lang w:val="en-US" w:eastAsia="zh-CN"/>
        </w:rPr>
        <w:t>1</w:t>
      </w:r>
      <w:r>
        <w:rPr>
          <w:rFonts w:ascii="宋体" w:hAnsi="宋体" w:cs="宋体" w:hint="eastAsia"/>
          <w:b/>
          <w:bCs/>
          <w:lang w:eastAsia="zh-CN"/>
        </w:rPr>
        <w:t>、</w:t>
      </w:r>
      <w:r>
        <w:rPr>
          <w:rFonts w:ascii="宋体" w:hAnsi="宋体" w:cs="宋体" w:hint="eastAsia"/>
          <w:b/>
          <w:bCs/>
        </w:rPr>
        <w:t>关于政府采购订单融资政策</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eastAsia="宋体" w:hAnsi="Times New Roman" w:cs="Times New Roman" w:hint="eastAsia"/>
          <w:b w:val="0"/>
          <w:bCs/>
          <w:kern w:val="2"/>
          <w:sz w:val="21"/>
          <w:szCs w:val="21"/>
          <w:lang w:val="en-US" w:eastAsia="zh-CN" w:bidi="ar-SA"/>
        </w:rPr>
      </w:pPr>
      <w:r>
        <w:rPr>
          <w:rFonts w:ascii="Times New Roman" w:eastAsia="宋体" w:hAnsi="Times New Roman" w:cs="Times New Roman" w:hint="eastAsia"/>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hint="eastAsia"/>
          <w:b/>
          <w:bCs/>
          <w:lang w:val="en-US" w:eastAsia="zh-CN"/>
        </w:rPr>
      </w:pPr>
      <w:r>
        <w:rPr>
          <w:rFonts w:ascii="宋体" w:hAnsi="宋体" w:cs="宋体" w:hint="eastAsia"/>
          <w:b/>
          <w:bCs/>
          <w:lang w:val="en-US" w:eastAsia="zh-CN"/>
        </w:rPr>
        <w:t>2</w:t>
      </w:r>
      <w:r>
        <w:rPr>
          <w:rFonts w:ascii="宋体" w:hAnsi="宋体" w:cs="宋体" w:hint="eastAsia"/>
          <w:b/>
          <w:bCs/>
          <w:lang w:eastAsia="zh-CN"/>
        </w:rPr>
        <w:t>、</w:t>
      </w:r>
      <w:r>
        <w:rPr>
          <w:rFonts w:ascii="宋体" w:hAnsi="宋体" w:cs="宋体" w:hint="eastAsia"/>
          <w:b/>
          <w:bCs/>
          <w:lang w:val="en-US" w:eastAsia="zh-CN"/>
        </w:rPr>
        <w:t>供应商账户信息</w:t>
      </w:r>
    </w:p>
    <w:p>
      <w:pPr>
        <w:ind w:left="420" w:firstLine="210" w:leftChars="20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eastAsia="宋体" w:hint="eastAsia"/>
          <w:szCs w:val="21"/>
          <w:lang w:eastAsia="zh-CN"/>
        </w:rPr>
        <w:t>；</w:t>
      </w:r>
      <w:r>
        <w:rPr>
          <w:rFonts w:hint="eastAsia"/>
          <w:szCs w:val="21"/>
        </w:rPr>
        <w:t xml:space="preserve">  </w:t>
      </w:r>
    </w:p>
    <w:p>
      <w:pPr>
        <w:ind w:left="420" w:firstLine="210" w:leftChars="20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ascii="Times New Roman" w:eastAsia="宋体" w:hint="eastAsia"/>
          <w:szCs w:val="21"/>
          <w:u w:val="thick"/>
          <w:lang w:val="en-US" w:eastAsia="zh-CN"/>
        </w:rPr>
        <w:t xml:space="preserve">  </w:t>
      </w:r>
      <w:r>
        <w:rPr>
          <w:rFonts w:eastAsia="宋体" w:hint="eastAsia"/>
          <w:szCs w:val="21"/>
          <w:u w:val="none"/>
          <w:lang w:eastAsia="zh-CN"/>
        </w:rPr>
        <w:t>；</w:t>
      </w:r>
    </w:p>
    <w:p>
      <w:pPr>
        <w:ind w:left="420" w:firstLine="210" w:leftChars="200" w:firstLineChars="100"/>
        <w:rPr>
          <w:rFonts w:hint="eastAsia"/>
          <w:szCs w:val="21"/>
          <w:u w:val="none"/>
          <w:lang w:eastAsia="zh-CN"/>
        </w:rPr>
      </w:pPr>
      <w:r>
        <w:rPr>
          <w:rFonts w:hint="eastAsia"/>
          <w:szCs w:val="21"/>
        </w:rPr>
        <w:t>法定代表人（负责人）或其</w:t>
      </w:r>
      <w:r>
        <w:rPr>
          <w:rFonts w:ascii="Times New Roman" w:eastAsia="宋体"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eastAsia="宋体" w:hint="eastAsia"/>
          <w:szCs w:val="21"/>
          <w:u w:val="none"/>
          <w:lang w:eastAsia="zh-CN"/>
        </w:rPr>
        <w:t>；</w:t>
      </w:r>
    </w:p>
    <w:p>
      <w:pPr>
        <w:ind w:left="420" w:firstLine="210" w:leftChars="20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eastAsia="宋体" w:hint="eastAsia"/>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firstLine="210" w:leftChars="200" w:firstLineChars="100"/>
        <w:rPr>
          <w:rFonts w:hint="eastAsia"/>
          <w:szCs w:val="21"/>
          <w:u w:val="none"/>
          <w:lang w:eastAsia="zh-CN"/>
        </w:rPr>
      </w:pPr>
      <w:r>
        <w:rPr>
          <w:rFonts w:ascii="Times New Roman" w:eastAsia="宋体" w:hint="eastAsia"/>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eastAsia="宋体" w:hint="eastAsia"/>
          <w:szCs w:val="21"/>
          <w:u w:val="none"/>
          <w:lang w:eastAsia="zh-CN"/>
        </w:rPr>
        <w:t>；</w:t>
      </w:r>
    </w:p>
    <w:p>
      <w:pPr>
        <w:ind w:left="420" w:firstLine="210" w:leftChars="20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firstLine="210" w:leftChars="20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hint="eastAsia"/>
          <w:szCs w:val="21"/>
          <w:u w:val="none"/>
        </w:rPr>
      </w:pPr>
      <w:r>
        <w:rPr>
          <w:rFonts w:ascii="宋体" w:hAnsi="宋体" w:eastAsiaTheme="minorEastAsia" w:hint="eastAsia"/>
          <w:b/>
          <w:bCs/>
          <w:color w:val="FF0000"/>
          <w:spacing w:val="-4"/>
          <w:kern w:val="0"/>
          <w:szCs w:val="21"/>
          <w:lang w:val="en-US" w:eastAsia="zh-CN"/>
        </w:rPr>
        <w:t>注：本项填写内容作为订单融资开展的参考信息，</w:t>
      </w:r>
      <w:r>
        <w:rPr>
          <w:rFonts w:ascii="宋体" w:hAnsi="宋体" w:eastAsiaTheme="minorEastAsia" w:hint="eastAsia"/>
          <w:b/>
          <w:bCs/>
          <w:color w:val="FF0000"/>
          <w:spacing w:val="-4"/>
          <w:kern w:val="0"/>
          <w:szCs w:val="21"/>
        </w:rPr>
        <w:t>不作为供应商资格性审查及符合性审查条件。</w:t>
      </w:r>
    </w:p>
    <w:p>
      <w:pPr>
        <w:widowControl/>
        <w:jc w:val="center"/>
        <w:rPr>
          <w:rFonts w:ascii="黑体" w:eastAsia="黑体" w:hAnsi="宋体"/>
          <w:kern w:val="0"/>
          <w:sz w:val="24"/>
          <w:szCs w:val="20"/>
        </w:rPr>
      </w:pPr>
      <w:r>
        <w:rPr>
          <w:rFonts w:ascii="黑体" w:eastAsia="黑体" w:hAnsi="宋体" w:hint="eastAsia"/>
          <w:kern w:val="0"/>
          <w:sz w:val="24"/>
          <w:szCs w:val="20"/>
        </w:rPr>
        <w:t>（</w:t>
      </w:r>
      <w:r>
        <w:rPr>
          <w:rFonts w:ascii="黑体" w:eastAsia="黑体" w:hAnsi="宋体" w:hint="eastAsia"/>
          <w:kern w:val="0"/>
          <w:sz w:val="24"/>
          <w:szCs w:val="20"/>
          <w:lang w:val="en-US" w:eastAsia="zh-CN"/>
        </w:rPr>
        <w:t>三</w:t>
      </w:r>
      <w:r>
        <w:rPr>
          <w:rFonts w:ascii="黑体" w:eastAsia="黑体" w:hAnsi="宋体" w:hint="eastAsia"/>
          <w:kern w:val="0"/>
          <w:sz w:val="24"/>
          <w:szCs w:val="20"/>
        </w:rPr>
        <w:t>）投标人认为需要加以说明的其他内容（格式自定）</w:t>
      </w:r>
    </w:p>
    <w:p>
      <w:pPr>
        <w:jc w:val="center"/>
        <w:rPr>
          <w:rFonts w:ascii="黑体" w:eastAsia="黑体" w:hAnsi="宋体"/>
          <w:bCs/>
          <w:kern w:val="0"/>
          <w:sz w:val="24"/>
        </w:rPr>
      </w:pPr>
    </w:p>
    <w:p>
      <w:pPr>
        <w:jc w:val="center"/>
        <w:rPr>
          <w:rFonts w:ascii="黑体" w:eastAsia="黑体" w:hAnsi="宋体"/>
          <w:bCs/>
          <w:kern w:val="0"/>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2"/>
      </w:pPr>
      <w:r>
        <w:rPr>
          <w:rFonts w:hint="eastAsia"/>
        </w:rPr>
        <w:t>第五章  合同条款及格式</w:t>
      </w:r>
    </w:p>
    <w:p/>
    <w:p>
      <w:pPr>
        <w:jc w:val="center"/>
        <w:outlineLvl w:val="9"/>
      </w:pPr>
      <w:bookmarkStart w:id="85" w:name="_Toc3995"/>
      <w:r>
        <w:rPr>
          <w:rFonts w:hint="eastAsia"/>
          <w:b/>
          <w:sz w:val="24"/>
        </w:rPr>
        <w:t>（仅供参考，具体以项目需求及采购结果为准）</w:t>
      </w:r>
    </w:p>
    <w:p>
      <w:pPr>
        <w:widowControl w:val="0"/>
        <w:spacing w:after="0"/>
        <w:jc w:val="center"/>
        <w:outlineLvl w:val="9"/>
        <w:rPr>
          <w:rFonts w:ascii="宋体" w:eastAsia="宋体" w:hAnsi="宋体" w:cs="宋体"/>
          <w:b/>
          <w:bCs/>
          <w:spacing w:val="-20"/>
          <w:kern w:val="44"/>
          <w:sz w:val="48"/>
          <w:szCs w:val="48"/>
          <w:lang w:val="en-US" w:eastAsia="zh-CN" w:bidi="ar-SA"/>
        </w:rPr>
      </w:pPr>
    </w:p>
    <w:p>
      <w:pPr>
        <w:widowControl w:val="0"/>
        <w:spacing w:after="0"/>
        <w:jc w:val="center"/>
        <w:outlineLvl w:val="9"/>
        <w:rPr>
          <w:rFonts w:ascii="宋体" w:eastAsia="宋体" w:hAnsi="宋体" w:cs="宋体"/>
          <w:b/>
          <w:bCs/>
          <w:spacing w:val="-20"/>
          <w:kern w:val="44"/>
          <w:sz w:val="48"/>
          <w:szCs w:val="48"/>
          <w:lang w:val="en-US" w:eastAsia="zh-CN" w:bidi="ar-SA"/>
        </w:rPr>
      </w:pPr>
    </w:p>
    <w:p>
      <w:pPr>
        <w:pStyle w:val="BodyText"/>
        <w:outlineLvl w:val="9"/>
        <w:rPr>
          <w:lang w:val="en-US" w:eastAsia="zh-CN"/>
        </w:rPr>
      </w:pPr>
    </w:p>
    <w:p>
      <w:pPr>
        <w:widowControl w:val="0"/>
        <w:spacing w:after="0"/>
        <w:jc w:val="center"/>
        <w:outlineLvl w:val="9"/>
        <w:rPr>
          <w:rFonts w:ascii="宋体" w:eastAsia="宋体" w:hAnsi="宋体" w:cs="宋体" w:hint="eastAsia"/>
          <w:b/>
          <w:bCs/>
          <w:spacing w:val="-20"/>
          <w:kern w:val="44"/>
          <w:sz w:val="48"/>
          <w:szCs w:val="48"/>
          <w:lang w:val="en-US" w:eastAsia="zh-CN" w:bidi="ar-SA"/>
        </w:rPr>
      </w:pPr>
      <w:r>
        <w:rPr>
          <w:rFonts w:ascii="宋体" w:eastAsia="宋体" w:hAnsi="宋体" w:cs="宋体" w:hint="eastAsia"/>
          <w:b/>
          <w:bCs/>
          <w:spacing w:val="-20"/>
          <w:kern w:val="44"/>
          <w:sz w:val="48"/>
          <w:szCs w:val="48"/>
          <w:lang w:val="en-US" w:eastAsia="zh-CN" w:bidi="ar-SA"/>
        </w:rPr>
        <w:t>政府采购货物买卖合同</w:t>
      </w:r>
    </w:p>
    <w:p>
      <w:pPr>
        <w:widowControl w:val="0"/>
        <w:spacing w:after="0"/>
        <w:jc w:val="center"/>
        <w:outlineLvl w:val="9"/>
        <w:rPr>
          <w:rFonts w:ascii="宋体" w:eastAsia="宋体" w:hAnsi="宋体" w:cs="宋体" w:hint="eastAsia"/>
          <w:b/>
          <w:bCs/>
          <w:spacing w:val="-20"/>
          <w:kern w:val="44"/>
          <w:sz w:val="48"/>
          <w:szCs w:val="48"/>
          <w:lang w:val="en-US" w:eastAsia="zh-CN" w:bidi="ar-SA"/>
        </w:rPr>
      </w:pPr>
      <w:r>
        <w:rPr>
          <w:rFonts w:ascii="宋体" w:eastAsia="宋体" w:hAnsi="宋体" w:cs="宋体" w:hint="eastAsia"/>
          <w:b/>
          <w:bCs/>
          <w:spacing w:val="-20"/>
          <w:kern w:val="44"/>
          <w:sz w:val="48"/>
          <w:szCs w:val="48"/>
          <w:lang w:val="en-US" w:eastAsia="zh-CN" w:bidi="ar-SA"/>
        </w:rPr>
        <w:t>（试行）</w:t>
      </w:r>
    </w:p>
    <w:p>
      <w:pPr>
        <w:outlineLvl w:val="9"/>
        <w:rPr>
          <w:rFonts w:ascii="宋体" w:eastAsia="宋体" w:hAnsi="宋体" w:cs="宋体"/>
          <w:b/>
          <w:bCs/>
          <w:spacing w:val="-20"/>
          <w:kern w:val="44"/>
          <w:sz w:val="40"/>
          <w:szCs w:val="40"/>
        </w:rPr>
      </w:pPr>
    </w:p>
    <w:p>
      <w:pPr>
        <w:outlineLvl w:val="9"/>
        <w:rPr>
          <w:rFonts w:ascii="宋体" w:eastAsia="宋体" w:hAnsi="宋体" w:cs="宋体"/>
          <w:b/>
          <w:bCs/>
          <w:spacing w:val="-20"/>
          <w:kern w:val="44"/>
          <w:sz w:val="40"/>
          <w:szCs w:val="40"/>
        </w:rPr>
      </w:pPr>
    </w:p>
    <w:p>
      <w:pPr>
        <w:outlineLvl w:val="9"/>
        <w:rPr>
          <w:rFonts w:ascii="宋体" w:eastAsia="宋体" w:hAnsi="宋体" w:cs="宋体"/>
          <w:b/>
          <w:bCs/>
          <w:spacing w:val="-20"/>
          <w:kern w:val="44"/>
          <w:sz w:val="40"/>
          <w:szCs w:val="40"/>
        </w:rPr>
      </w:pPr>
    </w:p>
    <w:p>
      <w:pPr>
        <w:spacing w:line="360" w:lineRule="auto"/>
        <w:ind w:left="420" w:leftChars="200"/>
        <w:outlineLvl w:val="9"/>
        <w:rPr>
          <w:rFonts w:eastAsia="宋体"/>
          <w:sz w:val="32"/>
          <w:szCs w:val="32"/>
        </w:rPr>
      </w:pPr>
      <w:r>
        <w:rPr>
          <w:rFonts w:ascii="宋体" w:eastAsia="宋体" w:hAnsi="宋体" w:cs="宋体" w:hint="eastAsia"/>
          <w:kern w:val="0"/>
          <w:sz w:val="32"/>
          <w:szCs w:val="32"/>
        </w:rPr>
        <w:t>项目名称：</w:t>
      </w:r>
      <w:r>
        <w:rPr>
          <w:rFonts w:eastAsia="宋体" w:hint="eastAsia"/>
          <w:sz w:val="32"/>
          <w:szCs w:val="32"/>
          <w:u w:val="single"/>
        </w:rPr>
        <w:t xml:space="preserve">                             </w:t>
      </w:r>
    </w:p>
    <w:p>
      <w:pPr>
        <w:spacing w:line="360" w:lineRule="auto"/>
        <w:ind w:left="420" w:leftChars="200"/>
        <w:outlineLvl w:val="9"/>
        <w:rPr>
          <w:rFonts w:eastAsia="宋体"/>
          <w:sz w:val="32"/>
          <w:szCs w:val="32"/>
          <w:u w:val="single"/>
        </w:rPr>
      </w:pPr>
      <w:r>
        <w:rPr>
          <w:rFonts w:eastAsia="宋体" w:hint="eastAsia"/>
          <w:sz w:val="32"/>
          <w:szCs w:val="32"/>
        </w:rPr>
        <w:t>合同编号：</w:t>
      </w:r>
      <w:r>
        <w:rPr>
          <w:rFonts w:eastAsia="宋体" w:hint="eastAsia"/>
          <w:sz w:val="32"/>
          <w:szCs w:val="32"/>
          <w:u w:val="single"/>
        </w:rPr>
        <w:t xml:space="preserve">                             </w:t>
      </w:r>
    </w:p>
    <w:p>
      <w:pPr>
        <w:spacing w:line="360" w:lineRule="auto"/>
        <w:ind w:left="420" w:leftChars="200"/>
        <w:outlineLvl w:val="9"/>
        <w:rPr>
          <w:rFonts w:eastAsia="宋体"/>
          <w:sz w:val="32"/>
          <w:szCs w:val="32"/>
        </w:rPr>
      </w:pPr>
      <w:r>
        <w:rPr>
          <w:rFonts w:eastAsia="宋体" w:hint="eastAsia"/>
          <w:sz w:val="32"/>
          <w:szCs w:val="32"/>
        </w:rPr>
        <w:t>甲    方：</w:t>
      </w:r>
      <w:r>
        <w:rPr>
          <w:rFonts w:eastAsia="宋体" w:hint="eastAsia"/>
          <w:sz w:val="32"/>
          <w:szCs w:val="32"/>
          <w:u w:val="single"/>
        </w:rPr>
        <w:t xml:space="preserve">                             </w:t>
      </w:r>
    </w:p>
    <w:p>
      <w:pPr>
        <w:spacing w:line="360" w:lineRule="auto"/>
        <w:ind w:left="420" w:leftChars="200"/>
        <w:outlineLvl w:val="9"/>
        <w:rPr>
          <w:rFonts w:eastAsia="宋体"/>
          <w:sz w:val="32"/>
          <w:szCs w:val="32"/>
          <w:u w:val="single"/>
        </w:rPr>
      </w:pPr>
      <w:r>
        <w:rPr>
          <w:rFonts w:eastAsia="宋体" w:hint="eastAsia"/>
          <w:sz w:val="32"/>
          <w:szCs w:val="32"/>
        </w:rPr>
        <w:t>乙    方：</w:t>
      </w:r>
      <w:r>
        <w:rPr>
          <w:rFonts w:eastAsia="宋体" w:hint="eastAsia"/>
          <w:sz w:val="32"/>
          <w:szCs w:val="32"/>
          <w:u w:val="single"/>
        </w:rPr>
        <w:t xml:space="preserve">                             </w:t>
      </w:r>
    </w:p>
    <w:p>
      <w:pPr>
        <w:spacing w:line="360" w:lineRule="auto"/>
        <w:ind w:left="420" w:leftChars="200"/>
        <w:outlineLvl w:val="9"/>
        <w:rPr>
          <w:rFonts w:eastAsia="宋体"/>
          <w:sz w:val="32"/>
          <w:szCs w:val="32"/>
        </w:rPr>
      </w:pPr>
      <w:r>
        <w:rPr>
          <w:rFonts w:eastAsia="宋体" w:hint="eastAsia"/>
          <w:sz w:val="32"/>
          <w:szCs w:val="32"/>
        </w:rPr>
        <w:t>签订时间：</w:t>
      </w:r>
      <w:r>
        <w:rPr>
          <w:rFonts w:eastAsia="宋体" w:hint="eastAsia"/>
          <w:sz w:val="32"/>
          <w:szCs w:val="32"/>
          <w:u w:val="single"/>
        </w:rPr>
        <w:t xml:space="preserve">      </w:t>
      </w:r>
      <w:r>
        <w:rPr>
          <w:rFonts w:eastAsia="宋体"/>
          <w:sz w:val="32"/>
          <w:szCs w:val="32"/>
          <w:u w:val="single"/>
        </w:rPr>
        <w:t xml:space="preserve">           </w:t>
      </w:r>
      <w:r>
        <w:rPr>
          <w:rFonts w:eastAsia="宋体" w:hint="eastAsia"/>
          <w:sz w:val="32"/>
          <w:szCs w:val="32"/>
          <w:u w:val="single"/>
        </w:rPr>
        <w:t xml:space="preserve">            </w:t>
      </w:r>
    </w:p>
    <w:p>
      <w:pPr>
        <w:outlineLvl w:val="9"/>
        <w:rPr>
          <w:rFonts w:eastAsia="宋体"/>
        </w:rPr>
      </w:pPr>
    </w:p>
    <w:p>
      <w:pPr>
        <w:outlineLvl w:val="9"/>
        <w:rPr>
          <w:rFonts w:eastAsia="黑体"/>
          <w:sz w:val="44"/>
          <w:szCs w:val="44"/>
        </w:rPr>
      </w:pPr>
      <w:r>
        <w:rPr>
          <w:rFonts w:eastAsia="黑体"/>
          <w:sz w:val="44"/>
          <w:szCs w:val="44"/>
        </w:rPr>
        <w:br w:type="page"/>
      </w:r>
    </w:p>
    <w:p>
      <w:pPr>
        <w:outlineLvl w:val="9"/>
        <w:rPr>
          <w:rFonts w:eastAsia="黑体"/>
          <w:sz w:val="44"/>
          <w:szCs w:val="44"/>
        </w:rPr>
      </w:pPr>
    </w:p>
    <w:p>
      <w:pPr>
        <w:outlineLvl w:val="9"/>
        <w:rPr>
          <w:rFonts w:eastAsia="黑体"/>
          <w:sz w:val="44"/>
          <w:szCs w:val="44"/>
        </w:rPr>
      </w:pPr>
    </w:p>
    <w:p>
      <w:pPr>
        <w:jc w:val="center"/>
        <w:outlineLvl w:val="9"/>
        <w:rPr>
          <w:rFonts w:eastAsia="黑体" w:hint="eastAsia"/>
          <w:sz w:val="44"/>
          <w:szCs w:val="44"/>
          <w:lang w:eastAsia="zh-CN"/>
        </w:rPr>
      </w:pPr>
      <w:r>
        <w:rPr>
          <w:rFonts w:eastAsia="黑体" w:hint="eastAsia"/>
          <w:sz w:val="44"/>
          <w:szCs w:val="44"/>
          <w:lang w:eastAsia="zh-CN"/>
        </w:rPr>
        <w:t>使</w:t>
      </w:r>
      <w:r>
        <w:rPr>
          <w:rFonts w:eastAsia="黑体" w:hint="eastAsia"/>
          <w:sz w:val="44"/>
          <w:szCs w:val="44"/>
          <w:lang w:val="en-US" w:eastAsia="zh-CN"/>
        </w:rPr>
        <w:t xml:space="preserve"> </w:t>
      </w:r>
      <w:r>
        <w:rPr>
          <w:rFonts w:eastAsia="黑体" w:hint="eastAsia"/>
          <w:sz w:val="44"/>
          <w:szCs w:val="44"/>
          <w:lang w:eastAsia="zh-CN"/>
        </w:rPr>
        <w:t>用</w:t>
      </w:r>
      <w:r>
        <w:rPr>
          <w:rFonts w:eastAsia="黑体" w:hint="eastAsia"/>
          <w:sz w:val="44"/>
          <w:szCs w:val="44"/>
          <w:lang w:val="en-US" w:eastAsia="zh-CN"/>
        </w:rPr>
        <w:t xml:space="preserve"> </w:t>
      </w:r>
      <w:r>
        <w:rPr>
          <w:rFonts w:eastAsia="黑体" w:hint="eastAsia"/>
          <w:sz w:val="44"/>
          <w:szCs w:val="44"/>
          <w:lang w:eastAsia="zh-CN"/>
        </w:rPr>
        <w:t>说</w:t>
      </w:r>
      <w:r>
        <w:rPr>
          <w:rFonts w:eastAsia="黑体" w:hint="eastAsia"/>
          <w:sz w:val="44"/>
          <w:szCs w:val="44"/>
          <w:lang w:val="en-US" w:eastAsia="zh-CN"/>
        </w:rPr>
        <w:t xml:space="preserve"> </w:t>
      </w:r>
      <w:r>
        <w:rPr>
          <w:rFonts w:eastAsia="黑体" w:hint="eastAsia"/>
          <w:sz w:val="44"/>
          <w:szCs w:val="44"/>
          <w:lang w:eastAsia="zh-CN"/>
        </w:rPr>
        <w:t>明</w:t>
      </w:r>
    </w:p>
    <w:p>
      <w:pPr>
        <w:ind w:firstLine="420" w:firstLineChars="200"/>
        <w:outlineLvl w:val="9"/>
        <w:rPr>
          <w:rFonts w:ascii="仿宋_GB2312" w:eastAsia="仿宋_GB2312" w:hAnsi="仿宋_GB2312" w:cs="仿宋_GB2312" w:hint="eastAsia"/>
          <w:sz w:val="32"/>
          <w:szCs w:val="32"/>
          <w:lang w:val="en-US" w:eastAsia="zh-CN"/>
        </w:rPr>
      </w:pPr>
    </w:p>
    <w:p>
      <w:pPr>
        <w:numPr>
          <w:ilvl w:val="0"/>
          <w:numId w:val="0"/>
        </w:numPr>
        <w:ind w:firstLine="420" w:firstLineChars="200"/>
        <w:outlineLvl w:val="9"/>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1.本合同标准文本适用于购买现成货物的采购项目，不包括需要供应商定制开发、创新研发的货物采购项目。</w:t>
      </w:r>
    </w:p>
    <w:p>
      <w:pPr>
        <w:numPr>
          <w:ilvl w:val="0"/>
          <w:numId w:val="0"/>
        </w:numPr>
        <w:ind w:firstLine="420" w:firstLineChars="200"/>
        <w:outlineLvl w:val="9"/>
        <w:rPr>
          <w:rFonts w:eastAsia="黑体" w:hint="default"/>
          <w:sz w:val="44"/>
          <w:szCs w:val="44"/>
          <w:lang w:val="en-US" w:eastAsia="zh-CN"/>
        </w:rPr>
      </w:pPr>
      <w:r>
        <w:rPr>
          <w:rFonts w:ascii="仿宋_GB2312" w:eastAsia="仿宋_GB2312" w:hAnsi="仿宋_GB2312" w:cs="仿宋_GB2312" w:hint="eastAsia"/>
          <w:sz w:val="32"/>
          <w:szCs w:val="32"/>
          <w:lang w:val="en-US" w:eastAsia="zh-CN"/>
        </w:rPr>
        <w:t>2.本合同标准文本为政府采购货物买卖合同编制提供参考，可以结合采购项目具体情况，对文本作必要的调整修订后使用。</w:t>
      </w:r>
    </w:p>
    <w:p>
      <w:pPr>
        <w:ind w:firstLine="420" w:firstLineChars="200"/>
        <w:outlineLvl w:val="9"/>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3.本合同标准文本各条款中，如涉及填写多家供应商、制造商，多种采购标的、分包主要内容等信息的，可根据采购项目具体情况添加信息项。</w:t>
      </w:r>
    </w:p>
    <w:p>
      <w:pPr>
        <w:ind w:firstLine="420" w:firstLineChars="200"/>
        <w:jc w:val="both"/>
        <w:outlineLvl w:val="9"/>
        <w:rPr>
          <w:rFonts w:eastAsia="黑体"/>
          <w:sz w:val="44"/>
          <w:szCs w:val="44"/>
        </w:rPr>
        <w:sectPr>
          <w:headerReference w:type="default" r:id="rId8"/>
          <w:footerReference w:type="default" r:id="rId9"/>
          <w:pgSz w:w="11906" w:h="16838"/>
          <w:pgMar w:top="1440" w:right="1800" w:bottom="1440" w:left="1800" w:header="851" w:footer="992" w:gutter="0"/>
          <w:pgBorders>
            <w:top w:val="nil"/>
            <w:left w:val="nil"/>
            <w:bottom w:val="nil"/>
            <w:right w:val="nil"/>
          </w:pgBorders>
          <w:cols w:num="1" w:space="425"/>
          <w:docGrid w:type="lines" w:linePitch="312" w:charSpace="0"/>
        </w:sectPr>
      </w:pPr>
    </w:p>
    <w:p>
      <w:pPr>
        <w:keepNext/>
        <w:keepLines/>
        <w:widowControl w:val="0"/>
        <w:adjustRightInd w:val="0"/>
        <w:snapToGrid w:val="0"/>
        <w:spacing w:beforeLines="0" w:line="400" w:lineRule="exact"/>
        <w:jc w:val="center"/>
        <w:outlineLvl w:val="9"/>
        <w:rPr>
          <w:rFonts w:ascii="黑体" w:eastAsia="黑体" w:hAnsi="黑体" w:cs="Times New Roman" w:hint="eastAsia"/>
          <w:b/>
          <w:bCs/>
          <w:kern w:val="2"/>
          <w:sz w:val="28"/>
          <w:szCs w:val="28"/>
          <w:lang w:val="en-US" w:eastAsia="zh-CN" w:bidi="ar-SA"/>
        </w:rPr>
      </w:pPr>
      <w:bookmarkEnd w:id="85"/>
      <w:bookmarkStart w:id="86" w:name="_Toc22209"/>
    </w:p>
    <w:p>
      <w:pPr>
        <w:keepNext/>
        <w:keepLines/>
        <w:widowControl w:val="0"/>
        <w:adjustRightInd w:val="0"/>
        <w:snapToGrid w:val="0"/>
        <w:spacing w:beforeLines="0" w:line="400" w:lineRule="exact"/>
        <w:jc w:val="center"/>
        <w:outlineLvl w:val="9"/>
        <w:rPr>
          <w:rFonts w:ascii="黑体" w:eastAsia="黑体" w:hAnsi="华文中宋" w:cs="Times New Roman" w:hint="eastAsia"/>
          <w:b w:val="0"/>
          <w:bCs w:val="0"/>
          <w:kern w:val="2"/>
          <w:sz w:val="28"/>
          <w:szCs w:val="28"/>
          <w:lang w:val="en-US" w:eastAsia="zh-CN" w:bidi="ar-SA"/>
        </w:rPr>
      </w:pPr>
      <w:r>
        <w:rPr>
          <w:rFonts w:ascii="黑体" w:eastAsia="黑体" w:hAnsi="黑体" w:cs="Times New Roman" w:hint="eastAsia"/>
          <w:b w:val="0"/>
          <w:bCs w:val="0"/>
          <w:kern w:val="2"/>
          <w:sz w:val="28"/>
          <w:szCs w:val="28"/>
          <w:lang w:val="en-US" w:eastAsia="zh-CN" w:bidi="ar-SA"/>
        </w:rPr>
        <w:t xml:space="preserve">第一节 </w:t>
      </w:r>
      <w:r>
        <w:rPr>
          <w:rFonts w:ascii="黑体" w:eastAsia="黑体" w:hAnsi="华文中宋" w:cs="Times New Roman" w:hint="eastAsia"/>
          <w:b w:val="0"/>
          <w:bCs w:val="0"/>
          <w:kern w:val="2"/>
          <w:sz w:val="28"/>
          <w:szCs w:val="28"/>
          <w:lang w:val="en-US" w:eastAsia="zh-CN" w:bidi="ar-SA"/>
        </w:rPr>
        <w:t>政府采购合同协议书</w:t>
      </w:r>
      <w:bookmarkEnd w:id="86"/>
    </w:p>
    <w:p>
      <w:pPr>
        <w:keepNext/>
        <w:keepLines/>
        <w:widowControl w:val="0"/>
        <w:adjustRightInd w:val="0"/>
        <w:snapToGrid w:val="0"/>
        <w:spacing w:beforeLines="0" w:line="400" w:lineRule="exact"/>
        <w:jc w:val="center"/>
        <w:outlineLvl w:val="9"/>
        <w:rPr>
          <w:rFonts w:ascii="黑体" w:eastAsia="黑体" w:hAnsi="华文中宋" w:cs="Times New Roman" w:hint="eastAsia"/>
          <w:b w:val="0"/>
          <w:bCs w:val="0"/>
          <w:kern w:val="2"/>
          <w:sz w:val="28"/>
          <w:szCs w:val="28"/>
          <w:lang w:val="en-US" w:eastAsia="zh-CN" w:bidi="ar-SA"/>
        </w:rPr>
      </w:pPr>
    </w:p>
    <w:p>
      <w:pPr>
        <w:adjustRightInd w:val="0"/>
        <w:snapToGrid w:val="0"/>
        <w:spacing w:before="0" w:beforeLines="0" w:line="400" w:lineRule="exact"/>
        <w:outlineLvl w:val="9"/>
        <w:rPr>
          <w:rFonts w:ascii="宋体" w:eastAsia="宋体" w:hAnsi="宋体"/>
          <w:szCs w:val="21"/>
        </w:rPr>
      </w:pPr>
      <w:r>
        <w:rPr>
          <w:rFonts w:ascii="宋体" w:eastAsia="宋体" w:hAnsi="宋体" w:hint="eastAsia"/>
          <w:szCs w:val="21"/>
        </w:rPr>
        <w:t>甲方（全称）：</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rPr>
        <w:t>（采购人</w:t>
      </w:r>
      <w:r>
        <w:rPr>
          <w:rFonts w:ascii="宋体" w:eastAsia="宋体" w:hAnsi="宋体" w:hint="eastAsia"/>
          <w:szCs w:val="21"/>
          <w:lang w:eastAsia="zh-CN"/>
        </w:rPr>
        <w:t>、受采购人委托签订合同的单位</w:t>
      </w:r>
      <w:r>
        <w:rPr>
          <w:rFonts w:ascii="宋体" w:eastAsia="宋体" w:hAnsi="宋体" w:hint="eastAsia"/>
          <w:szCs w:val="21"/>
        </w:rPr>
        <w:t>或采购</w:t>
      </w:r>
      <w:r>
        <w:rPr>
          <w:rFonts w:ascii="宋体" w:eastAsia="宋体" w:hAnsi="宋体" w:hint="eastAsia"/>
          <w:szCs w:val="21"/>
          <w:lang w:val="en-US" w:eastAsia="zh-CN"/>
        </w:rPr>
        <w:tab/>
      </w:r>
      <w:r>
        <w:rPr>
          <w:rFonts w:ascii="宋体" w:eastAsia="宋体" w:hAnsi="宋体" w:hint="eastAsia"/>
          <w:szCs w:val="21"/>
          <w:lang w:val="en-US" w:eastAsia="zh-CN"/>
        </w:rPr>
        <w:t xml:space="preserve">                                   </w:t>
      </w:r>
      <w:r>
        <w:rPr>
          <w:rFonts w:ascii="宋体" w:eastAsia="宋体" w:hAnsi="宋体" w:hint="eastAsia"/>
          <w:szCs w:val="21"/>
        </w:rPr>
        <w:t>文件约定的合同甲方）</w:t>
      </w:r>
    </w:p>
    <w:p>
      <w:pPr>
        <w:adjustRightInd w:val="0"/>
        <w:snapToGrid w:val="0"/>
        <w:spacing w:before="0" w:beforeLines="0" w:line="400" w:lineRule="exact"/>
        <w:outlineLvl w:val="9"/>
        <w:rPr>
          <w:rFonts w:ascii="宋体" w:eastAsia="宋体" w:hAnsi="宋体"/>
          <w:szCs w:val="21"/>
        </w:rPr>
      </w:pPr>
      <w:r>
        <w:rPr>
          <w:rFonts w:ascii="宋体" w:eastAsia="宋体" w:hAnsi="宋体" w:hint="eastAsia"/>
          <w:szCs w:val="21"/>
        </w:rPr>
        <w:t>乙方</w:t>
      </w:r>
      <w:r>
        <w:rPr>
          <w:rFonts w:ascii="宋体" w:eastAsia="宋体" w:hAnsi="宋体" w:hint="eastAsia"/>
          <w:szCs w:val="21"/>
          <w:lang w:val="en-US" w:eastAsia="zh-CN"/>
        </w:rPr>
        <w:t>1</w:t>
      </w:r>
      <w:r>
        <w:rPr>
          <w:rFonts w:ascii="宋体" w:eastAsia="宋体" w:hAnsi="宋体" w:hint="eastAsia"/>
          <w:szCs w:val="21"/>
        </w:rPr>
        <w:t>（全称）：</w:t>
      </w:r>
      <w:r>
        <w:rPr>
          <w:rFonts w:ascii="宋体" w:eastAsia="宋体" w:hAnsi="宋体" w:hint="eastAsia"/>
          <w:szCs w:val="21"/>
          <w:u w:val="single"/>
        </w:rPr>
        <w:t xml:space="preserve">                       </w:t>
      </w:r>
      <w:r>
        <w:rPr>
          <w:rFonts w:ascii="宋体" w:eastAsia="宋体" w:hAnsi="宋体" w:hint="eastAsia"/>
          <w:szCs w:val="21"/>
        </w:rPr>
        <w:t>（供应商）</w:t>
      </w:r>
    </w:p>
    <w:p>
      <w:pPr>
        <w:adjustRightInd w:val="0"/>
        <w:snapToGrid w:val="0"/>
        <w:spacing w:before="0" w:beforeLines="0" w:line="400" w:lineRule="exact"/>
        <w:outlineLvl w:val="9"/>
        <w:rPr>
          <w:rFonts w:ascii="宋体" w:eastAsia="宋体" w:hAnsi="宋体" w:hint="eastAsia"/>
          <w:szCs w:val="21"/>
        </w:rPr>
      </w:pPr>
      <w:r>
        <w:rPr>
          <w:rFonts w:ascii="宋体" w:eastAsia="宋体" w:hAnsi="宋体" w:hint="eastAsia"/>
          <w:szCs w:val="21"/>
        </w:rPr>
        <w:t>乙方2（全称）：</w:t>
      </w:r>
      <w:r>
        <w:rPr>
          <w:rFonts w:ascii="宋体" w:eastAsia="宋体" w:hAnsi="宋体" w:hint="eastAsia"/>
          <w:szCs w:val="21"/>
          <w:u w:val="single"/>
        </w:rPr>
        <w:t xml:space="preserve">                        </w:t>
      </w:r>
      <w:r>
        <w:rPr>
          <w:rFonts w:ascii="宋体" w:eastAsia="宋体" w:hAnsi="宋体" w:hint="eastAsia"/>
          <w:szCs w:val="21"/>
        </w:rPr>
        <w:t>（联合体成员供应商或其他合同主体）（如有）</w:t>
      </w:r>
    </w:p>
    <w:p>
      <w:pPr>
        <w:adjustRightInd w:val="0"/>
        <w:snapToGrid w:val="0"/>
        <w:spacing w:before="0" w:beforeLines="0" w:line="400" w:lineRule="exact"/>
        <w:outlineLvl w:val="9"/>
        <w:rPr>
          <w:rFonts w:ascii="宋体" w:eastAsia="宋体" w:hAnsi="宋体" w:hint="eastAsia"/>
          <w:szCs w:val="21"/>
        </w:rPr>
      </w:pPr>
      <w:r>
        <w:rPr>
          <w:rFonts w:eastAsia="宋体" w:hint="eastAsia"/>
          <w:lang w:eastAsia="zh-CN"/>
        </w:rPr>
        <w:t>乙方</w:t>
      </w:r>
      <w:r>
        <w:rPr>
          <w:rFonts w:ascii="宋体" w:eastAsia="宋体" w:hAnsi="宋体" w:hint="eastAsia"/>
          <w:szCs w:val="21"/>
          <w:lang w:val="en-US" w:eastAsia="zh-CN"/>
        </w:rPr>
        <w:t>3</w:t>
      </w:r>
      <w:r>
        <w:rPr>
          <w:rFonts w:eastAsia="宋体" w:hint="eastAsia"/>
          <w:lang w:val="en-US" w:eastAsia="zh-CN"/>
        </w:rPr>
        <w:t>（全称）</w:t>
      </w:r>
      <w:r>
        <w:rPr>
          <w:rFonts w:ascii="宋体" w:eastAsia="宋体" w:hAnsi="宋体" w:hint="eastAsia"/>
          <w:szCs w:val="21"/>
          <w:u w:val="single"/>
        </w:rPr>
        <w:t xml:space="preserve">                          </w:t>
      </w:r>
      <w:r>
        <w:rPr>
          <w:rFonts w:ascii="宋体" w:eastAsia="宋体" w:hAnsi="宋体" w:hint="eastAsia"/>
          <w:szCs w:val="21"/>
        </w:rPr>
        <w:t>（联合体成员供应商或其他合同主体）（如有）</w:t>
      </w:r>
    </w:p>
    <w:p>
      <w:pPr>
        <w:spacing w:beforeLines="0" w:line="400" w:lineRule="exact"/>
        <w:outlineLvl w:val="9"/>
        <w:rPr>
          <w:rFonts w:eastAsia="宋体" w:hint="default"/>
          <w:lang w:val="en-US" w:eastAsia="zh-CN"/>
        </w:rPr>
      </w:pPr>
    </w:p>
    <w:p>
      <w:pPr>
        <w:widowControl w:val="0"/>
        <w:adjustRightInd w:val="0"/>
        <w:snapToGrid w:val="0"/>
        <w:spacing w:before="0" w:beforeLines="0" w:after="0" w:line="400" w:lineRule="exact"/>
        <w:ind w:left="0" w:firstLine="420" w:leftChars="0" w:firstLineChars="200"/>
        <w:jc w:val="both"/>
        <w:outlineLvl w:val="9"/>
        <w:rPr>
          <w:rFonts w:ascii="宋体" w:eastAsia="宋体" w:hAnsi="宋体" w:cs="Times New Roman"/>
          <w:kern w:val="2"/>
          <w:sz w:val="21"/>
          <w:szCs w:val="21"/>
          <w:lang w:val="en-US" w:eastAsia="zh-CN" w:bidi="ar-SA"/>
        </w:rPr>
      </w:pPr>
      <w:r>
        <w:rPr>
          <w:rFonts w:ascii="宋体" w:eastAsia="宋体" w:hAnsi="宋体" w:cs="Times New Roman" w:hint="eastAsia"/>
          <w:kern w:val="2"/>
          <w:sz w:val="21"/>
          <w:szCs w:val="21"/>
          <w:lang w:val="en-US" w:eastAsia="zh-CN" w:bidi="ar-SA"/>
        </w:rPr>
        <w:t>依据《中华人民共和国民法典》《中华人民共和国政府采购法》《深圳经济特区政府采购条例》等有关的法律法规，以及</w:t>
      </w:r>
      <w:r>
        <w:rPr>
          <w:rFonts w:ascii="宋体" w:eastAsia="宋体" w:hAnsi="宋体" w:cs="Times New Roman" w:hint="eastAsia"/>
          <w:i w:val="0"/>
          <w:iCs w:val="0"/>
          <w:kern w:val="2"/>
          <w:sz w:val="21"/>
          <w:szCs w:val="21"/>
          <w:u w:val="none"/>
          <w:lang w:val="en-US" w:eastAsia="zh-CN" w:bidi="ar-SA"/>
        </w:rPr>
        <w:t>本采购项目</w:t>
      </w:r>
      <w:r>
        <w:rPr>
          <w:rFonts w:ascii="宋体" w:eastAsia="宋体" w:hAnsi="宋体" w:cs="Times New Roman" w:hint="eastAsia"/>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9"/>
        </w:numPr>
        <w:adjustRightInd w:val="0"/>
        <w:snapToGrid w:val="0"/>
        <w:spacing w:before="0" w:beforeLines="0" w:line="400" w:lineRule="exact"/>
        <w:ind w:firstLine="420" w:firstLineChars="200"/>
        <w:outlineLvl w:val="9"/>
        <w:rPr>
          <w:rFonts w:ascii="宋体" w:eastAsia="宋体" w:hAnsi="宋体"/>
          <w:b/>
          <w:szCs w:val="21"/>
        </w:rPr>
      </w:pPr>
      <w:r>
        <w:rPr>
          <w:rFonts w:ascii="宋体" w:eastAsia="宋体" w:hAnsi="宋体" w:hint="eastAsia"/>
          <w:b/>
          <w:szCs w:val="21"/>
        </w:rPr>
        <w:t>项目信息</w:t>
      </w:r>
    </w:p>
    <w:p>
      <w:pPr>
        <w:widowControl w:val="0"/>
        <w:numPr>
          <w:ilvl w:val="0"/>
          <w:numId w:val="10"/>
        </w:numPr>
        <w:adjustRightInd w:val="0"/>
        <w:snapToGrid w:val="0"/>
        <w:spacing w:before="0" w:beforeLines="0" w:after="0" w:line="400" w:lineRule="exact"/>
        <w:ind w:left="0" w:firstLine="420" w:leftChars="0" w:firstLineChars="200"/>
        <w:jc w:val="both"/>
        <w:outlineLvl w:val="9"/>
        <w:rPr>
          <w:rFonts w:ascii="宋体" w:eastAsia="宋体" w:hAnsi="宋体" w:cs="Times New Roman"/>
          <w:kern w:val="2"/>
          <w:sz w:val="21"/>
          <w:szCs w:val="21"/>
          <w:u w:val="single"/>
          <w:lang w:val="en-US" w:eastAsia="zh-CN" w:bidi="ar-SA"/>
        </w:rPr>
      </w:pPr>
      <w:r>
        <w:rPr>
          <w:rFonts w:ascii="宋体" w:eastAsia="宋体" w:hAnsi="宋体" w:cs="Times New Roman" w:hint="eastAsia"/>
          <w:kern w:val="2"/>
          <w:sz w:val="21"/>
          <w:szCs w:val="21"/>
          <w:lang w:val="en-US" w:eastAsia="zh-CN" w:bidi="ar-SA"/>
        </w:rPr>
        <w:t>采购项目名称：</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p>
    <w:p>
      <w:pPr>
        <w:widowControl w:val="0"/>
        <w:numPr>
          <w:ilvl w:val="255"/>
          <w:numId w:val="0"/>
        </w:numPr>
        <w:tabs>
          <w:tab w:val="left" w:pos="999"/>
        </w:tabs>
        <w:adjustRightInd w:val="0"/>
        <w:snapToGrid w:val="0"/>
        <w:spacing w:before="0" w:beforeLines="0" w:after="0" w:line="400" w:lineRule="exact"/>
        <w:ind w:left="0" w:firstLine="0" w:leftChars="0" w:firstLineChars="0"/>
        <w:jc w:val="both"/>
        <w:outlineLvl w:val="9"/>
        <w:rPr>
          <w:rFonts w:ascii="宋体" w:eastAsia="宋体" w:hAnsi="宋体" w:cs="Times New Roman" w:hint="default"/>
          <w:kern w:val="2"/>
          <w:sz w:val="21"/>
          <w:szCs w:val="21"/>
          <w:u w:val="none"/>
          <w:lang w:val="en-US" w:eastAsia="zh-CN" w:bidi="ar-SA"/>
        </w:rPr>
      </w:pPr>
      <w:r>
        <w:rPr>
          <w:rFonts w:ascii="宋体" w:eastAsia="宋体" w:hAnsi="宋体" w:cs="Times New Roman" w:hint="eastAsia"/>
          <w:kern w:val="2"/>
          <w:sz w:val="21"/>
          <w:szCs w:val="21"/>
          <w:u w:val="none"/>
          <w:lang w:val="en-US" w:eastAsia="zh-CN" w:bidi="ar-SA"/>
        </w:rPr>
        <w:t xml:space="preserve">         采购项目编号：</w:t>
      </w:r>
      <w:r>
        <w:rPr>
          <w:rFonts w:ascii="宋体" w:eastAsia="宋体" w:hAnsi="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firstLine="420" w:leftChars="0" w:firstLineChars="200"/>
        <w:jc w:val="both"/>
        <w:outlineLvl w:val="9"/>
        <w:rPr>
          <w:rFonts w:ascii="宋体" w:eastAsia="宋体" w:hAnsi="宋体" w:cs="Times New Roman"/>
          <w:kern w:val="2"/>
          <w:sz w:val="21"/>
          <w:szCs w:val="21"/>
          <w:lang w:val="en-US" w:eastAsia="zh-CN" w:bidi="ar-SA"/>
        </w:rPr>
      </w:pPr>
      <w:r>
        <w:rPr>
          <w:rFonts w:ascii="宋体" w:eastAsia="宋体" w:hAnsi="宋体" w:cs="Times New Roman" w:hint="eastAsia"/>
          <w:kern w:val="2"/>
          <w:sz w:val="21"/>
          <w:szCs w:val="21"/>
          <w:lang w:val="en-US" w:eastAsia="zh-CN" w:bidi="ar-SA"/>
        </w:rPr>
        <w:t>（2）采购计划编号：</w:t>
      </w:r>
      <w:r>
        <w:rPr>
          <w:rFonts w:ascii="宋体" w:eastAsia="宋体" w:hAnsi="宋体" w:cs="Times New Roman"/>
          <w:kern w:val="2"/>
          <w:sz w:val="21"/>
          <w:szCs w:val="21"/>
          <w:u w:val="single"/>
          <w:lang w:val="en-US" w:eastAsia="zh-CN" w:bidi="ar-SA"/>
        </w:rPr>
        <w:t xml:space="preserve">                     </w:t>
      </w:r>
      <w:r>
        <w:rPr>
          <w:rFonts w:ascii="宋体" w:eastAsia="宋体" w:hAnsi="宋体" w:cs="Times New Roman" w:hint="eastAsia"/>
          <w:kern w:val="2"/>
          <w:sz w:val="21"/>
          <w:szCs w:val="21"/>
          <w:u w:val="single"/>
          <w:lang w:val="en-US" w:eastAsia="zh-CN" w:bidi="ar-SA"/>
        </w:rPr>
        <w:t xml:space="preserve">                </w:t>
      </w:r>
      <w:r>
        <w:rPr>
          <w:rFonts w:ascii="宋体" w:eastAsia="宋体" w:hAnsi="宋体" w:cs="Times New Roman"/>
          <w:kern w:val="2"/>
          <w:sz w:val="21"/>
          <w:szCs w:val="21"/>
          <w:u w:val="single"/>
          <w:lang w:val="en-US" w:eastAsia="zh-CN" w:bidi="ar-SA"/>
        </w:rPr>
        <w:t xml:space="preserve">     </w:t>
      </w:r>
      <w:r>
        <w:rPr>
          <w:rFonts w:ascii="宋体" w:eastAsia="宋体" w:hAnsi="宋体" w:cs="Times New Roman"/>
          <w:kern w:val="2"/>
          <w:sz w:val="21"/>
          <w:szCs w:val="21"/>
          <w:lang w:val="en-US" w:eastAsia="zh-CN" w:bidi="ar-SA"/>
        </w:rPr>
        <w:t xml:space="preserve"> </w:t>
      </w:r>
    </w:p>
    <w:p>
      <w:pPr>
        <w:adjustRightInd w:val="0"/>
        <w:snapToGrid w:val="0"/>
        <w:spacing w:before="0" w:beforeLines="0" w:line="400" w:lineRule="exact"/>
        <w:ind w:firstLine="420" w:firstLineChars="200"/>
        <w:outlineLvl w:val="9"/>
        <w:rPr>
          <w:rFonts w:ascii="宋体" w:eastAsia="宋体" w:hAnsi="宋体" w:hint="eastAsia"/>
          <w:szCs w:val="21"/>
        </w:rPr>
      </w:pPr>
      <w:r>
        <w:rPr>
          <w:rFonts w:ascii="宋体" w:eastAsia="宋体" w:hAnsi="宋体" w:hint="eastAsia"/>
          <w:szCs w:val="21"/>
        </w:rPr>
        <w:t>（3）项目内容：</w:t>
      </w:r>
    </w:p>
    <w:p>
      <w:pPr>
        <w:adjustRightInd w:val="0"/>
        <w:snapToGrid w:val="0"/>
        <w:spacing w:before="0" w:beforeLines="0" w:line="400" w:lineRule="exact"/>
        <w:ind w:firstLine="420" w:firstLineChars="200"/>
        <w:outlineLvl w:val="9"/>
        <w:rPr>
          <w:rFonts w:ascii="宋体" w:eastAsia="宋体" w:hAnsi="宋体" w:hint="eastAsia"/>
          <w:szCs w:val="21"/>
          <w:lang w:val="en-US" w:eastAsia="zh-CN"/>
        </w:rPr>
      </w:pPr>
      <w:r>
        <w:rPr>
          <w:rFonts w:ascii="宋体" w:eastAsia="宋体" w:hAnsi="宋体" w:hint="eastAsia"/>
          <w:szCs w:val="21"/>
          <w:lang w:val="en-US" w:eastAsia="zh-CN"/>
        </w:rPr>
        <w:t xml:space="preserve">     </w:t>
      </w:r>
      <w:r>
        <w:rPr>
          <w:rFonts w:ascii="宋体" w:eastAsia="宋体" w:hAnsi="宋体" w:hint="eastAsia"/>
          <w:szCs w:val="21"/>
          <w:lang w:eastAsia="zh-CN"/>
        </w:rPr>
        <w:t>采购标的及数量</w:t>
      </w:r>
      <w:r>
        <w:rPr>
          <w:rFonts w:ascii="宋体" w:eastAsia="宋体" w:hAnsi="宋体" w:hint="eastAsia"/>
          <w:szCs w:val="21"/>
          <w:lang w:val="en-US" w:eastAsia="zh-CN"/>
        </w:rPr>
        <w:t>（台/套</w:t>
      </w:r>
      <w:r>
        <w:rPr>
          <w:rFonts w:ascii="宋体" w:eastAsia="宋体" w:hAnsi="宋体" w:hint="default"/>
          <w:szCs w:val="21"/>
          <w:lang w:eastAsia="zh-CN"/>
        </w:rPr>
        <w:t>/</w:t>
      </w:r>
      <w:r>
        <w:rPr>
          <w:rFonts w:ascii="宋体" w:eastAsia="宋体" w:hAnsi="宋体" w:hint="eastAsia"/>
          <w:szCs w:val="21"/>
          <w:lang w:eastAsia="zh-CN"/>
        </w:rPr>
        <w:t>个</w:t>
      </w:r>
      <w:r>
        <w:rPr>
          <w:rFonts w:ascii="宋体" w:eastAsia="宋体" w:hAnsi="宋体" w:hint="default"/>
          <w:szCs w:val="21"/>
          <w:lang w:eastAsia="zh-CN"/>
        </w:rPr>
        <w:t>/</w:t>
      </w:r>
      <w:r>
        <w:rPr>
          <w:rFonts w:ascii="宋体" w:eastAsia="宋体" w:hAnsi="宋体" w:hint="eastAsia"/>
          <w:szCs w:val="21"/>
          <w:lang w:eastAsia="zh-CN"/>
        </w:rPr>
        <w:t>架</w:t>
      </w:r>
      <w:r>
        <w:rPr>
          <w:rFonts w:ascii="宋体" w:eastAsia="宋体" w:hAnsi="宋体" w:hint="default"/>
          <w:szCs w:val="21"/>
          <w:lang w:eastAsia="zh-CN"/>
        </w:rPr>
        <w:t>/</w:t>
      </w:r>
      <w:r>
        <w:rPr>
          <w:rFonts w:ascii="宋体" w:eastAsia="宋体" w:hAnsi="宋体" w:hint="eastAsia"/>
          <w:szCs w:val="21"/>
          <w:lang w:eastAsia="zh-CN"/>
        </w:rPr>
        <w:t>组等</w:t>
      </w:r>
      <w:r>
        <w:rPr>
          <w:rFonts w:ascii="宋体" w:eastAsia="宋体" w:hAnsi="宋体" w:hint="eastAsia"/>
          <w:szCs w:val="21"/>
          <w:lang w:val="en-US" w:eastAsia="zh-CN"/>
        </w:rPr>
        <w:t>）</w:t>
      </w:r>
      <w:r>
        <w:rPr>
          <w:rFonts w:ascii="宋体" w:eastAsia="宋体" w:hAnsi="宋体" w:hint="eastAsia"/>
          <w:szCs w:val="21"/>
          <w:lang w:eastAsia="zh-CN"/>
        </w:rPr>
        <w:t>：</w:t>
      </w:r>
      <w:r>
        <w:rPr>
          <w:rFonts w:ascii="宋体" w:eastAsia="宋体" w:hAnsi="宋体" w:hint="eastAsia"/>
          <w:szCs w:val="21"/>
          <w:u w:val="single"/>
          <w:lang w:val="en-US" w:eastAsia="zh-CN"/>
        </w:rPr>
        <w:t xml:space="preserve">                       </w:t>
      </w:r>
      <w:r>
        <w:rPr>
          <w:rFonts w:ascii="宋体" w:eastAsia="宋体" w:hAnsi="宋体" w:hint="eastAsia"/>
          <w:szCs w:val="21"/>
          <w:u w:val="none"/>
          <w:lang w:val="en-US" w:eastAsia="zh-CN"/>
        </w:rPr>
        <w:t xml:space="preserve">            </w:t>
      </w:r>
      <w:r>
        <w:rPr>
          <w:rFonts w:ascii="宋体" w:eastAsia="宋体" w:hAnsi="宋体" w:hint="eastAsia"/>
          <w:szCs w:val="21"/>
          <w:u w:val="single"/>
          <w:lang w:val="en-US" w:eastAsia="zh-CN"/>
        </w:rPr>
        <w:t xml:space="preserve">                  </w:t>
      </w:r>
      <w:r>
        <w:rPr>
          <w:rFonts w:ascii="宋体" w:eastAsia="宋体" w:hAnsi="宋体" w:hint="eastAsia"/>
          <w:szCs w:val="21"/>
          <w:lang w:val="en-US" w:eastAsia="zh-CN"/>
        </w:rPr>
        <w:t xml:space="preserve"> </w:t>
      </w:r>
    </w:p>
    <w:p>
      <w:pPr>
        <w:numPr>
          <w:ilvl w:val="255"/>
          <w:numId w:val="0"/>
        </w:numPr>
        <w:adjustRightInd w:val="0"/>
        <w:snapToGrid w:val="0"/>
        <w:spacing w:before="0" w:beforeLines="0" w:line="400" w:lineRule="exact"/>
        <w:ind w:firstLine="420" w:firstLineChars="200"/>
        <w:outlineLvl w:val="9"/>
        <w:rPr>
          <w:rFonts w:ascii="宋体" w:eastAsia="宋体" w:hAnsi="宋体" w:cs="宋体" w:hint="default"/>
          <w:szCs w:val="21"/>
          <w:lang w:eastAsia="zh-CN"/>
        </w:rPr>
      </w:pPr>
      <w:r>
        <w:rPr>
          <w:rFonts w:ascii="宋体" w:eastAsia="宋体" w:hAnsi="宋体" w:hint="eastAsia"/>
          <w:szCs w:val="21"/>
          <w:highlight w:val="none"/>
          <w:u w:val="none"/>
          <w:lang w:val="en-US" w:eastAsia="zh-CN"/>
        </w:rPr>
        <w:t xml:space="preserve">     </w:t>
      </w:r>
      <w:r>
        <w:rPr>
          <w:rFonts w:ascii="宋体" w:eastAsia="宋体" w:hAnsi="宋体" w:cs="宋体" w:hint="eastAsia"/>
          <w:szCs w:val="21"/>
          <w:lang w:val="en-US" w:eastAsia="zh-CN"/>
        </w:rPr>
        <w:t>品牌：</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r>
        <w:rPr>
          <w:rFonts w:ascii="宋体" w:eastAsia="宋体" w:hAnsi="宋体" w:cs="宋体" w:hint="eastAsia"/>
          <w:szCs w:val="21"/>
          <w:u w:val="single"/>
          <w:lang w:val="en-US" w:eastAsia="zh-CN"/>
        </w:rPr>
        <w:t xml:space="preserve"> </w:t>
      </w:r>
      <w:r>
        <w:rPr>
          <w:rFonts w:ascii="宋体" w:eastAsia="宋体" w:hAnsi="宋体" w:cs="宋体" w:hint="default"/>
          <w:szCs w:val="21"/>
          <w:u w:val="none"/>
          <w:lang w:eastAsia="zh-CN"/>
        </w:rPr>
        <w:t xml:space="preserve">     </w:t>
      </w:r>
      <w:r>
        <w:rPr>
          <w:rFonts w:ascii="宋体" w:eastAsia="宋体" w:hAnsi="宋体" w:cs="宋体" w:hint="eastAsia"/>
          <w:szCs w:val="21"/>
          <w:lang w:val="en-US" w:eastAsia="zh-CN"/>
        </w:rPr>
        <w:t>规格型号：</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p>
    <w:p>
      <w:pPr>
        <w:adjustRightInd w:val="0"/>
        <w:snapToGrid w:val="0"/>
        <w:spacing w:before="0" w:beforeLines="0" w:line="400" w:lineRule="exact"/>
        <w:ind w:firstLine="945" w:firstLineChars="450"/>
        <w:outlineLvl w:val="9"/>
        <w:rPr>
          <w:rFonts w:ascii="宋体" w:eastAsia="宋体" w:hAnsi="宋体"/>
          <w:szCs w:val="21"/>
          <w:highlight w:val="none"/>
          <w:u w:val="single"/>
        </w:rPr>
      </w:pPr>
      <w:r>
        <w:rPr>
          <w:rFonts w:ascii="宋体" w:eastAsia="宋体" w:hAnsi="宋体" w:hint="eastAsia"/>
          <w:szCs w:val="21"/>
          <w:highlight w:val="none"/>
          <w:u w:val="none"/>
          <w:lang w:val="en-US" w:eastAsia="zh-CN"/>
        </w:rPr>
        <w:t>采购标的的技术要求、商务要求具体见附件。</w:t>
      </w:r>
    </w:p>
    <w:p>
      <w:pPr>
        <w:numPr>
          <w:ilvl w:val="255"/>
          <w:numId w:val="0"/>
        </w:numPr>
        <w:adjustRightInd w:val="0"/>
        <w:snapToGrid w:val="0"/>
        <w:spacing w:before="0" w:beforeLines="0" w:line="400" w:lineRule="exact"/>
        <w:ind w:firstLine="945" w:firstLineChars="450"/>
        <w:outlineLvl w:val="9"/>
        <w:rPr>
          <w:rFonts w:ascii="宋体" w:eastAsia="宋体" w:hAnsi="宋体" w:cs="宋体" w:hint="eastAsia"/>
          <w:szCs w:val="21"/>
          <w:lang w:val="en-US" w:eastAsia="zh-CN"/>
        </w:rPr>
      </w:pPr>
      <w:r>
        <w:rPr>
          <w:rFonts w:ascii="汉仪书宋二S" w:eastAsia="汉仪书宋二S" w:hAnsi="汉仪书宋二S" w:cs="汉仪书宋二S" w:hint="eastAsia"/>
          <w:szCs w:val="21"/>
          <w:lang w:val="en-US" w:eastAsia="zh-CN"/>
        </w:rPr>
        <w:t>①</w:t>
      </w:r>
      <w:r>
        <w:rPr>
          <w:rFonts w:ascii="宋体" w:eastAsia="宋体" w:hAnsi="宋体" w:cs="宋体" w:hint="eastAsia"/>
          <w:szCs w:val="21"/>
          <w:lang w:val="en-US" w:eastAsia="zh-CN"/>
        </w:rPr>
        <w:t>涉及信息类产品，请填写该产品关键部件的品牌、型号：</w:t>
      </w:r>
    </w:p>
    <w:p>
      <w:pPr>
        <w:numPr>
          <w:ilvl w:val="255"/>
          <w:numId w:val="0"/>
        </w:numPr>
        <w:adjustRightInd w:val="0"/>
        <w:snapToGrid w:val="0"/>
        <w:spacing w:before="0" w:beforeLines="0" w:line="400" w:lineRule="exact"/>
        <w:ind w:firstLine="420" w:firstLineChars="200"/>
        <w:outlineLvl w:val="9"/>
        <w:rPr>
          <w:rFonts w:ascii="宋体" w:eastAsia="宋体" w:hAnsi="宋体" w:cs="宋体" w:hint="eastAsia"/>
          <w:kern w:val="0"/>
          <w:szCs w:val="21"/>
          <w:u w:val="single"/>
          <w:lang w:val="en-US" w:eastAsia="zh-CN"/>
        </w:rPr>
      </w:pPr>
      <w:r>
        <w:rPr>
          <w:rFonts w:ascii="宋体" w:eastAsia="宋体" w:hAnsi="宋体" w:cs="宋体" w:hint="eastAsia"/>
          <w:szCs w:val="21"/>
          <w:lang w:val="en-US" w:eastAsia="zh-CN"/>
        </w:rPr>
        <w:t xml:space="preserve">     标的名称：</w:t>
      </w:r>
      <w:r>
        <w:rPr>
          <w:rFonts w:ascii="宋体" w:eastAsia="宋体" w:hAnsi="宋体" w:cs="宋体" w:hint="eastAsia"/>
          <w:kern w:val="0"/>
          <w:szCs w:val="21"/>
          <w:u w:val="single"/>
          <w:lang w:val="en-US" w:eastAsia="zh-CN"/>
        </w:rPr>
        <w:t xml:space="preserve">      </w:t>
      </w:r>
      <w:r>
        <w:rPr>
          <w:rFonts w:ascii="宋体" w:eastAsia="宋体" w:hAnsi="宋体" w:cs="宋体" w:hint="default"/>
          <w:kern w:val="0"/>
          <w:szCs w:val="21"/>
          <w:u w:val="single"/>
          <w:lang w:eastAsia="zh-CN"/>
        </w:rPr>
        <w:t xml:space="preserve">               </w:t>
      </w:r>
      <w:r>
        <w:rPr>
          <w:rFonts w:ascii="宋体" w:eastAsia="宋体" w:hAnsi="宋体" w:cs="宋体" w:hint="eastAsia"/>
          <w:kern w:val="0"/>
          <w:szCs w:val="21"/>
          <w:u w:val="single"/>
          <w:lang w:val="en-US" w:eastAsia="zh-CN"/>
        </w:rPr>
        <w:t xml:space="preserve">    </w:t>
      </w:r>
    </w:p>
    <w:p>
      <w:pPr>
        <w:numPr>
          <w:ilvl w:val="255"/>
          <w:numId w:val="0"/>
        </w:numPr>
        <w:adjustRightInd w:val="0"/>
        <w:snapToGrid w:val="0"/>
        <w:spacing w:before="0" w:beforeLines="0" w:line="400" w:lineRule="exact"/>
        <w:ind w:firstLine="420" w:firstLineChars="200"/>
        <w:outlineLvl w:val="9"/>
        <w:rPr>
          <w:rFonts w:ascii="宋体" w:eastAsia="宋体" w:hAnsi="宋体" w:cs="宋体" w:hint="eastAsia"/>
          <w:szCs w:val="21"/>
          <w:lang w:val="en-US" w:eastAsia="zh-CN"/>
        </w:rPr>
      </w:pPr>
      <w:r>
        <w:rPr>
          <w:rFonts w:ascii="宋体" w:eastAsia="宋体" w:hAnsi="宋体" w:cs="宋体" w:hint="eastAsia"/>
          <w:szCs w:val="21"/>
          <w:lang w:val="en-US" w:eastAsia="zh-CN"/>
        </w:rPr>
        <w:t xml:space="preserve">     关键部件：</w:t>
      </w:r>
      <w:r>
        <w:rPr>
          <w:rFonts w:ascii="宋体" w:eastAsia="宋体" w:hAnsi="宋体" w:cs="宋体" w:hint="eastAsia"/>
          <w:kern w:val="0"/>
          <w:szCs w:val="21"/>
          <w:u w:val="single"/>
          <w:lang w:val="en-US" w:eastAsia="zh-CN"/>
        </w:rPr>
        <w:t xml:space="preserve">          </w:t>
      </w:r>
      <w:r>
        <w:rPr>
          <w:rFonts w:ascii="宋体" w:eastAsia="宋体" w:hAnsi="宋体" w:cs="宋体" w:hint="eastAsia"/>
          <w:kern w:val="0"/>
          <w:szCs w:val="21"/>
          <w:u w:val="none"/>
          <w:lang w:val="en-US" w:eastAsia="zh-CN"/>
        </w:rPr>
        <w:t xml:space="preserve"> </w:t>
      </w:r>
      <w:r>
        <w:rPr>
          <w:rFonts w:ascii="宋体" w:eastAsia="宋体" w:hAnsi="宋体" w:cs="宋体" w:hint="eastAsia"/>
          <w:szCs w:val="21"/>
          <w:lang w:val="en-US" w:eastAsia="zh-CN"/>
        </w:rPr>
        <w:t>品牌：</w:t>
      </w:r>
      <w:r>
        <w:rPr>
          <w:rFonts w:ascii="宋体" w:eastAsia="宋体" w:hAnsi="宋体" w:cs="宋体" w:hint="eastAsia"/>
          <w:szCs w:val="21"/>
          <w:u w:val="single"/>
          <w:lang w:val="en-US" w:eastAsia="zh-CN"/>
        </w:rPr>
        <w:t xml:space="preserve">        </w:t>
      </w:r>
      <w:r>
        <w:rPr>
          <w:rFonts w:ascii="宋体" w:eastAsia="宋体" w:hAnsi="宋体" w:cs="宋体" w:hint="eastAsia"/>
          <w:szCs w:val="21"/>
          <w:u w:val="none"/>
          <w:lang w:val="en-US" w:eastAsia="zh-CN"/>
        </w:rPr>
        <w:t xml:space="preserve"> </w:t>
      </w:r>
      <w:r>
        <w:rPr>
          <w:rFonts w:ascii="宋体" w:eastAsia="宋体" w:hAnsi="宋体" w:cs="宋体" w:hint="eastAsia"/>
          <w:szCs w:val="21"/>
          <w:lang w:val="en-US" w:eastAsia="zh-CN"/>
        </w:rPr>
        <w:t>型号：</w:t>
      </w:r>
      <w:r>
        <w:rPr>
          <w:rFonts w:ascii="宋体" w:eastAsia="宋体" w:hAnsi="宋体" w:cs="宋体" w:hint="eastAsia"/>
          <w:szCs w:val="21"/>
          <w:u w:val="single"/>
          <w:lang w:val="en-US" w:eastAsia="zh-CN"/>
        </w:rPr>
        <w:t xml:space="preserve">       </w:t>
      </w:r>
      <w:r>
        <w:rPr>
          <w:rFonts w:ascii="宋体" w:eastAsia="宋体" w:hAnsi="宋体" w:cs="宋体" w:hint="eastAsia"/>
          <w:szCs w:val="21"/>
          <w:lang w:val="en-US" w:eastAsia="zh-CN"/>
        </w:rPr>
        <w:t xml:space="preserve"> </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w:t>
      </w:r>
      <w:r>
        <w:rPr>
          <w:rFonts w:ascii="宋体" w:eastAsia="宋体" w:hAnsi="宋体" w:cs="宋体" w:hint="eastAsia"/>
          <w:kern w:val="2"/>
          <w:sz w:val="21"/>
          <w:szCs w:val="21"/>
          <w:lang w:val="en-US" w:eastAsia="zh-CN" w:bidi="ar-SA"/>
        </w:rPr>
        <w:t>关键部件</w:t>
      </w:r>
      <w:r>
        <w:rPr>
          <w:rFonts w:ascii="宋体" w:eastAsia="宋体" w:hAnsi="宋体" w:cs="宋体" w:hint="eastAsia"/>
          <w:sz w:val="21"/>
          <w:szCs w:val="21"/>
          <w:lang w:val="en-US" w:eastAsia="zh-CN" w:bidi="ar-SA"/>
        </w:rPr>
        <w:t>：</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品牌：</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型号：</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lang w:val="en-US" w:eastAsia="zh-CN" w:bidi="ar-SA"/>
        </w:rPr>
        <w:t xml:space="preserve"> </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关键部件：</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品牌：</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型号：</w:t>
      </w:r>
      <w:r>
        <w:rPr>
          <w:rFonts w:ascii="宋体" w:eastAsia="宋体" w:hAnsi="宋体" w:cs="宋体" w:hint="eastAsia"/>
          <w:sz w:val="21"/>
          <w:szCs w:val="21"/>
          <w:u w:val="single"/>
          <w:lang w:val="en-US" w:eastAsia="zh-CN" w:bidi="ar-SA"/>
        </w:rPr>
        <w:t xml:space="preserve">       </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w:t>
      </w:r>
      <w:r>
        <w:rPr>
          <w:rFonts w:ascii="汉仪书宋二S" w:eastAsia="汉仪书宋二S" w:hAnsi="汉仪书宋二S" w:cs="汉仪书宋二S" w:hint="eastAsia"/>
          <w:sz w:val="21"/>
          <w:szCs w:val="21"/>
          <w:lang w:val="en-US" w:eastAsia="zh-CN" w:bidi="ar-SA"/>
        </w:rPr>
        <w:t>②</w:t>
      </w:r>
      <w:r>
        <w:rPr>
          <w:rFonts w:ascii="宋体" w:eastAsia="宋体" w:hAnsi="宋体" w:cs="宋体" w:hint="eastAsia"/>
          <w:sz w:val="21"/>
          <w:szCs w:val="21"/>
          <w:lang w:val="en-US" w:eastAsia="zh-CN" w:bidi="ar-SA"/>
        </w:rPr>
        <w:t>涉及车辆采购，请填写是否属于新能源汽车：</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宋体" w:hint="eastAsia"/>
          <w:iCs w:val="0"/>
          <w:sz w:val="21"/>
          <w:szCs w:val="21"/>
          <w:lang w:val="en-US" w:eastAsia="zh-CN" w:bidi="ar-SA"/>
        </w:rPr>
      </w:pPr>
      <w:r>
        <w:rPr>
          <w:rFonts w:ascii="宋体" w:eastAsia="宋体" w:hAnsi="宋体" w:cs="宋体" w:hint="eastAsia"/>
          <w:sz w:val="21"/>
          <w:szCs w:val="21"/>
          <w:lang w:val="en-US" w:eastAsia="zh-CN" w:bidi="ar-SA"/>
        </w:rPr>
        <w:t xml:space="preserve">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是，《政府采购品目分类目录》底级品目名称</w:t>
      </w:r>
      <w:r>
        <w:rPr>
          <w:rFonts w:ascii="宋体" w:eastAsia="宋体" w:hAnsi="宋体" w:cs="宋体" w:hint="eastAsia"/>
          <w:sz w:val="21"/>
          <w:szCs w:val="21"/>
          <w:lang w:val="en-US" w:eastAsia="zh-CN" w:bidi="ar-SA"/>
        </w:rPr>
        <w:t>：</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lang w:val="en-US" w:eastAsia="zh-CN" w:bidi="ar-SA"/>
        </w:rPr>
        <w:t xml:space="preserve"> 数量：</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lang w:val="en-US" w:eastAsia="zh-CN" w:bidi="ar-SA"/>
        </w:rPr>
        <w:t xml:space="preserve"> 金额：</w:t>
      </w:r>
      <w:r>
        <w:rPr>
          <w:rFonts w:ascii="宋体" w:eastAsia="宋体" w:hAnsi="宋体" w:cs="宋体" w:hint="eastAsia"/>
          <w:sz w:val="21"/>
          <w:szCs w:val="21"/>
          <w:u w:val="single"/>
          <w:lang w:val="en-US" w:eastAsia="zh-CN" w:bidi="ar-SA"/>
        </w:rPr>
        <w:t xml:space="preserve">     </w:t>
      </w:r>
      <w:r>
        <w:rPr>
          <w:rFonts w:ascii="宋体" w:eastAsia="宋体" w:hAnsi="宋体" w:cs="宋体" w:hint="eastAsia"/>
          <w:iCs w:val="0"/>
          <w:sz w:val="21"/>
          <w:szCs w:val="21"/>
          <w:lang w:val="en-US" w:eastAsia="zh-CN" w:bidi="ar-SA"/>
        </w:rPr>
        <w:t xml:space="preserve"> </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宋体" w:hint="eastAsia"/>
          <w:iCs w:val="0"/>
          <w:sz w:val="21"/>
          <w:szCs w:val="21"/>
          <w:lang w:val="en-US" w:eastAsia="zh-CN" w:bidi="ar-SA"/>
        </w:rPr>
      </w:pPr>
      <w:r>
        <w:rPr>
          <w:rFonts w:ascii="宋体" w:eastAsia="宋体" w:hAnsi="宋体" w:cs="宋体" w:hint="eastAsia"/>
          <w:iCs w:val="0"/>
          <w:sz w:val="21"/>
          <w:szCs w:val="21"/>
          <w:lang w:val="en-US" w:eastAsia="zh-CN" w:bidi="ar-SA"/>
        </w:rPr>
        <w:t xml:space="preserve">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否</w:t>
      </w:r>
    </w:p>
    <w:p>
      <w:pPr>
        <w:numPr>
          <w:ilvl w:val="255"/>
          <w:numId w:val="0"/>
        </w:numPr>
        <w:autoSpaceDE w:val="0"/>
        <w:autoSpaceDN w:val="0"/>
        <w:adjustRightInd w:val="0"/>
        <w:snapToGrid w:val="0"/>
        <w:spacing w:before="0" w:beforeLines="0" w:line="400" w:lineRule="exact"/>
        <w:ind w:left="0" w:firstLine="0" w:firstLineChars="0"/>
        <w:outlineLvl w:val="9"/>
        <w:rPr>
          <w:rFonts w:ascii="宋体" w:eastAsia="宋体" w:hAnsi="宋体" w:cs="宋体" w:hint="eastAsia"/>
          <w:iCs w:val="0"/>
          <w:sz w:val="21"/>
          <w:szCs w:val="21"/>
          <w:lang w:val="en-US" w:eastAsia="zh-CN" w:bidi="ar-SA"/>
        </w:rPr>
      </w:pPr>
      <w:r>
        <w:rPr>
          <w:rFonts w:ascii="宋体" w:eastAsia="宋体" w:hAnsi="宋体" w:cs="宋体" w:hint="eastAsia"/>
          <w:iCs w:val="0"/>
          <w:sz w:val="21"/>
          <w:szCs w:val="21"/>
          <w:lang w:val="en-US" w:eastAsia="zh-CN" w:bidi="ar-SA"/>
        </w:rPr>
        <w:t xml:space="preserve">    （</w:t>
      </w:r>
      <w:r>
        <w:rPr>
          <w:rFonts w:ascii="宋体" w:eastAsia="宋体" w:hAnsi="宋体" w:cs="宋体" w:hint="default"/>
          <w:iCs w:val="0"/>
          <w:sz w:val="21"/>
          <w:szCs w:val="21"/>
          <w:lang w:eastAsia="zh-CN" w:bidi="ar-SA"/>
        </w:rPr>
        <w:t>4</w:t>
      </w:r>
      <w:r>
        <w:rPr>
          <w:rFonts w:ascii="宋体" w:eastAsia="宋体" w:hAnsi="宋体" w:cs="宋体" w:hint="eastAsia"/>
          <w:iCs w:val="0"/>
          <w:sz w:val="21"/>
          <w:szCs w:val="21"/>
          <w:lang w:val="en-US" w:eastAsia="zh-CN" w:bidi="ar-SA"/>
        </w:rPr>
        <w:t>）政府采购组织形式：</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集中采购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自行采购</w:t>
      </w:r>
    </w:p>
    <w:p>
      <w:pPr>
        <w:numPr>
          <w:ilvl w:val="255"/>
          <w:numId w:val="0"/>
        </w:numPr>
        <w:autoSpaceDE w:val="0"/>
        <w:autoSpaceDN w:val="0"/>
        <w:adjustRightInd w:val="0"/>
        <w:snapToGrid w:val="0"/>
        <w:spacing w:before="0" w:beforeLines="0" w:line="400" w:lineRule="exact"/>
        <w:ind w:left="210" w:firstLine="210" w:leftChars="100" w:firstLineChars="100"/>
        <w:outlineLvl w:val="9"/>
        <w:rPr>
          <w:rFonts w:ascii="宋体" w:eastAsia="宋体" w:hAnsi="宋体" w:cs="宋体" w:hint="eastAsia"/>
          <w:iCs w:val="0"/>
          <w:sz w:val="21"/>
          <w:szCs w:val="21"/>
          <w:u w:val="single"/>
          <w:lang w:val="en-US" w:eastAsia="zh-CN" w:bidi="ar-SA"/>
        </w:rPr>
      </w:pPr>
      <w:r>
        <w:rPr>
          <w:rFonts w:ascii="宋体" w:eastAsia="宋体" w:hAnsi="宋体" w:cs="宋体" w:hint="eastAsia"/>
          <w:iCs w:val="0"/>
          <w:sz w:val="21"/>
          <w:szCs w:val="21"/>
          <w:lang w:val="en-US" w:eastAsia="zh-CN" w:bidi="ar-SA"/>
        </w:rPr>
        <w:t>（</w:t>
      </w:r>
      <w:r>
        <w:rPr>
          <w:rFonts w:ascii="宋体" w:eastAsia="宋体" w:hAnsi="宋体" w:cs="宋体" w:hint="default"/>
          <w:iCs w:val="0"/>
          <w:sz w:val="21"/>
          <w:szCs w:val="21"/>
          <w:lang w:eastAsia="zh-CN" w:bidi="ar-SA"/>
        </w:rPr>
        <w:t>5</w:t>
      </w:r>
      <w:r>
        <w:rPr>
          <w:rFonts w:ascii="宋体" w:eastAsia="宋体" w:hAnsi="宋体" w:cs="宋体" w:hint="eastAsia"/>
          <w:iCs w:val="0"/>
          <w:sz w:val="21"/>
          <w:szCs w:val="21"/>
          <w:lang w:val="en-US" w:eastAsia="zh-CN" w:bidi="ar-SA"/>
        </w:rPr>
        <w:t>）政府采购方式：</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公开招标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竞争性谈判</w:t>
      </w:r>
      <w:r>
        <w:rPr>
          <w:rFonts w:ascii="宋体" w:eastAsia="华文楷体" w:hAnsi="宋体" w:cs="宋体" w:hint="eastAsia"/>
          <w:sz w:val="22"/>
          <w:szCs w:val="21"/>
          <w:u w:val="none"/>
          <w:lang w:val="en-US" w:eastAsia="zh-CN" w:bidi="ar-SA"/>
        </w:rPr>
        <w:t xml:space="preserve">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单一来源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竞价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框架协议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其他：</w:t>
      </w:r>
      <w:r>
        <w:rPr>
          <w:rFonts w:ascii="宋体" w:eastAsia="宋体" w:hAnsi="宋体" w:cs="宋体" w:hint="eastAsia"/>
          <w:iCs w:val="0"/>
          <w:sz w:val="21"/>
          <w:szCs w:val="21"/>
          <w:u w:val="single"/>
          <w:lang w:val="en-US" w:eastAsia="zh-CN" w:bidi="ar-SA"/>
        </w:rPr>
        <w:t xml:space="preserve">          </w:t>
      </w:r>
    </w:p>
    <w:p>
      <w:pPr>
        <w:numPr>
          <w:ilvl w:val="255"/>
          <w:numId w:val="0"/>
        </w:numPr>
        <w:autoSpaceDE w:val="0"/>
        <w:autoSpaceDN w:val="0"/>
        <w:adjustRightInd w:val="0"/>
        <w:snapToGrid w:val="0"/>
        <w:spacing w:before="0" w:beforeLines="0" w:line="400" w:lineRule="exact"/>
        <w:ind w:left="0" w:firstLine="420" w:firstLineChars="0"/>
        <w:outlineLvl w:val="9"/>
        <w:rPr>
          <w:rFonts w:ascii="宋体" w:eastAsia="宋体" w:hAnsi="宋体" w:cs="宋体" w:hint="default"/>
          <w:iCs w:val="0"/>
          <w:sz w:val="21"/>
          <w:szCs w:val="21"/>
          <w:u w:val="none"/>
          <w:lang w:val="en-US" w:eastAsia="zh-CN" w:bidi="ar-SA"/>
        </w:rPr>
      </w:pPr>
      <w:r>
        <w:rPr>
          <w:rFonts w:ascii="宋体" w:eastAsia="宋体" w:hAnsi="宋体" w:cs="宋体" w:hint="eastAsia"/>
          <w:iCs w:val="0"/>
          <w:sz w:val="21"/>
          <w:szCs w:val="21"/>
          <w:u w:val="none"/>
          <w:lang w:val="en-US" w:eastAsia="zh-CN" w:bidi="ar-SA"/>
        </w:rPr>
        <w:t>（注：在框架协议采购的第二阶段，可选择使用该合同文本）</w:t>
      </w:r>
    </w:p>
    <w:p>
      <w:pPr>
        <w:numPr>
          <w:ilvl w:val="255"/>
          <w:numId w:val="0"/>
        </w:numPr>
        <w:autoSpaceDE w:val="0"/>
        <w:autoSpaceDN w:val="0"/>
        <w:adjustRightInd w:val="0"/>
        <w:snapToGrid w:val="0"/>
        <w:spacing w:before="0" w:beforeLines="0" w:line="400" w:lineRule="exact"/>
        <w:ind w:firstLine="210" w:firstLineChars="100"/>
        <w:outlineLvl w:val="9"/>
        <w:rPr>
          <w:rFonts w:ascii="宋体" w:eastAsia="宋体" w:hAnsi="宋体" w:cs="Times New Roman" w:hint="eastAsia"/>
          <w:w w:val="100"/>
          <w:kern w:val="2"/>
          <w:sz w:val="21"/>
          <w:szCs w:val="21"/>
          <w:lang w:val="en-US" w:eastAsia="zh-CN" w:bidi="ar-SA"/>
        </w:rPr>
      </w:pPr>
      <w:r>
        <w:rPr>
          <w:rFonts w:ascii="宋体" w:eastAsia="华文楷体" w:hAnsi="宋体" w:cs="华文楷体" w:hint="eastAsia"/>
          <w:sz w:val="22"/>
          <w:szCs w:val="21"/>
          <w:lang w:val="en-US" w:eastAsia="zh-CN" w:bidi="ar-SA"/>
        </w:rPr>
        <w:t xml:space="preserve"> （</w:t>
      </w:r>
      <w:r>
        <w:rPr>
          <w:rFonts w:ascii="宋体" w:eastAsia="华文楷体" w:hAnsi="宋体" w:cs="华文楷体" w:hint="default"/>
          <w:sz w:val="22"/>
          <w:szCs w:val="21"/>
          <w:lang w:eastAsia="zh-CN" w:bidi="ar-SA"/>
        </w:rPr>
        <w:t>6</w:t>
      </w:r>
      <w:r>
        <w:rPr>
          <w:rFonts w:ascii="宋体" w:eastAsia="华文楷体" w:hAnsi="宋体" w:cs="华文楷体" w:hint="eastAsia"/>
          <w:sz w:val="22"/>
          <w:szCs w:val="21"/>
          <w:lang w:val="en-US" w:eastAsia="zh-CN" w:bidi="ar-SA"/>
        </w:rPr>
        <w:t>）</w:t>
      </w:r>
      <w:r>
        <w:rPr>
          <w:rFonts w:ascii="宋体" w:eastAsia="宋体" w:hAnsi="宋体" w:cs="Times New Roman" w:hint="eastAsia"/>
          <w:w w:val="100"/>
          <w:kern w:val="2"/>
          <w:sz w:val="21"/>
          <w:szCs w:val="21"/>
          <w:lang w:val="en-US" w:eastAsia="zh-CN" w:bidi="ar-SA"/>
        </w:rPr>
        <w:t>中标（成交）采购标的制造商是否为中小企业：</w:t>
      </w:r>
      <w:r>
        <w:rPr>
          <w:rFonts w:ascii="Wingdings" w:eastAsia="宋体" w:hAnsi="Wingdings" w:cs="Times New Roman" w:hint="eastAsia"/>
          <w:w w:val="100"/>
          <w:kern w:val="2"/>
          <w:sz w:val="21"/>
          <w:szCs w:val="21"/>
          <w:lang w:val="en-US" w:eastAsia="zh-CN" w:bidi="ar-SA"/>
        </w:rPr>
        <w:t>¨</w:t>
      </w:r>
      <w:r>
        <w:rPr>
          <w:rFonts w:ascii="宋体" w:eastAsia="宋体" w:hAnsi="宋体" w:cs="Times New Roman" w:hint="eastAsia"/>
          <w:w w:val="100"/>
          <w:kern w:val="2"/>
          <w:sz w:val="21"/>
          <w:szCs w:val="21"/>
          <w:lang w:val="en-US" w:eastAsia="zh-CN" w:bidi="ar-SA"/>
        </w:rPr>
        <w:t xml:space="preserve">是      </w:t>
      </w:r>
      <w:r>
        <w:rPr>
          <w:rFonts w:ascii="Wingdings" w:eastAsia="宋体" w:hAnsi="Wingdings" w:cs="Times New Roman" w:hint="eastAsia"/>
          <w:w w:val="100"/>
          <w:kern w:val="2"/>
          <w:sz w:val="21"/>
          <w:szCs w:val="21"/>
          <w:lang w:val="en-US" w:eastAsia="zh-CN" w:bidi="ar-SA"/>
        </w:rPr>
        <w:t>¨</w:t>
      </w:r>
      <w:r>
        <w:rPr>
          <w:rFonts w:ascii="宋体" w:eastAsia="宋体" w:hAnsi="宋体" w:cs="Times New Roman" w:hint="eastAsia"/>
          <w:w w:val="100"/>
          <w:kern w:val="2"/>
          <w:sz w:val="21"/>
          <w:szCs w:val="21"/>
          <w:lang w:val="en-US" w:eastAsia="zh-CN" w:bidi="ar-SA"/>
        </w:rPr>
        <w:t>否</w:t>
      </w:r>
    </w:p>
    <w:p>
      <w:pPr>
        <w:numPr>
          <w:ilvl w:val="255"/>
          <w:numId w:val="0"/>
        </w:numPr>
        <w:adjustRightInd w:val="0"/>
        <w:snapToGrid w:val="0"/>
        <w:spacing w:before="0" w:beforeLines="0" w:line="400" w:lineRule="exact"/>
        <w:ind w:left="0" w:firstLine="0" w:leftChars="0" w:firstLineChars="0"/>
        <w:outlineLvl w:val="9"/>
        <w:rPr>
          <w:rFonts w:ascii="宋体" w:eastAsia="宋体" w:hAnsi="宋体" w:hint="eastAsia"/>
          <w:iCs/>
          <w:szCs w:val="21"/>
        </w:rPr>
      </w:pPr>
      <w:r>
        <w:rPr>
          <w:rFonts w:ascii="宋体" w:eastAsia="宋体" w:hAnsi="宋体" w:hint="eastAsia"/>
          <w:w w:val="100"/>
          <w:szCs w:val="21"/>
          <w:lang w:val="en-US" w:eastAsia="zh-CN"/>
        </w:rPr>
        <w:t xml:space="preserve">         本合同</w:t>
      </w:r>
      <w:r>
        <w:rPr>
          <w:rFonts w:ascii="宋体" w:eastAsia="宋体" w:hAnsi="宋体" w:hint="eastAsia"/>
          <w:w w:val="100"/>
          <w:szCs w:val="21"/>
        </w:rPr>
        <w:t>是否</w:t>
      </w:r>
      <w:r>
        <w:rPr>
          <w:rFonts w:ascii="宋体" w:eastAsia="宋体" w:hAnsi="宋体" w:hint="eastAsia"/>
          <w:w w:val="100"/>
          <w:szCs w:val="21"/>
          <w:lang w:eastAsia="zh-CN"/>
        </w:rPr>
        <w:t>为专门面向</w:t>
      </w:r>
      <w:r>
        <w:rPr>
          <w:rFonts w:ascii="宋体" w:eastAsia="宋体" w:hAnsi="宋体" w:hint="eastAsia"/>
          <w:w w:val="100"/>
          <w:szCs w:val="21"/>
        </w:rPr>
        <w:t>中小企业</w:t>
      </w:r>
      <w:r>
        <w:rPr>
          <w:rFonts w:ascii="宋体" w:eastAsia="宋体" w:hAnsi="宋体" w:hint="eastAsia"/>
          <w:w w:val="100"/>
          <w:szCs w:val="21"/>
          <w:lang w:eastAsia="zh-CN"/>
        </w:rPr>
        <w:t>的采</w:t>
      </w:r>
      <w:r>
        <w:rPr>
          <w:rFonts w:ascii="宋体" w:eastAsia="宋体" w:hAnsi="宋体" w:hint="eastAsia"/>
          <w:w w:val="100"/>
          <w:szCs w:val="21"/>
          <w:shd w:val="clear" w:color="auto" w:fill="auto"/>
          <w:lang w:eastAsia="zh-CN"/>
        </w:rPr>
        <w:t>购</w:t>
      </w:r>
      <w:r>
        <w:rPr>
          <w:rFonts w:ascii="宋体" w:eastAsia="宋体" w:hAnsi="宋体" w:hint="eastAsia"/>
          <w:w w:val="100"/>
          <w:szCs w:val="21"/>
          <w:shd w:val="clear" w:color="auto" w:fill="auto"/>
        </w:rPr>
        <w:t>合同</w:t>
      </w:r>
      <w:r>
        <w:rPr>
          <w:rFonts w:ascii="宋体" w:eastAsia="宋体" w:hAnsi="宋体" w:hint="eastAsia"/>
          <w:w w:val="100"/>
          <w:szCs w:val="21"/>
          <w:shd w:val="clear" w:color="auto" w:fill="auto"/>
          <w:lang w:eastAsia="zh-CN"/>
        </w:rPr>
        <w:t>（中小企业预留合同）</w:t>
      </w:r>
      <w:r>
        <w:rPr>
          <w:rFonts w:ascii="宋体" w:eastAsia="宋体" w:hAnsi="宋体" w:hint="eastAsia"/>
          <w:szCs w:val="21"/>
          <w:shd w:val="clear" w:color="auto" w:fill="auto"/>
        </w:rPr>
        <w:t>：</w:t>
      </w:r>
      <w:r>
        <w:rPr>
          <w:rFonts w:ascii="Wingdings" w:eastAsia="宋体" w:hAnsi="Wingdings" w:hint="eastAsia"/>
          <w:iCs/>
          <w:szCs w:val="21"/>
        </w:rPr>
        <w:t>¨</w:t>
      </w:r>
      <w:r>
        <w:rPr>
          <w:rFonts w:ascii="宋体" w:eastAsia="宋体" w:hAnsi="宋体" w:hint="eastAsia"/>
          <w:iCs/>
          <w:szCs w:val="21"/>
        </w:rPr>
        <w:t xml:space="preserve">是 </w:t>
      </w:r>
      <w:r>
        <w:rPr>
          <w:rFonts w:ascii="宋体" w:eastAsia="宋体" w:hAnsi="宋体" w:hint="eastAsia"/>
          <w:iCs/>
          <w:szCs w:val="21"/>
          <w:lang w:val="en-US" w:eastAsia="zh-CN"/>
        </w:rPr>
        <w:t xml:space="preserve">  </w:t>
      </w:r>
      <w:r>
        <w:rPr>
          <w:rFonts w:ascii="宋体" w:eastAsia="宋体" w:hAnsi="宋体" w:hint="eastAsia"/>
          <w:iCs/>
          <w:szCs w:val="21"/>
        </w:rPr>
        <w:t xml:space="preserve"> </w:t>
      </w:r>
      <w:r>
        <w:rPr>
          <w:rFonts w:ascii="Wingdings" w:eastAsia="宋体" w:hAnsi="Wingdings" w:hint="eastAsia"/>
          <w:iCs/>
          <w:szCs w:val="21"/>
        </w:rPr>
        <w:t>¨</w:t>
      </w:r>
      <w:r>
        <w:rPr>
          <w:rFonts w:ascii="宋体" w:eastAsia="宋体" w:hAnsi="宋体" w:hint="eastAsia"/>
          <w:iCs/>
          <w:szCs w:val="21"/>
        </w:rPr>
        <w:t>否</w:t>
      </w:r>
    </w:p>
    <w:p>
      <w:pPr>
        <w:numPr>
          <w:ilvl w:val="255"/>
          <w:numId w:val="0"/>
        </w:numPr>
        <w:adjustRightInd w:val="0"/>
        <w:snapToGrid w:val="0"/>
        <w:spacing w:before="0" w:beforeLines="0" w:line="400" w:lineRule="exact"/>
        <w:ind w:firstLine="0" w:firstLineChars="0"/>
        <w:outlineLvl w:val="9"/>
        <w:rPr>
          <w:rFonts w:ascii="宋体" w:eastAsia="宋体" w:hAnsi="宋体" w:hint="eastAsia"/>
          <w:iCs/>
          <w:szCs w:val="21"/>
        </w:rPr>
      </w:pPr>
      <w:r>
        <w:rPr>
          <w:rFonts w:eastAsia="宋体" w:hint="eastAsia"/>
          <w:lang w:val="en-US" w:eastAsia="zh-CN"/>
        </w:rPr>
        <w:t xml:space="preserve">         若本项目不专门面向中小企业采购，是否给予小微企业评审优惠：</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numPr>
          <w:ilvl w:val="255"/>
          <w:numId w:val="0"/>
        </w:numPr>
        <w:adjustRightInd w:val="0"/>
        <w:snapToGrid w:val="0"/>
        <w:spacing w:before="0" w:beforeLines="0" w:line="400" w:lineRule="exact"/>
        <w:ind w:firstLine="0" w:firstLineChars="0"/>
        <w:outlineLvl w:val="9"/>
        <w:rPr>
          <w:rFonts w:ascii="宋体" w:eastAsia="宋体" w:hAnsi="宋体" w:hint="eastAsia"/>
          <w:iCs/>
          <w:szCs w:val="21"/>
        </w:rPr>
      </w:pPr>
      <w:r>
        <w:rPr>
          <w:rFonts w:eastAsia="宋体" w:hint="eastAsia"/>
          <w:lang w:val="en-US" w:eastAsia="zh-CN"/>
        </w:rPr>
        <w:t xml:space="preserve">         中标（成交）采购标的制造商是否为残疾人福利性单位：</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numPr>
          <w:ilvl w:val="0"/>
          <w:numId w:val="0"/>
        </w:numPr>
        <w:snapToGrid w:val="0"/>
        <w:spacing w:beforeLines="0" w:line="400" w:lineRule="exact"/>
        <w:ind w:firstLine="0" w:firstLineChars="0"/>
        <w:outlineLvl w:val="9"/>
        <w:rPr>
          <w:rFonts w:eastAsia="宋体" w:hint="default"/>
          <w:lang w:val="en-US" w:eastAsia="zh-CN"/>
        </w:rPr>
      </w:pPr>
      <w:r>
        <w:rPr>
          <w:rFonts w:eastAsia="宋体" w:hint="eastAsia"/>
          <w:lang w:val="en-US" w:eastAsia="zh-CN"/>
        </w:rPr>
        <w:t xml:space="preserve">         中标（成交）采购标的制造商是否为监狱企业：</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default"/>
          <w:szCs w:val="21"/>
          <w:lang w:eastAsia="zh-CN"/>
        </w:rPr>
        <w:t>7</w:t>
      </w:r>
      <w:r>
        <w:rPr>
          <w:rFonts w:ascii="宋体" w:eastAsia="宋体" w:hAnsi="宋体" w:hint="eastAsia"/>
          <w:szCs w:val="21"/>
        </w:rPr>
        <w:t>）合同是否分包：</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adjustRightInd w:val="0"/>
        <w:snapToGrid w:val="0"/>
        <w:spacing w:before="0" w:beforeLines="0" w:line="400" w:lineRule="exact"/>
        <w:ind w:firstLine="840" w:firstLineChars="400"/>
        <w:outlineLvl w:val="9"/>
        <w:rPr>
          <w:rFonts w:ascii="宋体" w:eastAsia="宋体" w:hAnsi="宋体" w:hint="eastAsia"/>
          <w:szCs w:val="21"/>
          <w:u w:val="single"/>
        </w:rPr>
      </w:pPr>
      <w:r>
        <w:rPr>
          <w:rFonts w:ascii="宋体" w:eastAsia="宋体" w:hAnsi="宋体" w:hint="eastAsia"/>
          <w:szCs w:val="21"/>
          <w:lang w:val="en-US" w:eastAsia="zh-CN"/>
        </w:rPr>
        <w:t xml:space="preserve"> </w:t>
      </w:r>
      <w:r>
        <w:rPr>
          <w:rFonts w:ascii="宋体" w:eastAsia="宋体" w:hAnsi="宋体" w:hint="eastAsia"/>
          <w:szCs w:val="21"/>
        </w:rPr>
        <w:t>分包主要内容：</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beforeLines="0" w:line="400" w:lineRule="exact"/>
        <w:ind w:firstLine="840" w:firstLineChars="400"/>
        <w:outlineLvl w:val="9"/>
        <w:rPr>
          <w:rFonts w:ascii="宋体" w:eastAsia="宋体" w:hAnsi="宋体" w:hint="eastAsia"/>
          <w:szCs w:val="21"/>
          <w:highlight w:val="none"/>
        </w:rPr>
      </w:pPr>
      <w:r>
        <w:rPr>
          <w:rFonts w:ascii="宋体" w:eastAsia="宋体" w:hAnsi="宋体" w:hint="eastAsia"/>
          <w:szCs w:val="21"/>
          <w:u w:val="none"/>
          <w:lang w:val="en-US" w:eastAsia="zh-CN"/>
        </w:rPr>
        <w:t xml:space="preserve"> </w:t>
      </w:r>
      <w:r>
        <w:rPr>
          <w:rFonts w:ascii="宋体" w:eastAsia="宋体" w:hAnsi="宋体" w:hint="eastAsia"/>
          <w:szCs w:val="21"/>
        </w:rPr>
        <w:t>分包</w:t>
      </w:r>
      <w:r>
        <w:rPr>
          <w:rFonts w:ascii="宋体" w:eastAsia="宋体" w:hAnsi="宋体" w:hint="eastAsia"/>
          <w:szCs w:val="21"/>
          <w:highlight w:val="none"/>
        </w:rPr>
        <w:t>供应商</w:t>
      </w:r>
      <w:r>
        <w:rPr>
          <w:rFonts w:ascii="宋体" w:eastAsia="宋体" w:hAnsi="宋体" w:hint="eastAsia"/>
          <w:szCs w:val="21"/>
          <w:highlight w:val="none"/>
          <w:lang w:eastAsia="zh-CN"/>
        </w:rPr>
        <w:t>/制造商</w:t>
      </w:r>
      <w:r>
        <w:rPr>
          <w:rFonts w:ascii="宋体" w:eastAsia="宋体" w:hAnsi="宋体" w:hint="eastAsia"/>
          <w:szCs w:val="21"/>
          <w:highlight w:val="none"/>
        </w:rPr>
        <w:t>名称</w:t>
      </w:r>
      <w:r>
        <w:rPr>
          <w:rFonts w:ascii="宋体" w:eastAsia="宋体" w:hAnsi="宋体" w:hint="eastAsia"/>
          <w:szCs w:val="21"/>
          <w:highlight w:val="none"/>
          <w:lang w:eastAsia="zh-CN"/>
        </w:rPr>
        <w:t>（如供应商和制造商不同，请分别填写）</w:t>
      </w:r>
      <w:r>
        <w:rPr>
          <w:rFonts w:ascii="宋体" w:eastAsia="宋体" w:hAnsi="宋体" w:hint="eastAsia"/>
          <w:szCs w:val="21"/>
          <w:highlight w:val="none"/>
        </w:rPr>
        <w:t>：</w:t>
      </w:r>
    </w:p>
    <w:p>
      <w:pPr>
        <w:adjustRightInd w:val="0"/>
        <w:snapToGrid w:val="0"/>
        <w:spacing w:before="0" w:beforeLines="0" w:line="400" w:lineRule="exact"/>
        <w:ind w:firstLine="840" w:firstLineChars="400"/>
        <w:outlineLvl w:val="9"/>
        <w:rPr>
          <w:rFonts w:ascii="宋体" w:eastAsia="宋体" w:hAnsi="宋体"/>
          <w:szCs w:val="21"/>
          <w:highlight w:val="none"/>
          <w:u w:val="single"/>
        </w:rPr>
      </w:pPr>
      <w:r>
        <w:rPr>
          <w:rFonts w:ascii="宋体" w:eastAsia="宋体" w:hAnsi="宋体" w:hint="eastAsia"/>
          <w:szCs w:val="21"/>
          <w:highlight w:val="none"/>
          <w:u w:val="none"/>
        </w:rPr>
        <w:t xml:space="preserve"> </w:t>
      </w:r>
      <w:r>
        <w:rPr>
          <w:rFonts w:ascii="宋体" w:eastAsia="宋体" w:hAnsi="宋体" w:hint="eastAsia"/>
          <w:szCs w:val="21"/>
          <w:highlight w:val="none"/>
          <w:u w:val="single"/>
          <w:lang w:val="en-US" w:eastAsia="zh-CN"/>
        </w:rPr>
        <w:t xml:space="preserve">  </w:t>
      </w:r>
      <w:r>
        <w:rPr>
          <w:rFonts w:ascii="宋体" w:eastAsia="宋体" w:hAnsi="宋体" w:hint="eastAsia"/>
          <w:szCs w:val="21"/>
          <w:highlight w:val="none"/>
          <w:u w:val="single"/>
        </w:rPr>
        <w:t xml:space="preserve">                                 </w:t>
      </w:r>
      <w:r>
        <w:rPr>
          <w:rFonts w:ascii="宋体" w:eastAsia="宋体" w:hAnsi="宋体" w:hint="eastAsia"/>
          <w:szCs w:val="21"/>
          <w:highlight w:val="none"/>
          <w:u w:val="single"/>
          <w:lang w:val="en-US" w:eastAsia="zh-CN"/>
        </w:rPr>
        <w:t xml:space="preserve">                       </w:t>
      </w:r>
    </w:p>
    <w:p>
      <w:pPr>
        <w:adjustRightInd w:val="0"/>
        <w:snapToGrid w:val="0"/>
        <w:spacing w:before="0" w:beforeLines="0" w:line="400" w:lineRule="exact"/>
        <w:ind w:firstLine="840" w:firstLineChars="400"/>
        <w:outlineLvl w:val="9"/>
        <w:rPr>
          <w:rFonts w:ascii="宋体" w:eastAsia="宋体" w:hAnsi="宋体" w:hint="eastAsia"/>
          <w:szCs w:val="21"/>
        </w:rPr>
      </w:pPr>
      <w:r>
        <w:rPr>
          <w:rFonts w:ascii="宋体" w:eastAsia="宋体" w:hAnsi="宋体" w:hint="eastAsia"/>
          <w:szCs w:val="21"/>
          <w:highlight w:val="none"/>
          <w:lang w:val="en-US" w:eastAsia="zh-CN"/>
        </w:rPr>
        <w:t xml:space="preserve"> </w:t>
      </w:r>
      <w:r>
        <w:rPr>
          <w:rFonts w:ascii="宋体" w:eastAsia="宋体" w:hAnsi="宋体" w:hint="eastAsia"/>
          <w:szCs w:val="21"/>
          <w:highlight w:val="none"/>
        </w:rPr>
        <w:t>分包供应商</w:t>
      </w:r>
      <w:r>
        <w:rPr>
          <w:rFonts w:ascii="宋体" w:eastAsia="宋体" w:hAnsi="宋体" w:hint="eastAsia"/>
          <w:szCs w:val="21"/>
          <w:highlight w:val="none"/>
          <w:lang w:val="en-US" w:eastAsia="zh-CN"/>
        </w:rPr>
        <w:t>/</w:t>
      </w:r>
      <w:r>
        <w:rPr>
          <w:rFonts w:ascii="宋体" w:eastAsia="宋体" w:hAnsi="宋体" w:hint="eastAsia"/>
          <w:szCs w:val="21"/>
          <w:highlight w:val="none"/>
          <w:lang w:eastAsia="zh-CN"/>
        </w:rPr>
        <w:t>制造商</w:t>
      </w:r>
      <w:r>
        <w:rPr>
          <w:rFonts w:ascii="宋体" w:eastAsia="宋体" w:hAnsi="宋体" w:hint="eastAsia"/>
          <w:szCs w:val="21"/>
        </w:rPr>
        <w:t>类型</w:t>
      </w:r>
      <w:r>
        <w:rPr>
          <w:rFonts w:ascii="宋体" w:eastAsia="宋体" w:hAnsi="宋体" w:hint="eastAsia"/>
          <w:szCs w:val="21"/>
          <w:highlight w:val="none"/>
          <w:lang w:eastAsia="zh-CN"/>
        </w:rPr>
        <w:t>（如果供应商和制造商不同，只填写制造商类型）</w:t>
      </w:r>
      <w:r>
        <w:rPr>
          <w:rFonts w:ascii="宋体" w:eastAsia="宋体" w:hAnsi="宋体" w:hint="eastAsia"/>
          <w:szCs w:val="21"/>
        </w:rPr>
        <w:t>：</w:t>
      </w:r>
    </w:p>
    <w:p>
      <w:pPr>
        <w:adjustRightInd w:val="0"/>
        <w:snapToGrid w:val="0"/>
        <w:spacing w:beforeLines="0" w:line="400" w:lineRule="exact"/>
        <w:ind w:firstLine="840" w:firstLineChars="40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rPr>
        <w:t xml:space="preserve">大型企业  </w:t>
      </w:r>
      <w:r>
        <w:rPr>
          <w:rFonts w:ascii="Wingdings" w:eastAsia="宋体" w:hAnsi="Wingdings" w:hint="eastAsia"/>
          <w:iCs/>
          <w:szCs w:val="21"/>
        </w:rPr>
        <w:t>¨</w:t>
      </w:r>
      <w:r>
        <w:rPr>
          <w:rFonts w:ascii="宋体" w:eastAsia="宋体" w:hAnsi="宋体" w:hint="eastAsia"/>
          <w:iCs/>
          <w:szCs w:val="21"/>
        </w:rPr>
        <w:t xml:space="preserve">中型企业  </w:t>
      </w:r>
      <w:r>
        <w:rPr>
          <w:rFonts w:ascii="Wingdings" w:eastAsia="宋体" w:hAnsi="Wingdings" w:hint="eastAsia"/>
          <w:iCs/>
          <w:szCs w:val="21"/>
        </w:rPr>
        <w:t>¨</w:t>
      </w:r>
      <w:r>
        <w:rPr>
          <w:rFonts w:ascii="宋体" w:eastAsia="宋体" w:hAnsi="宋体" w:hint="eastAsia"/>
          <w:iCs/>
          <w:szCs w:val="21"/>
        </w:rPr>
        <w:t>小微型企业</w:t>
      </w:r>
      <w:r>
        <w:rPr>
          <w:rFonts w:ascii="宋体" w:eastAsia="宋体" w:hAnsi="宋体" w:hint="eastAsia"/>
          <w:iCs/>
          <w:szCs w:val="21"/>
          <w:lang w:val="en-US" w:eastAsia="zh-CN"/>
        </w:rPr>
        <w:t xml:space="preserve">  </w:t>
      </w:r>
    </w:p>
    <w:p>
      <w:pPr>
        <w:adjustRightInd w:val="0"/>
        <w:snapToGrid w:val="0"/>
        <w:spacing w:beforeLines="0" w:line="400" w:lineRule="exact"/>
        <w:ind w:firstLine="840" w:firstLineChars="400"/>
        <w:outlineLvl w:val="9"/>
        <w:rPr>
          <w:rFonts w:eastAsia="华文楷体" w:hint="default"/>
          <w:u w:val="none"/>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残疾人福利性单位</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监狱</w:t>
      </w:r>
      <w:r>
        <w:rPr>
          <w:rFonts w:ascii="宋体" w:eastAsia="宋体" w:hAnsi="宋体" w:hint="eastAsia"/>
          <w:iCs/>
          <w:szCs w:val="21"/>
        </w:rPr>
        <w:t>企业</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其他</w:t>
      </w:r>
    </w:p>
    <w:p>
      <w:pPr>
        <w:numPr>
          <w:ilvl w:val="255"/>
          <w:numId w:val="0"/>
        </w:numPr>
        <w:adjustRightInd w:val="0"/>
        <w:snapToGrid w:val="0"/>
        <w:spacing w:before="0" w:beforeLines="0" w:line="400" w:lineRule="exact"/>
        <w:ind w:left="0" w:firstLine="0" w:leftChars="0" w:firstLineChars="0"/>
        <w:outlineLvl w:val="9"/>
        <w:rPr>
          <w:rFonts w:ascii="宋体" w:eastAsia="宋体" w:hAnsi="宋体" w:cs="宋体" w:hint="eastAsia"/>
          <w:iCs/>
          <w:szCs w:val="21"/>
          <w:highlight w:val="none"/>
        </w:rPr>
      </w:pPr>
      <w:r>
        <w:rPr>
          <w:rFonts w:ascii="宋体" w:eastAsia="宋体" w:hAnsi="宋体" w:hint="eastAsia"/>
          <w:szCs w:val="21"/>
          <w:highlight w:val="none"/>
          <w:u w:val="none"/>
          <w:lang w:val="en-US" w:eastAsia="zh-CN"/>
        </w:rPr>
        <w:t xml:space="preserve">    </w:t>
      </w:r>
      <w:r>
        <w:rPr>
          <w:rFonts w:ascii="宋体" w:eastAsia="宋体" w:hAnsi="宋体" w:cs="宋体" w:hint="eastAsia"/>
          <w:szCs w:val="21"/>
          <w:highlight w:val="none"/>
          <w:u w:val="none"/>
          <w:lang w:val="en-US" w:eastAsia="zh-CN"/>
        </w:rPr>
        <w:t>（</w:t>
      </w:r>
      <w:r>
        <w:rPr>
          <w:rFonts w:ascii="宋体" w:eastAsia="宋体" w:hAnsi="宋体" w:cs="宋体" w:hint="default"/>
          <w:szCs w:val="21"/>
          <w:highlight w:val="none"/>
          <w:u w:val="none"/>
          <w:lang w:eastAsia="zh-CN"/>
        </w:rPr>
        <w:t>8</w:t>
      </w:r>
      <w:r>
        <w:rPr>
          <w:rFonts w:ascii="宋体" w:eastAsia="宋体" w:hAnsi="宋体" w:cs="宋体" w:hint="eastAsia"/>
          <w:szCs w:val="21"/>
          <w:highlight w:val="none"/>
          <w:u w:val="none"/>
          <w:lang w:val="en-US" w:eastAsia="zh-CN"/>
        </w:rPr>
        <w:t>）中标（成交）供应商是否为外商投资企业：</w:t>
      </w:r>
      <w:r>
        <w:rPr>
          <w:rFonts w:ascii="Wingdings" w:eastAsia="宋体" w:hAnsi="Wingdings" w:cs="宋体" w:hint="eastAsia"/>
          <w:iCs/>
          <w:szCs w:val="21"/>
          <w:highlight w:val="none"/>
        </w:rPr>
        <w:t>¨</w:t>
      </w:r>
      <w:r>
        <w:rPr>
          <w:rFonts w:ascii="宋体" w:eastAsia="宋体" w:hAnsi="宋体" w:cs="宋体" w:hint="eastAsia"/>
          <w:iCs/>
          <w:szCs w:val="21"/>
          <w:highlight w:val="none"/>
        </w:rPr>
        <w:t xml:space="preserve">是       </w:t>
      </w:r>
      <w:r>
        <w:rPr>
          <w:rFonts w:ascii="Wingdings" w:eastAsia="宋体" w:hAnsi="Wingdings" w:cs="宋体" w:hint="eastAsia"/>
          <w:iCs/>
          <w:szCs w:val="21"/>
          <w:highlight w:val="none"/>
        </w:rPr>
        <w:t>¨</w:t>
      </w:r>
      <w:r>
        <w:rPr>
          <w:rFonts w:ascii="宋体" w:eastAsia="宋体" w:hAnsi="宋体" w:cs="宋体" w:hint="eastAsia"/>
          <w:iCs/>
          <w:szCs w:val="21"/>
          <w:highlight w:val="none"/>
        </w:rPr>
        <w:t>否</w:t>
      </w:r>
    </w:p>
    <w:p>
      <w:pPr>
        <w:tabs>
          <w:tab w:val="left" w:pos="1340"/>
        </w:tabs>
        <w:autoSpaceDE w:val="0"/>
        <w:autoSpaceDN w:val="0"/>
        <w:adjustRightInd w:val="0"/>
        <w:spacing w:beforeLines="0" w:line="400" w:lineRule="exact"/>
        <w:ind w:firstLine="420" w:firstLineChars="200"/>
        <w:outlineLvl w:val="9"/>
        <w:rPr>
          <w:rFonts w:ascii="宋体" w:eastAsia="宋体" w:hAnsi="宋体" w:cs="宋体" w:hint="eastAsia"/>
          <w:sz w:val="21"/>
          <w:szCs w:val="21"/>
          <w:highlight w:val="none"/>
          <w:u w:val="single"/>
          <w:lang w:val="en-US" w:eastAsia="zh-CN" w:bidi="ar-SA"/>
        </w:rPr>
      </w:pPr>
      <w:r>
        <w:rPr>
          <w:rFonts w:ascii="宋体" w:eastAsia="宋体" w:hAnsi="宋体" w:cs="宋体" w:hint="eastAsia"/>
          <w:sz w:val="21"/>
          <w:szCs w:val="21"/>
          <w:highlight w:val="none"/>
          <w:u w:val="none"/>
          <w:lang w:val="en-US" w:eastAsia="zh-CN" w:bidi="ar-SA"/>
        </w:rPr>
        <w:t xml:space="preserve">     外商投资企业类型：</w:t>
      </w:r>
      <w:r>
        <w:rPr>
          <w:rFonts w:ascii="Wingdings" w:eastAsia="宋体" w:hAnsi="Wingdings" w:cs="宋体" w:hint="eastAsia"/>
          <w:iCs/>
          <w:sz w:val="21"/>
          <w:szCs w:val="21"/>
          <w:highlight w:val="none"/>
          <w:lang w:val="en-US" w:eastAsia="zh-CN" w:bidi="ar-SA"/>
        </w:rPr>
        <w:t>¨</w:t>
      </w:r>
      <w:r>
        <w:rPr>
          <w:rFonts w:ascii="宋体" w:eastAsia="宋体" w:hAnsi="宋体" w:cs="宋体" w:hint="eastAsia"/>
          <w:sz w:val="21"/>
          <w:szCs w:val="21"/>
          <w:highlight w:val="none"/>
          <w:u w:val="none"/>
          <w:lang w:val="en-US" w:eastAsia="zh-CN" w:bidi="ar-SA"/>
        </w:rPr>
        <w:t xml:space="preserve">全部由外国投资者投资  </w:t>
      </w:r>
      <w:r>
        <w:rPr>
          <w:rFonts w:ascii="Wingdings" w:eastAsia="宋体" w:hAnsi="Wingdings" w:cs="宋体" w:hint="eastAsia"/>
          <w:iCs/>
          <w:sz w:val="21"/>
          <w:szCs w:val="21"/>
          <w:highlight w:val="none"/>
          <w:lang w:val="en-US" w:eastAsia="zh-CN" w:bidi="ar-SA"/>
        </w:rPr>
        <w:t>¨</w:t>
      </w:r>
      <w:r>
        <w:rPr>
          <w:rFonts w:ascii="宋体" w:eastAsia="宋体" w:hAnsi="宋体" w:cs="宋体" w:hint="eastAsia"/>
          <w:iCs/>
          <w:sz w:val="21"/>
          <w:szCs w:val="21"/>
          <w:highlight w:val="none"/>
          <w:lang w:val="en-US" w:eastAsia="zh-CN" w:bidi="ar-SA"/>
        </w:rPr>
        <w:t>部分由外国投资者投资</w:t>
      </w:r>
    </w:p>
    <w:p>
      <w:pPr>
        <w:numPr>
          <w:ilvl w:val="255"/>
          <w:numId w:val="0"/>
        </w:numPr>
        <w:adjustRightInd w:val="0"/>
        <w:snapToGrid w:val="0"/>
        <w:spacing w:before="0" w:beforeLines="0" w:line="400" w:lineRule="exact"/>
        <w:ind w:firstLine="420" w:firstLineChars="200"/>
        <w:outlineLvl w:val="9"/>
        <w:rPr>
          <w:rFonts w:ascii="宋体" w:eastAsia="宋体" w:hAnsi="宋体" w:cs="宋体" w:hint="eastAsia"/>
          <w:b w:val="0"/>
          <w:bCs w:val="0"/>
          <w:sz w:val="21"/>
          <w:szCs w:val="21"/>
          <w:u w:val="none"/>
          <w:lang w:val="en-US" w:eastAsia="zh-CN"/>
        </w:rPr>
      </w:pPr>
      <w:r>
        <w:rPr>
          <w:rFonts w:ascii="宋体" w:eastAsia="宋体" w:hAnsi="宋体" w:cs="宋体" w:hint="eastAsia"/>
          <w:b w:val="0"/>
          <w:bCs w:val="0"/>
          <w:sz w:val="21"/>
          <w:szCs w:val="21"/>
          <w:u w:val="none"/>
          <w:lang w:val="en-US" w:eastAsia="zh-CN"/>
        </w:rPr>
        <w:t>（</w:t>
      </w:r>
      <w:r>
        <w:rPr>
          <w:rFonts w:ascii="宋体" w:eastAsia="宋体" w:hAnsi="宋体" w:cs="宋体" w:hint="default"/>
          <w:b w:val="0"/>
          <w:bCs w:val="0"/>
          <w:sz w:val="21"/>
          <w:szCs w:val="21"/>
          <w:u w:val="none"/>
          <w:lang w:eastAsia="zh-CN"/>
        </w:rPr>
        <w:t>9</w:t>
      </w:r>
      <w:r>
        <w:rPr>
          <w:rFonts w:ascii="宋体" w:eastAsia="宋体" w:hAnsi="宋体" w:cs="宋体" w:hint="eastAsia"/>
          <w:b w:val="0"/>
          <w:bCs w:val="0"/>
          <w:sz w:val="21"/>
          <w:szCs w:val="21"/>
          <w:u w:val="none"/>
          <w:lang w:val="en-US" w:eastAsia="zh-CN"/>
        </w:rPr>
        <w:t>）是否涉及进口产品：</w:t>
      </w:r>
    </w:p>
    <w:p>
      <w:pPr>
        <w:numPr>
          <w:ilvl w:val="255"/>
          <w:numId w:val="0"/>
        </w:numPr>
        <w:adjustRightInd w:val="0"/>
        <w:snapToGrid w:val="0"/>
        <w:spacing w:before="0" w:beforeLines="0" w:line="400" w:lineRule="exact"/>
        <w:ind w:firstLine="840" w:firstLineChars="400"/>
        <w:outlineLvl w:val="9"/>
        <w:rPr>
          <w:rFonts w:ascii="宋体" w:eastAsia="宋体" w:hAnsi="宋体" w:cs="宋体" w:hint="eastAsia"/>
          <w:szCs w:val="21"/>
          <w:u w:val="single"/>
          <w:lang w:val="en-US" w:eastAsia="zh-CN"/>
        </w:rPr>
      </w:pPr>
      <w:r>
        <w:rPr>
          <w:rFonts w:ascii="宋体" w:eastAsia="宋体" w:hAnsi="宋体" w:cs="宋体" w:hint="eastAsia"/>
          <w:iCs w:val="0"/>
          <w:szCs w:val="21"/>
          <w:lang w:val="en-US" w:eastAsia="zh-CN"/>
        </w:rPr>
        <w:t xml:space="preserve"> </w:t>
      </w:r>
      <w:r>
        <w:rPr>
          <w:rFonts w:ascii="Wingdings" w:eastAsia="宋体" w:hAnsi="Wingdings" w:cs="宋体" w:hint="eastAsia"/>
          <w:iCs w:val="0"/>
          <w:szCs w:val="21"/>
        </w:rPr>
        <w:t>¨</w:t>
      </w:r>
      <w:r>
        <w:rPr>
          <w:rFonts w:ascii="宋体" w:eastAsia="宋体" w:hAnsi="宋体" w:cs="宋体" w:hint="eastAsia"/>
          <w:iCs w:val="0"/>
          <w:szCs w:val="21"/>
        </w:rPr>
        <w:t>是</w:t>
      </w:r>
      <w:r>
        <w:rPr>
          <w:rFonts w:ascii="宋体" w:eastAsia="宋体" w:hAnsi="宋体" w:cs="宋体" w:hint="eastAsia"/>
          <w:iCs w:val="0"/>
          <w:szCs w:val="21"/>
          <w:lang w:eastAsia="zh-CN"/>
        </w:rPr>
        <w:t>，《政府采购品目分类目录》底级品目名称</w:t>
      </w:r>
      <w:r>
        <w:rPr>
          <w:rFonts w:ascii="宋体" w:eastAsia="宋体" w:hAnsi="宋体" w:cs="宋体" w:hint="eastAsia"/>
          <w:szCs w:val="21"/>
          <w:lang w:val="en-US" w:eastAsia="zh-CN"/>
        </w:rPr>
        <w:t>：</w:t>
      </w:r>
      <w:r>
        <w:rPr>
          <w:rFonts w:ascii="宋体" w:eastAsia="宋体" w:hAnsi="宋体" w:cs="宋体" w:hint="eastAsia"/>
          <w:szCs w:val="21"/>
          <w:u w:val="single"/>
          <w:lang w:val="en-US" w:eastAsia="zh-CN"/>
        </w:rPr>
        <w:t xml:space="preserve">         </w:t>
      </w:r>
      <w:r>
        <w:rPr>
          <w:rFonts w:ascii="宋体" w:eastAsia="宋体" w:hAnsi="宋体" w:cs="宋体" w:hint="eastAsia"/>
          <w:szCs w:val="21"/>
          <w:lang w:val="en-US" w:eastAsia="zh-CN"/>
        </w:rPr>
        <w:t xml:space="preserve"> 金额：</w:t>
      </w:r>
      <w:r>
        <w:rPr>
          <w:rFonts w:ascii="宋体" w:eastAsia="宋体" w:hAnsi="宋体" w:cs="宋体" w:hint="eastAsia"/>
          <w:szCs w:val="21"/>
          <w:u w:val="single"/>
          <w:lang w:val="en-US" w:eastAsia="zh-CN"/>
        </w:rPr>
        <w:t xml:space="preserve">        </w:t>
      </w:r>
    </w:p>
    <w:p>
      <w:pPr>
        <w:numPr>
          <w:ilvl w:val="255"/>
          <w:numId w:val="0"/>
        </w:numPr>
        <w:adjustRightInd w:val="0"/>
        <w:snapToGrid w:val="0"/>
        <w:spacing w:before="0" w:beforeLines="0" w:line="400" w:lineRule="exact"/>
        <w:ind w:firstLine="840" w:firstLineChars="400"/>
        <w:outlineLvl w:val="9"/>
        <w:rPr>
          <w:rFonts w:ascii="宋体" w:eastAsia="宋体" w:hAnsi="宋体" w:hint="eastAsia"/>
          <w:iCs w:val="0"/>
          <w:szCs w:val="21"/>
        </w:rPr>
      </w:pPr>
      <w:r>
        <w:rPr>
          <w:rFonts w:ascii="宋体" w:eastAsia="宋体" w:hAnsi="宋体" w:cs="宋体" w:hint="eastAsia"/>
          <w:szCs w:val="21"/>
          <w:lang w:val="en-US" w:eastAsia="zh-CN"/>
        </w:rPr>
        <w:t xml:space="preserve">        国别：</w:t>
      </w:r>
      <w:r>
        <w:rPr>
          <w:rFonts w:ascii="宋体" w:eastAsia="宋体" w:hAnsi="宋体" w:cs="宋体" w:hint="eastAsia"/>
          <w:szCs w:val="21"/>
          <w:u w:val="single"/>
          <w:lang w:val="en-US" w:eastAsia="zh-CN"/>
        </w:rPr>
        <w:t xml:space="preserve">        </w:t>
      </w:r>
      <w:r>
        <w:rPr>
          <w:rFonts w:ascii="宋体" w:eastAsia="宋体" w:hAnsi="宋体" w:cs="宋体" w:hint="eastAsia"/>
          <w:szCs w:val="21"/>
          <w:lang w:val="en-US" w:eastAsia="zh-CN"/>
        </w:rPr>
        <w:t xml:space="preserve"> 品牌：</w:t>
      </w:r>
      <w:r>
        <w:rPr>
          <w:rFonts w:ascii="宋体" w:eastAsia="宋体" w:hAnsi="宋体" w:cs="宋体" w:hint="eastAsia"/>
          <w:szCs w:val="21"/>
          <w:u w:val="single"/>
          <w:lang w:val="en-US" w:eastAsia="zh-CN"/>
        </w:rPr>
        <w:t xml:space="preserve">        </w:t>
      </w:r>
      <w:r>
        <w:rPr>
          <w:rFonts w:ascii="宋体" w:eastAsia="宋体" w:hAnsi="宋体" w:cs="宋体" w:hint="eastAsia"/>
          <w:szCs w:val="21"/>
          <w:u w:val="none"/>
          <w:lang w:val="en-US" w:eastAsia="zh-CN"/>
        </w:rPr>
        <w:t xml:space="preserve"> 规格型号：</w:t>
      </w:r>
      <w:r>
        <w:rPr>
          <w:rFonts w:ascii="宋体" w:eastAsia="宋体" w:hAnsi="宋体" w:cs="宋体" w:hint="eastAsia"/>
          <w:szCs w:val="21"/>
          <w:u w:val="single"/>
          <w:lang w:val="en-US" w:eastAsia="zh-CN"/>
        </w:rPr>
        <w:t xml:space="preserve">        </w:t>
      </w:r>
      <w:r>
        <w:rPr>
          <w:rFonts w:ascii="宋体" w:eastAsia="宋体" w:hAnsi="宋体" w:hint="eastAsia"/>
          <w:iCs w:val="0"/>
          <w:szCs w:val="21"/>
        </w:rPr>
        <w:t xml:space="preserve">      </w:t>
      </w:r>
    </w:p>
    <w:p>
      <w:pPr>
        <w:adjustRightInd w:val="0"/>
        <w:snapToGrid w:val="0"/>
        <w:spacing w:before="0" w:beforeLines="0" w:line="400" w:lineRule="exact"/>
        <w:ind w:firstLine="840" w:firstLineChars="400"/>
        <w:outlineLvl w:val="9"/>
        <w:rPr>
          <w:rFonts w:ascii="宋体" w:eastAsia="宋体" w:hAnsi="宋体" w:hint="eastAsia"/>
          <w:szCs w:val="21"/>
          <w:u w:val="none"/>
          <w:lang w:val="en-US" w:eastAsia="zh-CN"/>
        </w:rPr>
      </w:pPr>
      <w:r>
        <w:rPr>
          <w:rFonts w:ascii="宋体" w:eastAsia="宋体" w:hAnsi="宋体" w:hint="eastAsia"/>
          <w:iCs w:val="0"/>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lang w:eastAsia="zh-CN"/>
        </w:rPr>
        <w:t>否</w:t>
      </w:r>
    </w:p>
    <w:p>
      <w:pPr>
        <w:numPr>
          <w:ilvl w:val="255"/>
          <w:numId w:val="0"/>
        </w:numPr>
        <w:tabs>
          <w:tab w:val="left" w:pos="740"/>
        </w:tabs>
        <w:adjustRightInd w:val="0"/>
        <w:snapToGrid w:val="0"/>
        <w:spacing w:before="0" w:beforeLines="0" w:line="400" w:lineRule="exact"/>
        <w:ind w:left="0" w:firstLine="0" w:firstLineChars="0"/>
        <w:outlineLvl w:val="9"/>
        <w:rPr>
          <w:rFonts w:ascii="宋体" w:eastAsia="宋体" w:hAnsi="宋体" w:hint="eastAsia"/>
          <w:b w:val="0"/>
          <w:bCs w:val="0"/>
          <w:sz w:val="21"/>
          <w:szCs w:val="21"/>
          <w:u w:val="none"/>
          <w:lang w:val="en-US" w:eastAsia="zh-CN"/>
        </w:rPr>
      </w:pPr>
      <w:r>
        <w:rPr>
          <w:rFonts w:ascii="宋体" w:eastAsia="宋体" w:hAnsi="宋体" w:hint="eastAsia"/>
          <w:b w:val="0"/>
          <w:bCs w:val="0"/>
          <w:sz w:val="21"/>
          <w:szCs w:val="21"/>
          <w:u w:val="none"/>
          <w:lang w:val="en-US" w:eastAsia="zh-CN"/>
        </w:rPr>
        <w:t xml:space="preserve">    （1</w:t>
      </w:r>
      <w:r>
        <w:rPr>
          <w:rFonts w:ascii="宋体" w:eastAsia="宋体" w:hAnsi="宋体" w:hint="default"/>
          <w:b w:val="0"/>
          <w:bCs w:val="0"/>
          <w:sz w:val="21"/>
          <w:szCs w:val="21"/>
          <w:u w:val="none"/>
          <w:lang w:eastAsia="zh-CN"/>
        </w:rPr>
        <w:t>0</w:t>
      </w:r>
      <w:r>
        <w:rPr>
          <w:rFonts w:ascii="宋体" w:eastAsia="宋体" w:hAnsi="宋体" w:hint="eastAsia"/>
          <w:b w:val="0"/>
          <w:bCs w:val="0"/>
          <w:sz w:val="21"/>
          <w:szCs w:val="21"/>
          <w:u w:val="none"/>
          <w:lang w:val="en-US" w:eastAsia="zh-CN"/>
        </w:rPr>
        <w:t>）是否涉及节能产品：</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szCs w:val="21"/>
          <w:lang w:val="en-US" w:eastAsia="zh-CN"/>
        </w:rPr>
      </w:pPr>
      <w:r>
        <w:rPr>
          <w:rFonts w:ascii="宋体" w:eastAsia="宋体" w:hAnsi="宋体" w:hint="eastAsia"/>
          <w:b w:val="0"/>
          <w:bCs w:val="0"/>
          <w:sz w:val="21"/>
          <w:szCs w:val="21"/>
          <w:u w:val="none"/>
          <w:lang w:val="en-US" w:eastAsia="zh-CN"/>
        </w:rPr>
        <w:t xml:space="preserve">         </w:t>
      </w:r>
      <w:r>
        <w:rPr>
          <w:rFonts w:ascii="Wingdings" w:eastAsia="宋体" w:hAnsi="Wingdings" w:hint="eastAsia"/>
          <w:iCs w:val="0"/>
          <w:szCs w:val="21"/>
        </w:rPr>
        <w:t>¨</w:t>
      </w:r>
      <w:r>
        <w:rPr>
          <w:rFonts w:ascii="宋体" w:eastAsia="宋体" w:hAnsi="宋体" w:hint="eastAsia"/>
          <w:iCs w:val="0"/>
          <w:szCs w:val="21"/>
        </w:rPr>
        <w:t>是</w:t>
      </w:r>
      <w:r>
        <w:rPr>
          <w:rFonts w:ascii="宋体" w:eastAsia="宋体" w:hAnsi="宋体" w:hint="eastAsia"/>
          <w:iCs w:val="0"/>
          <w:szCs w:val="21"/>
          <w:lang w:eastAsia="zh-CN"/>
        </w:rPr>
        <w:t>，《节能产品政府采购品目清单》的底级品目名称：</w:t>
      </w:r>
      <w:r>
        <w:rPr>
          <w:rFonts w:ascii="宋体" w:eastAsia="宋体" w:hAnsi="宋体" w:hint="eastAsia"/>
          <w:szCs w:val="21"/>
          <w:u w:val="single"/>
          <w:lang w:val="en-US" w:eastAsia="zh-CN"/>
        </w:rPr>
        <w:t xml:space="preserve">         </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强制采购</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优先采购</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val="0"/>
          <w:szCs w:val="21"/>
        </w:rPr>
      </w:pPr>
      <w:r>
        <w:rPr>
          <w:rFonts w:ascii="宋体" w:eastAsia="宋体" w:hAnsi="宋体" w:hint="eastAsia"/>
          <w:iCs/>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rPr>
        <w:t>否</w:t>
      </w:r>
    </w:p>
    <w:p>
      <w:pPr>
        <w:numPr>
          <w:ilvl w:val="255"/>
          <w:numId w:val="0"/>
        </w:numPr>
        <w:tabs>
          <w:tab w:val="left" w:pos="740"/>
        </w:tabs>
        <w:adjustRightInd w:val="0"/>
        <w:snapToGrid w:val="0"/>
        <w:spacing w:before="0" w:beforeLines="0" w:line="400" w:lineRule="exact"/>
        <w:ind w:left="0" w:firstLine="0" w:firstLineChars="0"/>
        <w:outlineLvl w:val="9"/>
        <w:rPr>
          <w:rFonts w:ascii="宋体" w:eastAsia="宋体" w:hAnsi="宋体" w:hint="eastAsia"/>
          <w:b w:val="0"/>
          <w:bCs w:val="0"/>
          <w:sz w:val="21"/>
          <w:szCs w:val="21"/>
          <w:u w:val="none"/>
          <w:lang w:val="en-US" w:eastAsia="zh-CN"/>
        </w:rPr>
      </w:pPr>
      <w:r>
        <w:rPr>
          <w:rFonts w:ascii="宋体" w:eastAsia="宋体" w:hAnsi="宋体" w:hint="eastAsia"/>
          <w:b w:val="0"/>
          <w:bCs w:val="0"/>
          <w:sz w:val="21"/>
          <w:szCs w:val="21"/>
          <w:u w:val="none"/>
          <w:lang w:val="en-US" w:eastAsia="zh-CN"/>
        </w:rPr>
        <w:t xml:space="preserve">          是否涉及环境标志产品：</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val="0"/>
          <w:szCs w:val="21"/>
          <w:lang w:eastAsia="zh-CN"/>
        </w:rPr>
      </w:pPr>
      <w:r>
        <w:rPr>
          <w:rFonts w:ascii="宋体" w:eastAsia="宋体" w:hAnsi="宋体" w:hint="eastAsia"/>
          <w:b w:val="0"/>
          <w:bCs w:val="0"/>
          <w:sz w:val="21"/>
          <w:szCs w:val="21"/>
          <w:u w:val="none"/>
          <w:lang w:val="en-US" w:eastAsia="zh-CN"/>
        </w:rPr>
        <w:t xml:space="preserve">         </w:t>
      </w:r>
      <w:r>
        <w:rPr>
          <w:rFonts w:ascii="Wingdings" w:eastAsia="宋体" w:hAnsi="Wingdings" w:hint="eastAsia"/>
          <w:iCs w:val="0"/>
          <w:szCs w:val="21"/>
        </w:rPr>
        <w:t>¨</w:t>
      </w:r>
      <w:r>
        <w:rPr>
          <w:rFonts w:ascii="宋体" w:eastAsia="宋体" w:hAnsi="宋体" w:hint="eastAsia"/>
          <w:iCs w:val="0"/>
          <w:szCs w:val="21"/>
        </w:rPr>
        <w:t>是</w:t>
      </w:r>
      <w:r>
        <w:rPr>
          <w:rFonts w:ascii="宋体" w:eastAsia="宋体" w:hAnsi="宋体" w:hint="eastAsia"/>
          <w:iCs w:val="0"/>
          <w:szCs w:val="21"/>
          <w:lang w:eastAsia="zh-CN"/>
        </w:rPr>
        <w:t>，《环境标志产品政府采购品目清单》的底级品目名称：</w:t>
      </w:r>
      <w:r>
        <w:rPr>
          <w:rFonts w:ascii="宋体" w:eastAsia="宋体" w:hAnsi="宋体" w:hint="eastAsia"/>
          <w:szCs w:val="21"/>
          <w:u w:val="single"/>
          <w:lang w:val="en-US" w:eastAsia="zh-CN"/>
        </w:rPr>
        <w:t xml:space="preserve">         </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强制采购</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优先采购</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b w:val="0"/>
          <w:bCs w:val="0"/>
          <w:sz w:val="21"/>
          <w:szCs w:val="21"/>
          <w:u w:val="none"/>
          <w:lang w:val="en-US" w:eastAsia="zh-CN"/>
        </w:rPr>
      </w:pPr>
      <w:r>
        <w:rPr>
          <w:rFonts w:ascii="宋体" w:eastAsia="宋体" w:hAnsi="宋体" w:hint="eastAsia"/>
          <w:iCs/>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rPr>
        <w:t>否</w:t>
      </w:r>
    </w:p>
    <w:p>
      <w:pPr>
        <w:numPr>
          <w:ilvl w:val="255"/>
          <w:numId w:val="0"/>
        </w:numPr>
        <w:autoSpaceDE w:val="0"/>
        <w:autoSpaceDN w:val="0"/>
        <w:adjustRightInd w:val="0"/>
        <w:snapToGrid w:val="0"/>
        <w:spacing w:before="0" w:beforeLines="0" w:line="400" w:lineRule="exact"/>
        <w:ind w:firstLine="0" w:firstLineChars="0"/>
        <w:outlineLvl w:val="9"/>
        <w:rPr>
          <w:rFonts w:ascii="宋体" w:eastAsia="宋体" w:hAnsi="宋体" w:cs="Times New Roman" w:hint="eastAsia"/>
          <w:iCs w:val="0"/>
          <w:kern w:val="2"/>
          <w:sz w:val="21"/>
          <w:szCs w:val="21"/>
          <w:u w:val="none"/>
          <w:lang w:val="en-US" w:eastAsia="zh-CN" w:bidi="ar-SA"/>
        </w:rPr>
      </w:pPr>
      <w:r>
        <w:rPr>
          <w:rFonts w:ascii="宋体" w:eastAsia="华文楷体" w:hAnsi="宋体" w:cs="华文楷体" w:hint="eastAsia"/>
          <w:b w:val="0"/>
          <w:bCs w:val="0"/>
          <w:sz w:val="21"/>
          <w:szCs w:val="21"/>
          <w:u w:val="none"/>
          <w:lang w:val="en-US" w:eastAsia="zh-CN" w:bidi="ar-SA"/>
        </w:rPr>
        <w:t xml:space="preserve">          </w:t>
      </w:r>
      <w:r>
        <w:rPr>
          <w:rFonts w:ascii="宋体" w:eastAsia="宋体" w:hAnsi="宋体" w:cs="Times New Roman" w:hint="eastAsia"/>
          <w:b w:val="0"/>
          <w:bCs w:val="0"/>
          <w:kern w:val="2"/>
          <w:sz w:val="21"/>
          <w:szCs w:val="21"/>
          <w:u w:val="none"/>
          <w:lang w:val="en-US" w:eastAsia="zh-CN" w:bidi="ar-SA"/>
        </w:rPr>
        <w:t>是否涉及绿色产品：</w:t>
      </w:r>
      <w:r>
        <w:rPr>
          <w:rFonts w:ascii="宋体" w:eastAsia="宋体" w:hAnsi="宋体" w:cs="Times New Roman" w:hint="eastAsia"/>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outlineLvl w:val="9"/>
        <w:rPr>
          <w:rFonts w:ascii="宋体" w:eastAsia="宋体" w:hAnsi="宋体" w:cs="华文楷体" w:hint="eastAsia"/>
          <w:sz w:val="22"/>
          <w:szCs w:val="21"/>
          <w:u w:val="single"/>
          <w:lang w:val="en-US" w:eastAsia="zh-CN" w:bidi="ar-SA"/>
        </w:rPr>
      </w:pPr>
      <w:r>
        <w:rPr>
          <w:rFonts w:ascii="宋体" w:eastAsia="宋体" w:hAnsi="宋体" w:cs="Times New Roman" w:hint="eastAsia"/>
          <w:iCs w:val="0"/>
          <w:kern w:val="2"/>
          <w:sz w:val="21"/>
          <w:szCs w:val="21"/>
          <w:u w:val="none"/>
          <w:lang w:val="en-US" w:eastAsia="zh-CN" w:bidi="ar-SA"/>
        </w:rPr>
        <w:t xml:space="preserve">     </w:t>
      </w:r>
      <w:r>
        <w:rPr>
          <w:rFonts w:ascii="Wingdings" w:eastAsia="宋体" w:hAnsi="Wingdings" w:cs="Times New Roman" w:hint="eastAsia"/>
          <w:iCs w:val="0"/>
          <w:kern w:val="2"/>
          <w:sz w:val="21"/>
          <w:szCs w:val="21"/>
          <w:u w:val="none"/>
          <w:lang w:val="en-US" w:eastAsia="zh-CN" w:bidi="ar-SA"/>
        </w:rPr>
        <w:t>¨</w:t>
      </w:r>
      <w:r>
        <w:rPr>
          <w:rFonts w:ascii="宋体" w:eastAsia="宋体" w:hAnsi="宋体" w:cs="Times New Roman" w:hint="eastAsia"/>
          <w:iCs w:val="0"/>
          <w:kern w:val="2"/>
          <w:sz w:val="21"/>
          <w:szCs w:val="21"/>
          <w:u w:val="none"/>
          <w:lang w:val="en-US" w:eastAsia="zh-CN" w:bidi="ar-SA"/>
        </w:rPr>
        <w:t>是，绿色产品政府采购相关政策确定的底级品目名称：</w:t>
      </w:r>
      <w:r>
        <w:rPr>
          <w:rFonts w:ascii="宋体" w:eastAsia="宋体" w:hAnsi="宋体" w:cs="华文楷体" w:hint="eastAsia"/>
          <w:sz w:val="22"/>
          <w:szCs w:val="21"/>
          <w:u w:val="single"/>
          <w:lang w:val="en-US" w:eastAsia="zh-CN" w:bidi="ar-SA"/>
        </w:rPr>
        <w:t xml:space="preserve">         </w:t>
      </w:r>
    </w:p>
    <w:p>
      <w:pPr>
        <w:numPr>
          <w:ilvl w:val="255"/>
          <w:numId w:val="0"/>
        </w:numPr>
        <w:tabs>
          <w:tab w:val="left" w:pos="740"/>
        </w:tabs>
        <w:adjustRightInd w:val="0"/>
        <w:snapToGrid w:val="0"/>
        <w:spacing w:before="0" w:beforeLines="0" w:line="400" w:lineRule="exact"/>
        <w:ind w:firstLine="0" w:firstLineChars="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强制采购</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优先采购</w:t>
      </w:r>
      <w:r>
        <w:rPr>
          <w:rFonts w:ascii="宋体" w:eastAsia="宋体" w:hAnsi="宋体" w:hint="eastAsia"/>
          <w:iCs/>
          <w:szCs w:val="21"/>
          <w:lang w:val="en-US" w:eastAsia="zh-CN"/>
        </w:rPr>
        <w:t xml:space="preserve">    </w:t>
      </w:r>
    </w:p>
    <w:p>
      <w:pPr>
        <w:autoSpaceDE w:val="0"/>
        <w:autoSpaceDN w:val="0"/>
        <w:adjustRightInd w:val="0"/>
        <w:spacing w:beforeLines="0" w:line="400" w:lineRule="exact"/>
        <w:ind w:firstLine="420" w:firstLineChars="0"/>
        <w:outlineLvl w:val="9"/>
        <w:rPr>
          <w:rFonts w:ascii="宋体" w:eastAsia="华文楷体" w:hAnsi="宋体" w:cs="华文楷体" w:hint="eastAsia"/>
          <w:b w:val="0"/>
          <w:bCs w:val="0"/>
          <w:sz w:val="21"/>
          <w:szCs w:val="21"/>
          <w:u w:val="none"/>
          <w:lang w:val="en-US" w:eastAsia="zh-CN" w:bidi="ar-SA"/>
        </w:rPr>
      </w:pPr>
      <w:r>
        <w:rPr>
          <w:rFonts w:ascii="宋体" w:eastAsia="宋体" w:hAnsi="宋体" w:cs="Times New Roman" w:hint="eastAsia"/>
          <w:iCs w:val="0"/>
          <w:kern w:val="2"/>
          <w:sz w:val="21"/>
          <w:szCs w:val="21"/>
          <w:u w:val="none"/>
          <w:lang w:val="en-US" w:eastAsia="zh-CN" w:bidi="ar-SA"/>
        </w:rPr>
        <w:t xml:space="preserve">     </w:t>
      </w:r>
      <w:r>
        <w:rPr>
          <w:rFonts w:ascii="Wingdings" w:eastAsia="宋体" w:hAnsi="Wingdings" w:cs="Times New Roman" w:hint="eastAsia"/>
          <w:iCs w:val="0"/>
          <w:kern w:val="2"/>
          <w:sz w:val="21"/>
          <w:szCs w:val="21"/>
          <w:u w:val="none"/>
          <w:lang w:val="en-US" w:eastAsia="zh-CN" w:bidi="ar-SA"/>
        </w:rPr>
        <w:t>¨</w:t>
      </w:r>
      <w:r>
        <w:rPr>
          <w:rFonts w:ascii="宋体" w:eastAsia="宋体" w:hAnsi="宋体" w:cs="Times New Roman" w:hint="eastAsia"/>
          <w:iCs w:val="0"/>
          <w:kern w:val="2"/>
          <w:sz w:val="21"/>
          <w:szCs w:val="21"/>
          <w:u w:val="none"/>
          <w:lang w:val="en-US" w:eastAsia="zh-CN" w:bidi="ar-SA"/>
        </w:rPr>
        <w:t>否</w:t>
      </w:r>
    </w:p>
    <w:p>
      <w:pPr>
        <w:numPr>
          <w:ilvl w:val="255"/>
          <w:numId w:val="0"/>
        </w:numPr>
        <w:adjustRightInd w:val="0"/>
        <w:snapToGrid w:val="0"/>
        <w:spacing w:before="0" w:beforeLines="0" w:line="400" w:lineRule="exact"/>
        <w:ind w:firstLine="0" w:firstLineChars="0"/>
        <w:outlineLvl w:val="9"/>
        <w:rPr>
          <w:rFonts w:ascii="宋体" w:eastAsia="宋体" w:hAnsi="宋体" w:hint="eastAsia"/>
          <w:szCs w:val="21"/>
          <w:lang w:val="en-US" w:eastAsia="zh-CN"/>
        </w:rPr>
      </w:pPr>
      <w:r>
        <w:rPr>
          <w:rFonts w:ascii="宋体" w:eastAsia="宋体" w:hAnsi="宋体" w:hint="eastAsia"/>
          <w:szCs w:val="21"/>
          <w:lang w:val="en-US" w:eastAsia="zh-CN"/>
        </w:rPr>
        <w:t xml:space="preserve">    （1</w:t>
      </w:r>
      <w:r>
        <w:rPr>
          <w:rFonts w:ascii="宋体" w:eastAsia="宋体" w:hAnsi="宋体" w:hint="default"/>
          <w:szCs w:val="21"/>
          <w:lang w:eastAsia="zh-CN"/>
        </w:rPr>
        <w:t>1</w:t>
      </w:r>
      <w:r>
        <w:rPr>
          <w:rFonts w:ascii="宋体" w:eastAsia="宋体" w:hAnsi="宋体" w:hint="eastAsia"/>
          <w:szCs w:val="21"/>
          <w:lang w:val="en-US" w:eastAsia="zh-CN"/>
        </w:rPr>
        <w:t>）涉及商品包装和快递包装的，是否参考</w:t>
      </w:r>
      <w:r>
        <w:rPr>
          <w:rFonts w:ascii="宋体" w:eastAsia="宋体" w:hAnsi="宋体" w:hint="eastAsia"/>
          <w:szCs w:val="21"/>
        </w:rPr>
        <w:t>《商品包装政府采购需求标准（试行）》、《快递包装政府采购需求标准（试行）》</w:t>
      </w:r>
      <w:r>
        <w:rPr>
          <w:rFonts w:ascii="宋体" w:eastAsia="宋体" w:hAnsi="宋体" w:hint="eastAsia"/>
          <w:szCs w:val="21"/>
          <w:lang w:eastAsia="zh-CN"/>
        </w:rPr>
        <w:t>明确产品及相关快递服务的具体包装要求：</w:t>
      </w:r>
    </w:p>
    <w:p>
      <w:pPr>
        <w:numPr>
          <w:ilvl w:val="255"/>
          <w:numId w:val="0"/>
        </w:numPr>
        <w:adjustRightInd w:val="0"/>
        <w:snapToGrid w:val="0"/>
        <w:spacing w:before="0" w:beforeLines="0" w:line="400" w:lineRule="exact"/>
        <w:ind w:firstLine="840" w:firstLineChars="400"/>
        <w:outlineLvl w:val="9"/>
        <w:rPr>
          <w:rFonts w:ascii="宋体" w:eastAsia="宋体" w:hAnsi="宋体" w:hint="eastAsia"/>
          <w:iCs w:val="0"/>
          <w:szCs w:val="21"/>
          <w:lang w:val="en-US" w:eastAsia="zh-CN"/>
        </w:rPr>
      </w:pPr>
      <w:r>
        <w:rPr>
          <w:rFonts w:ascii="Wingdings" w:eastAsia="宋体" w:hAnsi="Wingdings" w:hint="eastAsia"/>
          <w:iCs w:val="0"/>
          <w:szCs w:val="21"/>
        </w:rPr>
        <w:t>¨</w:t>
      </w:r>
      <w:r>
        <w:rPr>
          <w:rFonts w:ascii="宋体" w:eastAsia="宋体" w:hAnsi="宋体" w:hint="eastAsia"/>
          <w:iCs w:val="0"/>
          <w:szCs w:val="21"/>
        </w:rPr>
        <w:t xml:space="preserve">是       </w:t>
      </w:r>
      <w:r>
        <w:rPr>
          <w:rFonts w:ascii="Wingdings" w:eastAsia="宋体" w:hAnsi="Wingdings" w:hint="eastAsia"/>
          <w:iCs w:val="0"/>
          <w:szCs w:val="21"/>
        </w:rPr>
        <w:t>¨</w:t>
      </w:r>
      <w:r>
        <w:rPr>
          <w:rFonts w:ascii="宋体" w:eastAsia="宋体" w:hAnsi="宋体" w:hint="eastAsia"/>
          <w:iCs w:val="0"/>
          <w:szCs w:val="21"/>
        </w:rPr>
        <w:t>否</w:t>
      </w:r>
      <w:r>
        <w:rPr>
          <w:rFonts w:ascii="宋体" w:eastAsia="宋体" w:hAnsi="宋体" w:hint="eastAsia"/>
          <w:iCs w:val="0"/>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lang w:eastAsia="zh-CN"/>
        </w:rPr>
        <w:t>不涉及</w:t>
      </w:r>
    </w:p>
    <w:p>
      <w:pPr>
        <w:numPr>
          <w:ilvl w:val="0"/>
          <w:numId w:val="9"/>
        </w:numPr>
        <w:adjustRightInd w:val="0"/>
        <w:snapToGrid w:val="0"/>
        <w:spacing w:before="0" w:beforeLines="0" w:line="400" w:lineRule="exact"/>
        <w:ind w:firstLine="420" w:firstLineChars="200"/>
        <w:outlineLvl w:val="9"/>
        <w:rPr>
          <w:rFonts w:ascii="宋体" w:eastAsia="宋体" w:hAnsi="宋体"/>
          <w:b/>
          <w:szCs w:val="21"/>
          <w:highlight w:val="none"/>
        </w:rPr>
      </w:pPr>
      <w:r>
        <w:rPr>
          <w:rFonts w:ascii="宋体" w:eastAsia="宋体" w:hAnsi="宋体" w:hint="eastAsia"/>
          <w:b/>
          <w:szCs w:val="21"/>
          <w:highlight w:val="none"/>
        </w:rPr>
        <w:t>合同金额</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（1）合同金额小写：</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beforeLines="0" w:line="400" w:lineRule="exact"/>
        <w:ind w:left="0" w:firstLine="0" w:firstLineChars="0"/>
        <w:outlineLvl w:val="9"/>
        <w:rPr>
          <w:rFonts w:ascii="宋体" w:eastAsia="宋体" w:hAnsi="宋体"/>
          <w:szCs w:val="21"/>
          <w:u w:val="single"/>
        </w:rPr>
      </w:pPr>
      <w:r>
        <w:rPr>
          <w:rFonts w:ascii="宋体" w:eastAsia="宋体" w:hAnsi="宋体" w:hint="eastAsia"/>
          <w:szCs w:val="21"/>
          <w:lang w:val="en-US" w:eastAsia="zh-CN"/>
        </w:rPr>
        <w:t xml:space="preserve">                 </w:t>
      </w:r>
      <w:r>
        <w:rPr>
          <w:rFonts w:ascii="宋体" w:eastAsia="宋体" w:hAnsi="宋体" w:hint="eastAsia"/>
          <w:szCs w:val="21"/>
        </w:rPr>
        <w:t>大写：</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beforeLines="0" w:line="400" w:lineRule="exact"/>
        <w:ind w:firstLine="0" w:firstLineChars="0"/>
        <w:outlineLvl w:val="9"/>
        <w:rPr>
          <w:rFonts w:ascii="宋体" w:eastAsia="宋体" w:hAnsi="宋体"/>
          <w:szCs w:val="21"/>
        </w:rPr>
      </w:pPr>
      <w:r>
        <w:rPr>
          <w:rFonts w:ascii="宋体" w:eastAsia="宋体" w:hAnsi="宋体" w:hint="eastAsia"/>
          <w:szCs w:val="21"/>
          <w:lang w:val="en-US" w:eastAsia="zh-CN"/>
        </w:rPr>
        <w:t xml:space="preserve">         </w:t>
      </w:r>
      <w:r>
        <w:rPr>
          <w:rFonts w:ascii="宋体" w:eastAsia="宋体" w:hAnsi="宋体" w:hint="eastAsia"/>
          <w:szCs w:val="21"/>
        </w:rPr>
        <w:t>分包金额</w:t>
      </w:r>
      <w:r>
        <w:rPr>
          <w:rFonts w:ascii="宋体" w:eastAsia="宋体" w:hAnsi="宋体" w:hint="eastAsia"/>
          <w:szCs w:val="21"/>
          <w:lang w:eastAsia="zh-CN"/>
        </w:rPr>
        <w:t>（如有）</w:t>
      </w:r>
      <w:r>
        <w:rPr>
          <w:rFonts w:ascii="宋体" w:eastAsia="宋体" w:hAnsi="宋体" w:hint="eastAsia"/>
          <w:szCs w:val="21"/>
        </w:rPr>
        <w:t>小写：</w:t>
      </w:r>
      <w:r>
        <w:rPr>
          <w:rFonts w:ascii="宋体" w:eastAsia="宋体" w:hAnsi="宋体" w:hint="eastAsia"/>
          <w:szCs w:val="21"/>
          <w:u w:val="single"/>
        </w:rPr>
        <w:t xml:space="preserve">                   </w:t>
      </w:r>
    </w:p>
    <w:p>
      <w:pPr>
        <w:adjustRightInd w:val="0"/>
        <w:snapToGrid w:val="0"/>
        <w:spacing w:before="0" w:beforeLines="0" w:line="400" w:lineRule="exact"/>
        <w:ind w:firstLine="0" w:firstLineChars="0"/>
        <w:outlineLvl w:val="9"/>
        <w:rPr>
          <w:rFonts w:ascii="宋体" w:eastAsia="宋体" w:hAnsi="宋体" w:hint="eastAsia"/>
          <w:szCs w:val="21"/>
          <w:u w:val="single"/>
        </w:rPr>
      </w:pPr>
      <w:r>
        <w:rPr>
          <w:rFonts w:ascii="宋体" w:eastAsia="宋体" w:hAnsi="宋体" w:hint="eastAsia"/>
          <w:szCs w:val="21"/>
          <w:lang w:val="en-US" w:eastAsia="zh-CN"/>
        </w:rPr>
        <w:t xml:space="preserve">                     </w:t>
      </w:r>
      <w:r>
        <w:rPr>
          <w:rFonts w:ascii="宋体" w:eastAsia="宋体" w:hAnsi="宋体" w:hint="eastAsia"/>
          <w:szCs w:val="21"/>
        </w:rPr>
        <w:t>大写：</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beforeLines="0" w:line="400" w:lineRule="exact"/>
        <w:ind w:firstLine="0" w:firstLineChars="0"/>
        <w:outlineLvl w:val="9"/>
        <w:rPr>
          <w:rFonts w:ascii="宋体" w:eastAsia="宋体" w:hAnsi="宋体" w:hint="eastAsia"/>
          <w:szCs w:val="21"/>
          <w:lang w:val="en-US" w:eastAsia="zh-CN"/>
        </w:rPr>
      </w:pPr>
      <w:r>
        <w:rPr>
          <w:rFonts w:ascii="宋体" w:eastAsia="宋体" w:hAnsi="宋体" w:hint="eastAsia"/>
          <w:szCs w:val="21"/>
          <w:lang w:val="en-US" w:eastAsia="zh-CN"/>
        </w:rPr>
        <w:t xml:space="preserve">    （注：固定单价合同应填写单价和最高限价）</w:t>
      </w:r>
    </w:p>
    <w:p>
      <w:pPr>
        <w:numPr>
          <w:ilvl w:val="255"/>
          <w:numId w:val="0"/>
        </w:numPr>
        <w:adjustRightInd w:val="0"/>
        <w:snapToGrid w:val="0"/>
        <w:spacing w:before="0" w:beforeLines="0" w:line="400" w:lineRule="exact"/>
        <w:ind w:firstLine="0" w:firstLineChars="0"/>
        <w:outlineLvl w:val="9"/>
        <w:rPr>
          <w:rFonts w:ascii="宋体" w:eastAsia="宋体" w:hAnsi="宋体" w:hint="eastAsia"/>
          <w:szCs w:val="21"/>
        </w:rPr>
      </w:pPr>
      <w:r>
        <w:rPr>
          <w:rFonts w:ascii="宋体" w:eastAsia="宋体" w:hAnsi="宋体" w:hint="eastAsia"/>
          <w:szCs w:val="21"/>
          <w:lang w:val="en-US" w:eastAsia="zh-CN"/>
        </w:rPr>
        <w:t xml:space="preserve">    </w:t>
      </w:r>
      <w:r>
        <w:rPr>
          <w:rFonts w:ascii="宋体" w:eastAsia="宋体" w:hAnsi="宋体" w:hint="eastAsia"/>
          <w:szCs w:val="21"/>
          <w:lang w:eastAsia="zh-CN"/>
        </w:rPr>
        <w:t>（</w:t>
      </w:r>
      <w:r>
        <w:rPr>
          <w:rFonts w:ascii="宋体" w:eastAsia="宋体" w:hAnsi="宋体" w:hint="eastAsia"/>
          <w:szCs w:val="21"/>
          <w:lang w:val="en-US" w:eastAsia="zh-CN"/>
        </w:rPr>
        <w:t>2</w:t>
      </w:r>
      <w:r>
        <w:rPr>
          <w:rFonts w:ascii="宋体" w:eastAsia="宋体" w:hAnsi="宋体" w:hint="eastAsia"/>
          <w:szCs w:val="21"/>
          <w:lang w:eastAsia="zh-CN"/>
        </w:rPr>
        <w:t>）</w:t>
      </w:r>
      <w:r>
        <w:rPr>
          <w:rFonts w:ascii="宋体" w:eastAsia="宋体" w:hAnsi="宋体" w:hint="eastAsia"/>
          <w:szCs w:val="21"/>
        </w:rPr>
        <w:t>合同定价方式</w:t>
      </w:r>
      <w:r>
        <w:rPr>
          <w:rFonts w:ascii="宋体" w:eastAsia="宋体" w:hAnsi="宋体" w:hint="eastAsia"/>
          <w:szCs w:val="21"/>
          <w:lang w:eastAsia="zh-CN"/>
        </w:rPr>
        <w:t>（采用组合定价方式的，可以勾选多项）</w:t>
      </w:r>
      <w:r>
        <w:rPr>
          <w:rFonts w:ascii="宋体" w:eastAsia="宋体" w:hAnsi="宋体" w:hint="eastAsia"/>
          <w:szCs w:val="21"/>
        </w:rPr>
        <w:t>：</w:t>
      </w:r>
    </w:p>
    <w:p>
      <w:pPr>
        <w:adjustRightInd w:val="0"/>
        <w:snapToGrid w:val="0"/>
        <w:spacing w:before="0" w:beforeLines="0" w:line="400" w:lineRule="exact"/>
        <w:ind w:firstLine="420" w:firstLineChars="200"/>
        <w:outlineLvl w:val="9"/>
        <w:rPr>
          <w:rFonts w:ascii="宋体" w:eastAsia="宋体" w:hAnsi="宋体" w:hint="eastAsia"/>
          <w:szCs w:val="21"/>
          <w:lang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rPr>
        <w:t xml:space="preserve">固定总价 </w:t>
      </w:r>
      <w:r>
        <w:rPr>
          <w:rFonts w:ascii="Wingdings" w:eastAsia="宋体" w:hAnsi="Wingdings" w:hint="eastAsia"/>
          <w:iCs/>
          <w:szCs w:val="21"/>
        </w:rPr>
        <w:t>¨</w:t>
      </w:r>
      <w:r>
        <w:rPr>
          <w:rFonts w:ascii="宋体" w:eastAsia="宋体" w:hAnsi="宋体" w:hint="eastAsia"/>
          <w:iCs/>
          <w:szCs w:val="21"/>
        </w:rPr>
        <w:t>固定单价</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固定费率</w:t>
      </w:r>
      <w:r>
        <w:rPr>
          <w:rFonts w:ascii="宋体" w:eastAsia="宋体" w:hAnsi="宋体" w:hint="eastAsia"/>
          <w:iCs/>
          <w:szCs w:val="21"/>
        </w:rPr>
        <w:t xml:space="preserve"> </w:t>
      </w:r>
      <w:r>
        <w:rPr>
          <w:rFonts w:ascii="Wingdings" w:eastAsia="宋体" w:hAnsi="Wingdings" w:hint="eastAsia"/>
          <w:iCs/>
          <w:szCs w:val="21"/>
        </w:rPr>
        <w:t>¨</w:t>
      </w:r>
      <w:r>
        <w:rPr>
          <w:rFonts w:ascii="宋体" w:eastAsia="宋体" w:hAnsi="宋体" w:hint="eastAsia"/>
          <w:iCs/>
          <w:szCs w:val="21"/>
        </w:rPr>
        <w:t xml:space="preserve">成本补偿 </w:t>
      </w:r>
      <w:r>
        <w:rPr>
          <w:rFonts w:ascii="Wingdings" w:eastAsia="宋体" w:hAnsi="Wingdings" w:hint="eastAsia"/>
          <w:iCs/>
          <w:szCs w:val="21"/>
        </w:rPr>
        <w:t>¨</w:t>
      </w:r>
      <w:r>
        <w:rPr>
          <w:rFonts w:ascii="宋体" w:eastAsia="宋体" w:hAnsi="宋体" w:hint="eastAsia"/>
          <w:iCs/>
          <w:szCs w:val="21"/>
        </w:rPr>
        <w:t>绩效激励</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其他</w:t>
      </w:r>
      <w:r>
        <w:rPr>
          <w:rFonts w:ascii="宋体" w:eastAsia="宋体" w:hAnsi="宋体" w:hint="eastAsia"/>
          <w:szCs w:val="21"/>
          <w:u w:val="single"/>
        </w:rPr>
        <w:t xml:space="preserve">       </w:t>
      </w:r>
    </w:p>
    <w:p>
      <w:pPr>
        <w:widowControl w:val="0"/>
        <w:spacing w:beforeLines="0" w:line="400" w:lineRule="exact"/>
        <w:ind w:firstLine="420" w:firstLineChars="200"/>
        <w:jc w:val="both"/>
        <w:outlineLvl w:val="9"/>
        <w:rPr>
          <w:rFonts w:ascii="Times New Roman" w:eastAsia="宋体" w:hAnsi="Times New Roman" w:cs="Times New Roman"/>
          <w:kern w:val="2"/>
          <w:sz w:val="21"/>
          <w:szCs w:val="21"/>
          <w:lang w:val="en-US" w:eastAsia="zh-CN" w:bidi="ar-SA"/>
        </w:rPr>
      </w:pPr>
      <w:r>
        <w:rPr>
          <w:rFonts w:ascii="宋体" w:eastAsia="宋体" w:hAnsi="宋体" w:cs="Times New Roman" w:hint="eastAsia"/>
          <w:kern w:val="2"/>
          <w:sz w:val="21"/>
          <w:szCs w:val="21"/>
          <w:lang w:val="en-US" w:eastAsia="zh-CN" w:bidi="ar-SA"/>
        </w:rPr>
        <w:t>（3）付款方式（按项目实际勾选填写）：</w:t>
      </w:r>
    </w:p>
    <w:p>
      <w:pPr>
        <w:adjustRightInd w:val="0"/>
        <w:snapToGrid w:val="0"/>
        <w:spacing w:before="0" w:beforeLines="0" w:line="400" w:lineRule="exact"/>
        <w:ind w:firstLine="630" w:firstLineChars="300"/>
        <w:outlineLvl w:val="9"/>
        <w:rPr>
          <w:rFonts w:ascii="宋体" w:eastAsia="宋体" w:hAnsi="宋体"/>
          <w:szCs w:val="21"/>
          <w:u w:val="single"/>
        </w:rPr>
      </w:pPr>
      <w:r>
        <w:rPr>
          <w:rFonts w:ascii="Wingdings" w:eastAsia="宋体" w:hAnsi="Wingdings" w:hint="eastAsia"/>
          <w:szCs w:val="21"/>
        </w:rPr>
        <w:t>¨</w:t>
      </w:r>
      <w:r>
        <w:rPr>
          <w:rFonts w:ascii="宋体" w:eastAsia="宋体" w:hAnsi="宋体" w:hint="eastAsia"/>
          <w:szCs w:val="21"/>
        </w:rPr>
        <w:t>全额付款：</w:t>
      </w:r>
      <w:r>
        <w:rPr>
          <w:rFonts w:ascii="宋体" w:eastAsia="宋体" w:hAnsi="宋体" w:hint="eastAsia"/>
          <w:szCs w:val="21"/>
          <w:u w:val="single"/>
        </w:rPr>
        <w:t xml:space="preserve">     （应</w:t>
      </w:r>
      <w:r>
        <w:rPr>
          <w:rFonts w:ascii="宋体" w:eastAsia="宋体" w:hAnsi="宋体" w:hint="eastAsia"/>
          <w:szCs w:val="21"/>
          <w:u w:val="single"/>
          <w:lang w:eastAsia="zh-CN"/>
        </w:rPr>
        <w:t>明确</w:t>
      </w:r>
      <w:r>
        <w:rPr>
          <w:rFonts w:ascii="宋体" w:eastAsia="宋体" w:hAnsi="宋体" w:hint="eastAsia"/>
          <w:szCs w:val="21"/>
          <w:u w:val="single"/>
        </w:rPr>
        <w:t>一次性支付合同款项</w:t>
      </w:r>
      <w:r>
        <w:rPr>
          <w:rFonts w:ascii="宋体" w:eastAsia="宋体" w:hAnsi="宋体" w:hint="eastAsia"/>
          <w:szCs w:val="21"/>
          <w:u w:val="single"/>
          <w:lang w:eastAsia="zh-CN"/>
        </w:rPr>
        <w:t>的条件</w:t>
      </w:r>
      <w:r>
        <w:rPr>
          <w:rFonts w:ascii="宋体" w:eastAsia="宋体" w:hAnsi="宋体" w:hint="eastAsia"/>
          <w:szCs w:val="21"/>
          <w:u w:val="single"/>
        </w:rPr>
        <w:t xml:space="preserve">）                    </w:t>
      </w:r>
    </w:p>
    <w:p>
      <w:pPr>
        <w:snapToGrid w:val="0"/>
        <w:spacing w:beforeLines="0" w:line="400" w:lineRule="exact"/>
        <w:ind w:firstLine="630" w:firstLineChars="300"/>
        <w:outlineLvl w:val="9"/>
        <w:rPr>
          <w:rFonts w:eastAsia="宋体"/>
        </w:rPr>
      </w:pPr>
      <w:r>
        <w:rPr>
          <w:rFonts w:ascii="Wingdings" w:eastAsia="宋体" w:hAnsi="Wingdings" w:hint="eastAsia"/>
          <w:szCs w:val="21"/>
        </w:rPr>
        <w:t>¨</w:t>
      </w:r>
      <w:r>
        <w:rPr>
          <w:rFonts w:ascii="宋体" w:eastAsia="宋体" w:hAnsi="宋体" w:hint="eastAsia"/>
          <w:szCs w:val="21"/>
        </w:rPr>
        <w:t>分期付款：</w:t>
      </w:r>
      <w:r>
        <w:rPr>
          <w:rFonts w:ascii="宋体" w:eastAsia="宋体" w:hAnsi="宋体" w:hint="eastAsia"/>
          <w:szCs w:val="21"/>
          <w:u w:val="single"/>
        </w:rPr>
        <w:t xml:space="preserve">  （应明确分期支付合同款项的各期比例和支付条件</w:t>
      </w:r>
      <w:r>
        <w:rPr>
          <w:rFonts w:ascii="宋体" w:eastAsia="宋体" w:hAnsi="宋体" w:hint="eastAsia"/>
          <w:szCs w:val="21"/>
          <w:u w:val="single"/>
          <w:lang w:eastAsia="zh-CN"/>
        </w:rPr>
        <w:t>，各期支付条件应与分期履约验收情况挂钩</w:t>
      </w:r>
      <w:r>
        <w:rPr>
          <w:rFonts w:ascii="宋体" w:eastAsia="宋体" w:hAnsi="宋体" w:hint="eastAsia"/>
          <w:szCs w:val="21"/>
          <w:u w:val="single"/>
        </w:rPr>
        <w:t xml:space="preserve">） </w:t>
      </w:r>
      <w:r>
        <w:rPr>
          <w:rFonts w:ascii="宋体" w:eastAsia="宋体" w:hAnsi="宋体" w:hint="eastAsia"/>
          <w:szCs w:val="21"/>
          <w:u w:val="none"/>
          <w:lang w:eastAsia="zh-CN"/>
        </w:rPr>
        <w:t>，</w:t>
      </w:r>
      <w:r>
        <w:rPr>
          <w:rFonts w:ascii="宋体" w:eastAsia="宋体" w:hAnsi="宋体" w:hint="eastAsia"/>
          <w:szCs w:val="21"/>
          <w:lang w:eastAsia="zh-CN"/>
        </w:rPr>
        <w:t>其中涉及预付款的</w:t>
      </w:r>
      <w:r>
        <w:rPr>
          <w:rFonts w:ascii="宋体" w:eastAsia="宋体" w:hAnsi="宋体" w:hint="eastAsia"/>
          <w:szCs w:val="21"/>
        </w:rPr>
        <w:t>：</w:t>
      </w:r>
      <w:r>
        <w:rPr>
          <w:rFonts w:ascii="宋体" w:eastAsia="宋体" w:hAnsi="宋体" w:hint="eastAsia"/>
          <w:szCs w:val="21"/>
          <w:u w:val="single"/>
        </w:rPr>
        <w:t xml:space="preserve"> （应明确预付款的支付比例和支付条件） </w:t>
      </w:r>
    </w:p>
    <w:p>
      <w:pPr>
        <w:adjustRightInd w:val="0"/>
        <w:snapToGrid w:val="0"/>
        <w:spacing w:before="0" w:beforeLines="0" w:line="400" w:lineRule="exact"/>
        <w:ind w:firstLine="630" w:firstLineChars="300"/>
        <w:outlineLvl w:val="9"/>
        <w:rPr>
          <w:rFonts w:ascii="宋体" w:eastAsia="宋体" w:hAnsi="宋体"/>
          <w:szCs w:val="21"/>
          <w:u w:val="single"/>
        </w:rPr>
      </w:pPr>
      <w:r>
        <w:rPr>
          <w:rFonts w:ascii="Wingdings" w:eastAsia="宋体" w:hAnsi="Wingdings" w:hint="eastAsia"/>
          <w:szCs w:val="21"/>
        </w:rPr>
        <w:t>¨</w:t>
      </w:r>
      <w:r>
        <w:rPr>
          <w:rFonts w:ascii="宋体" w:eastAsia="宋体" w:hAnsi="宋体" w:hint="eastAsia"/>
          <w:szCs w:val="21"/>
        </w:rPr>
        <w:t>成本补偿：</w:t>
      </w:r>
      <w:r>
        <w:rPr>
          <w:rFonts w:ascii="宋体" w:eastAsia="宋体" w:hAnsi="宋体" w:hint="eastAsia"/>
          <w:szCs w:val="21"/>
          <w:u w:val="single"/>
        </w:rPr>
        <w:t xml:space="preserve">      （应明确按照成本补偿方式的支付方式和支付条件）   </w:t>
      </w:r>
    </w:p>
    <w:p>
      <w:pPr>
        <w:adjustRightInd w:val="0"/>
        <w:snapToGrid w:val="0"/>
        <w:spacing w:before="0" w:beforeLines="0" w:line="400" w:lineRule="exact"/>
        <w:ind w:firstLine="630" w:firstLineChars="300"/>
        <w:outlineLvl w:val="9"/>
        <w:rPr>
          <w:rFonts w:ascii="宋体" w:eastAsia="宋体" w:hAnsi="宋体"/>
          <w:szCs w:val="21"/>
        </w:rPr>
      </w:pPr>
      <w:r>
        <w:rPr>
          <w:rFonts w:ascii="Wingdings" w:eastAsia="宋体" w:hAnsi="Wingdings" w:hint="eastAsia"/>
          <w:szCs w:val="21"/>
        </w:rPr>
        <w:t>¨</w:t>
      </w:r>
      <w:r>
        <w:rPr>
          <w:rFonts w:ascii="宋体" w:eastAsia="宋体" w:hAnsi="宋体" w:hint="eastAsia"/>
          <w:szCs w:val="21"/>
        </w:rPr>
        <w:t>绩效激励：</w:t>
      </w:r>
      <w:r>
        <w:rPr>
          <w:rFonts w:ascii="宋体" w:eastAsia="宋体" w:hAnsi="宋体" w:hint="eastAsia"/>
          <w:szCs w:val="21"/>
          <w:u w:val="single"/>
        </w:rPr>
        <w:t xml:space="preserve">      （应明确按照绩效激励方式的支付方式和支付条件）   </w:t>
      </w:r>
    </w:p>
    <w:p>
      <w:pPr>
        <w:numPr>
          <w:ilvl w:val="0"/>
          <w:numId w:val="9"/>
        </w:numPr>
        <w:adjustRightInd w:val="0"/>
        <w:snapToGrid w:val="0"/>
        <w:spacing w:before="0" w:beforeLines="0" w:line="400" w:lineRule="exact"/>
        <w:ind w:firstLine="420" w:firstLineChars="200"/>
        <w:outlineLvl w:val="9"/>
        <w:rPr>
          <w:rFonts w:ascii="宋体" w:eastAsia="宋体" w:hAnsi="宋体"/>
          <w:b/>
          <w:bCs w:val="0"/>
          <w:szCs w:val="21"/>
          <w:u w:val="single"/>
        </w:rPr>
      </w:pPr>
      <w:r>
        <w:rPr>
          <w:rFonts w:ascii="宋体" w:eastAsia="宋体" w:hAnsi="宋体" w:hint="eastAsia"/>
          <w:b/>
          <w:bCs w:val="0"/>
          <w:szCs w:val="21"/>
        </w:rPr>
        <w:t>合同履行</w:t>
      </w:r>
    </w:p>
    <w:p>
      <w:pPr>
        <w:adjustRightInd w:val="0"/>
        <w:snapToGrid w:val="0"/>
        <w:spacing w:before="0" w:beforeLines="0" w:line="400" w:lineRule="exact"/>
        <w:ind w:firstLine="420" w:firstLineChars="200"/>
        <w:outlineLvl w:val="9"/>
        <w:rPr>
          <w:rFonts w:ascii="宋体" w:eastAsia="宋体" w:hAnsi="宋体" w:cs="宋体" w:hint="eastAsia"/>
          <w:szCs w:val="21"/>
        </w:rPr>
      </w:pPr>
      <w:r>
        <w:rPr>
          <w:rFonts w:ascii="宋体" w:eastAsia="宋体" w:hAnsi="宋体" w:cs="宋体" w:hint="eastAsia"/>
          <w:szCs w:val="21"/>
        </w:rPr>
        <w:t>（1）起始日期：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日，完成日期：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pPr>
        <w:adjustRightInd w:val="0"/>
        <w:snapToGrid w:val="0"/>
        <w:spacing w:before="0" w:beforeLines="0" w:line="400" w:lineRule="exact"/>
        <w:ind w:firstLine="420" w:firstLineChars="200"/>
        <w:outlineLvl w:val="9"/>
        <w:rPr>
          <w:rFonts w:ascii="宋体" w:eastAsia="宋体" w:hAnsi="宋体" w:cs="宋体" w:hint="eastAsia"/>
          <w:szCs w:val="21"/>
          <w:u w:val="single"/>
        </w:rPr>
      </w:pPr>
      <w:r>
        <w:rPr>
          <w:rFonts w:ascii="宋体" w:eastAsia="宋体" w:hAnsi="宋体" w:cs="宋体" w:hint="eastAsia"/>
          <w:szCs w:val="21"/>
        </w:rPr>
        <w:t>（2）</w:t>
      </w:r>
      <w:r>
        <w:rPr>
          <w:rFonts w:ascii="宋体" w:eastAsia="宋体" w:hAnsi="宋体" w:cs="宋体" w:hint="eastAsia"/>
          <w:szCs w:val="21"/>
          <w:lang w:eastAsia="zh-CN"/>
        </w:rPr>
        <w:t>履约</w:t>
      </w:r>
      <w:r>
        <w:rPr>
          <w:rFonts w:ascii="宋体" w:eastAsia="宋体" w:hAnsi="宋体" w:cs="宋体" w:hint="eastAsia"/>
          <w:szCs w:val="21"/>
        </w:rPr>
        <w:t>地点</w:t>
      </w:r>
      <w:r>
        <w:rPr>
          <w:rFonts w:ascii="宋体" w:eastAsia="宋体" w:hAnsi="宋体" w:cs="宋体" w:hint="eastAsia"/>
          <w:b w:val="0"/>
          <w:bCs/>
          <w:szCs w:val="21"/>
        </w:rPr>
        <w:t>：</w:t>
      </w:r>
      <w:r>
        <w:rPr>
          <w:rFonts w:ascii="宋体" w:eastAsia="宋体" w:hAnsi="宋体" w:cs="宋体" w:hint="eastAsia"/>
          <w:szCs w:val="21"/>
          <w:u w:val="single"/>
        </w:rPr>
        <w:t xml:space="preserve">                             </w:t>
      </w:r>
    </w:p>
    <w:p>
      <w:pPr>
        <w:adjustRightInd w:val="0"/>
        <w:snapToGrid w:val="0"/>
        <w:spacing w:before="0" w:beforeLines="0" w:line="400" w:lineRule="exact"/>
        <w:ind w:firstLine="420" w:firstLineChars="200"/>
        <w:outlineLvl w:val="9"/>
        <w:rPr>
          <w:rFonts w:ascii="宋体" w:eastAsia="宋体" w:hAnsi="宋体" w:cs="宋体" w:hint="eastAsia"/>
          <w:sz w:val="21"/>
          <w:szCs w:val="21"/>
          <w:lang w:eastAsia="zh-CN"/>
        </w:rPr>
      </w:pPr>
      <w:r>
        <w:rPr>
          <w:rFonts w:ascii="宋体" w:eastAsia="宋体" w:hAnsi="宋体" w:cs="宋体" w:hint="eastAsia"/>
          <w:bCs/>
          <w:szCs w:val="21"/>
        </w:rPr>
        <w:t>（3）履约担保：</w:t>
      </w:r>
      <w:r>
        <w:rPr>
          <w:rFonts w:ascii="宋体" w:eastAsia="宋体" w:hAnsi="宋体" w:cs="宋体" w:hint="eastAsia"/>
          <w:sz w:val="21"/>
          <w:lang w:val="en-US" w:eastAsia="zh-CN"/>
        </w:rPr>
        <w:t>是否收取履约保证金：</w:t>
      </w:r>
      <w:r>
        <w:rPr>
          <w:rFonts w:ascii="Wingdings" w:eastAsia="宋体" w:hAnsi="Wingdings" w:cs="宋体" w:hint="eastAsia"/>
          <w:sz w:val="21"/>
          <w:szCs w:val="21"/>
        </w:rPr>
        <w:t>¨</w:t>
      </w:r>
      <w:r>
        <w:rPr>
          <w:rFonts w:ascii="宋体" w:eastAsia="宋体" w:hAnsi="宋体" w:cs="宋体" w:hint="eastAsia"/>
          <w:sz w:val="21"/>
          <w:szCs w:val="21"/>
          <w:lang w:eastAsia="zh-CN"/>
        </w:rPr>
        <w:t>是</w:t>
      </w:r>
      <w:r>
        <w:rPr>
          <w:rFonts w:ascii="宋体" w:eastAsia="宋体" w:hAnsi="宋体" w:cs="宋体" w:hint="eastAsia"/>
          <w:sz w:val="21"/>
          <w:szCs w:val="21"/>
          <w:lang w:val="en-US" w:eastAsia="zh-CN"/>
        </w:rPr>
        <w:t xml:space="preserve">    </w:t>
      </w:r>
      <w:r>
        <w:rPr>
          <w:rFonts w:ascii="Wingdings" w:eastAsia="宋体" w:hAnsi="Wingdings" w:cs="宋体" w:hint="eastAsia"/>
          <w:sz w:val="21"/>
          <w:szCs w:val="21"/>
        </w:rPr>
        <w:t>¨</w:t>
      </w:r>
      <w:r>
        <w:rPr>
          <w:rFonts w:ascii="宋体" w:eastAsia="宋体" w:hAnsi="宋体" w:cs="宋体" w:hint="eastAsia"/>
          <w:sz w:val="21"/>
          <w:szCs w:val="21"/>
          <w:lang w:eastAsia="zh-CN"/>
        </w:rPr>
        <w:t>否</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华文楷体" w:hAnsi="宋体" w:cs="宋体" w:hint="eastAsia"/>
          <w:bCs/>
          <w:sz w:val="22"/>
          <w:szCs w:val="21"/>
          <w:u w:val="none"/>
          <w:lang w:val="en-US" w:eastAsia="zh-CN" w:bidi="ar-SA"/>
        </w:rPr>
        <w:t xml:space="preserve">  </w:t>
      </w:r>
      <w:r>
        <w:rPr>
          <w:rFonts w:ascii="宋体" w:eastAsia="宋体" w:hAnsi="宋体" w:cs="宋体" w:hint="eastAsia"/>
          <w:sz w:val="21"/>
          <w:szCs w:val="21"/>
          <w:lang w:val="en-US" w:eastAsia="zh-CN" w:bidi="ar-SA"/>
        </w:rPr>
        <w:t xml:space="preserve">  收取履约保证金形式：</w:t>
      </w:r>
      <w:r>
        <w:rPr>
          <w:rFonts w:ascii="宋体" w:eastAsia="宋体" w:hAnsi="宋体" w:cs="宋体" w:hint="eastAsia"/>
          <w:bCs/>
          <w:sz w:val="21"/>
          <w:szCs w:val="21"/>
          <w:u w:val="single"/>
          <w:lang w:val="en-US" w:eastAsia="zh-CN" w:bidi="ar-SA"/>
        </w:rPr>
        <w:t xml:space="preserve">                            </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收取履约保证金金额：</w:t>
      </w:r>
      <w:r>
        <w:rPr>
          <w:rFonts w:ascii="宋体" w:eastAsia="宋体" w:hAnsi="宋体" w:cs="宋体" w:hint="eastAsia"/>
          <w:bCs/>
          <w:sz w:val="21"/>
          <w:szCs w:val="21"/>
          <w:u w:val="single"/>
          <w:lang w:val="en-US" w:eastAsia="zh-CN" w:bidi="ar-SA"/>
        </w:rPr>
        <w:t xml:space="preserve">                            </w:t>
      </w:r>
    </w:p>
    <w:p>
      <w:pPr>
        <w:snapToGrid w:val="0"/>
        <w:spacing w:beforeLines="0" w:line="400" w:lineRule="exact"/>
        <w:ind w:firstLine="420" w:firstLineChars="200"/>
        <w:outlineLvl w:val="9"/>
        <w:rPr>
          <w:rFonts w:ascii="宋体" w:eastAsia="宋体" w:hAnsi="宋体" w:cs="宋体" w:hint="eastAsia"/>
          <w:sz w:val="21"/>
          <w:lang w:val="en-US" w:eastAsia="zh-CN"/>
        </w:rPr>
      </w:pPr>
      <w:r>
        <w:rPr>
          <w:rFonts w:ascii="宋体" w:eastAsia="宋体" w:hAnsi="宋体" w:cs="宋体" w:hint="eastAsia"/>
          <w:bCs/>
          <w:szCs w:val="21"/>
          <w:u w:val="none"/>
          <w:lang w:val="en-US" w:eastAsia="zh-CN"/>
        </w:rPr>
        <w:t xml:space="preserve">    履约担保期限</w:t>
      </w:r>
      <w:r>
        <w:rPr>
          <w:rFonts w:ascii="宋体" w:eastAsia="宋体" w:hAnsi="宋体" w:cs="宋体" w:hint="eastAsia"/>
          <w:bCs/>
          <w:szCs w:val="21"/>
          <w:u w:val="none"/>
          <w:lang w:eastAsia="zh-CN"/>
        </w:rPr>
        <w:t>：</w:t>
      </w:r>
      <w:r>
        <w:rPr>
          <w:rFonts w:ascii="宋体" w:eastAsia="宋体" w:hAnsi="宋体" w:cs="宋体" w:hint="eastAsia"/>
          <w:bCs/>
          <w:sz w:val="21"/>
          <w:szCs w:val="21"/>
          <w:u w:val="single"/>
        </w:rPr>
        <w:t xml:space="preserve">      </w:t>
      </w:r>
      <w:r>
        <w:rPr>
          <w:rFonts w:ascii="宋体" w:eastAsia="宋体" w:hAnsi="宋体" w:cs="宋体" w:hint="eastAsia"/>
          <w:bCs/>
          <w:sz w:val="21"/>
          <w:szCs w:val="21"/>
          <w:u w:val="single"/>
          <w:lang w:val="en-US" w:eastAsia="zh-CN"/>
        </w:rPr>
        <w:t xml:space="preserve">                     </w:t>
      </w:r>
      <w:r>
        <w:rPr>
          <w:rFonts w:ascii="宋体" w:eastAsia="宋体" w:hAnsi="宋体" w:cs="宋体" w:hint="eastAsia"/>
          <w:bCs/>
          <w:sz w:val="21"/>
          <w:szCs w:val="21"/>
          <w:u w:val="single"/>
        </w:rPr>
        <w:t xml:space="preserve">       </w:t>
      </w:r>
    </w:p>
    <w:p>
      <w:pPr>
        <w:adjustRightInd w:val="0"/>
        <w:snapToGrid w:val="0"/>
        <w:spacing w:before="0" w:beforeLines="0" w:line="400" w:lineRule="exact"/>
        <w:ind w:firstLine="420" w:firstLineChars="200"/>
        <w:outlineLvl w:val="9"/>
        <w:rPr>
          <w:rFonts w:ascii="宋体" w:eastAsia="宋体" w:hAnsi="宋体" w:cs="宋体" w:hint="eastAsia"/>
          <w:bCs/>
          <w:szCs w:val="21"/>
        </w:rPr>
      </w:pPr>
      <w:r>
        <w:rPr>
          <w:rFonts w:ascii="宋体" w:eastAsia="宋体" w:hAnsi="宋体" w:cs="宋体" w:hint="eastAsia"/>
          <w:bCs/>
          <w:szCs w:val="21"/>
        </w:rPr>
        <w:t>（4）分期履行要求：</w:t>
      </w:r>
      <w:r>
        <w:rPr>
          <w:rFonts w:ascii="宋体" w:eastAsia="宋体" w:hAnsi="宋体" w:cs="宋体" w:hint="eastAsia"/>
          <w:bCs/>
          <w:szCs w:val="21"/>
          <w:u w:val="single"/>
        </w:rPr>
        <w:t xml:space="preserve">                                                   </w:t>
      </w:r>
      <w:r>
        <w:rPr>
          <w:rFonts w:ascii="宋体" w:eastAsia="宋体" w:hAnsi="宋体" w:cs="宋体" w:hint="eastAsia"/>
          <w:bCs/>
          <w:szCs w:val="21"/>
          <w:u w:val="single"/>
          <w:lang w:val="en-US" w:eastAsia="zh-CN"/>
        </w:rPr>
        <w:t xml:space="preserve">    </w:t>
      </w:r>
      <w:r>
        <w:rPr>
          <w:rFonts w:ascii="宋体" w:eastAsia="宋体" w:hAnsi="宋体" w:cs="宋体" w:hint="eastAsia"/>
          <w:bCs/>
          <w:szCs w:val="21"/>
          <w:u w:val="single"/>
        </w:rPr>
        <w:t xml:space="preserve"> </w:t>
      </w:r>
    </w:p>
    <w:p>
      <w:pPr>
        <w:adjustRightInd w:val="0"/>
        <w:snapToGrid w:val="0"/>
        <w:spacing w:before="0" w:beforeLines="0" w:line="400" w:lineRule="exact"/>
        <w:ind w:firstLine="420" w:firstLineChars="200"/>
        <w:outlineLvl w:val="9"/>
        <w:rPr>
          <w:rFonts w:ascii="宋体" w:eastAsia="宋体" w:hAnsi="宋体" w:cs="宋体" w:hint="eastAsia"/>
          <w:szCs w:val="21"/>
          <w:u w:val="single"/>
        </w:rPr>
      </w:pPr>
      <w:r>
        <w:rPr>
          <w:rFonts w:ascii="宋体" w:eastAsia="宋体" w:hAnsi="宋体" w:cs="宋体" w:hint="eastAsia"/>
          <w:bCs/>
          <w:szCs w:val="21"/>
        </w:rPr>
        <w:t>（5）</w:t>
      </w:r>
      <w:r>
        <w:rPr>
          <w:rFonts w:ascii="宋体" w:eastAsia="宋体" w:hAnsi="宋体" w:cs="宋体" w:hint="eastAsia"/>
          <w:bCs/>
          <w:szCs w:val="21"/>
          <w:lang w:eastAsia="zh-CN"/>
        </w:rPr>
        <w:t>风险处置措施和替代方案</w:t>
      </w:r>
      <w:r>
        <w:rPr>
          <w:rFonts w:ascii="宋体" w:eastAsia="宋体" w:hAnsi="宋体" w:cs="宋体" w:hint="eastAsia"/>
          <w:bCs/>
          <w:szCs w:val="21"/>
        </w:rPr>
        <w:t>：</w:t>
      </w:r>
      <w:r>
        <w:rPr>
          <w:rFonts w:ascii="宋体" w:eastAsia="宋体" w:hAnsi="宋体" w:cs="宋体" w:hint="eastAsia"/>
          <w:color w:val="0000FF"/>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szCs w:val="21"/>
          <w:u w:val="single"/>
        </w:rPr>
        <w:t xml:space="preserve">                                                </w:t>
      </w:r>
    </w:p>
    <w:p>
      <w:pPr>
        <w:numPr>
          <w:ilvl w:val="0"/>
          <w:numId w:val="9"/>
        </w:numPr>
        <w:adjustRightInd w:val="0"/>
        <w:snapToGrid w:val="0"/>
        <w:spacing w:before="0" w:beforeLines="0" w:line="400" w:lineRule="exact"/>
        <w:ind w:firstLine="420" w:firstLineChars="200"/>
        <w:outlineLvl w:val="9"/>
        <w:rPr>
          <w:rFonts w:ascii="宋体" w:eastAsia="宋体" w:hAnsi="宋体"/>
          <w:b/>
          <w:szCs w:val="21"/>
        </w:rPr>
      </w:pPr>
      <w:r>
        <w:rPr>
          <w:rFonts w:ascii="宋体" w:eastAsia="宋体" w:hAnsi="宋体" w:hint="eastAsia"/>
          <w:b/>
          <w:szCs w:val="21"/>
        </w:rPr>
        <w:t>合同验收</w:t>
      </w:r>
    </w:p>
    <w:p>
      <w:pPr>
        <w:numPr>
          <w:ilvl w:val="0"/>
          <w:numId w:val="11"/>
        </w:numPr>
        <w:adjustRightInd w:val="0"/>
        <w:snapToGrid w:val="0"/>
        <w:spacing w:before="0" w:beforeLines="0" w:line="400" w:lineRule="exact"/>
        <w:ind w:firstLine="420" w:firstLineChars="200"/>
        <w:outlineLvl w:val="9"/>
        <w:rPr>
          <w:rFonts w:ascii="宋体" w:eastAsia="宋体" w:hAnsi="宋体" w:hint="eastAsia"/>
          <w:bCs/>
          <w:szCs w:val="21"/>
        </w:rPr>
      </w:pPr>
      <w:r>
        <w:rPr>
          <w:rFonts w:ascii="宋体" w:eastAsia="宋体" w:hAnsi="宋体" w:hint="eastAsia"/>
          <w:bCs/>
          <w:szCs w:val="21"/>
        </w:rPr>
        <w:t>验收组织方式：</w:t>
      </w:r>
      <w:r>
        <w:rPr>
          <w:rFonts w:ascii="Wingdings" w:eastAsia="宋体" w:hAnsi="Wingdings" w:cs="宋体" w:hint="eastAsia"/>
          <w:sz w:val="21"/>
          <w:szCs w:val="21"/>
        </w:rPr>
        <w:t>¨</w:t>
      </w:r>
      <w:r>
        <w:rPr>
          <w:rFonts w:ascii="宋体" w:eastAsia="宋体" w:hAnsi="宋体" w:hint="eastAsia"/>
          <w:bCs/>
          <w:szCs w:val="21"/>
        </w:rPr>
        <w:t xml:space="preserve">自行组织 </w:t>
      </w:r>
      <w:r>
        <w:rPr>
          <w:rFonts w:ascii="Wingdings" w:eastAsia="宋体" w:hAnsi="Wingdings" w:cs="宋体" w:hint="eastAsia"/>
          <w:sz w:val="21"/>
          <w:szCs w:val="21"/>
        </w:rPr>
        <w:t>¨</w:t>
      </w:r>
      <w:r>
        <w:rPr>
          <w:rFonts w:ascii="宋体" w:eastAsia="宋体" w:hAnsi="宋体" w:hint="eastAsia"/>
          <w:bCs/>
          <w:szCs w:val="21"/>
        </w:rPr>
        <w:t>委托第三方组织</w:t>
      </w:r>
    </w:p>
    <w:p>
      <w:pPr>
        <w:numPr>
          <w:ilvl w:val="0"/>
          <w:numId w:val="0"/>
        </w:numPr>
        <w:adjustRightInd w:val="0"/>
        <w:snapToGrid w:val="0"/>
        <w:spacing w:before="0" w:beforeLines="0" w:line="400" w:lineRule="exact"/>
        <w:outlineLvl w:val="9"/>
        <w:rPr>
          <w:rFonts w:ascii="宋体" w:eastAsia="宋体" w:hAnsi="宋体"/>
          <w:bCs/>
          <w:szCs w:val="21"/>
        </w:rPr>
      </w:pPr>
      <w:r>
        <w:rPr>
          <w:rFonts w:ascii="宋体" w:eastAsia="宋体" w:hAnsi="宋体" w:hint="eastAsia"/>
          <w:bCs/>
          <w:szCs w:val="21"/>
          <w:lang w:val="en-US" w:eastAsia="zh-CN"/>
        </w:rPr>
        <w:t xml:space="preserve">         </w:t>
      </w:r>
      <w:r>
        <w:rPr>
          <w:rFonts w:ascii="宋体" w:eastAsia="宋体" w:hAnsi="宋体" w:hint="eastAsia"/>
          <w:bCs/>
          <w:szCs w:val="21"/>
        </w:rPr>
        <w:t>验收主体：</w:t>
      </w:r>
      <w:r>
        <w:rPr>
          <w:rFonts w:ascii="宋体" w:eastAsia="宋体" w:hAnsi="宋体" w:hint="eastAsia"/>
          <w:bCs/>
          <w:szCs w:val="21"/>
          <w:u w:val="single"/>
        </w:rPr>
        <w:t xml:space="preserve">                  </w:t>
      </w:r>
    </w:p>
    <w:p>
      <w:pPr>
        <w:adjustRightInd w:val="0"/>
        <w:snapToGrid w:val="0"/>
        <w:spacing w:before="0" w:beforeLines="0" w:line="400" w:lineRule="exact"/>
        <w:ind w:firstLine="0" w:firstLineChars="0"/>
        <w:outlineLvl w:val="9"/>
        <w:rPr>
          <w:rFonts w:ascii="宋体" w:eastAsia="宋体" w:hAnsi="宋体"/>
          <w:bCs/>
          <w:szCs w:val="21"/>
        </w:rPr>
      </w:pPr>
      <w:r>
        <w:rPr>
          <w:rFonts w:ascii="宋体" w:eastAsia="宋体" w:hAnsi="宋体" w:hint="eastAsia"/>
          <w:bCs/>
          <w:szCs w:val="21"/>
          <w:lang w:val="en-US" w:eastAsia="zh-CN"/>
        </w:rPr>
        <w:t xml:space="preserve">        </w:t>
      </w:r>
      <w:r>
        <w:rPr>
          <w:rFonts w:ascii="宋体" w:eastAsia="宋体" w:hAnsi="宋体" w:hint="eastAsia"/>
          <w:bCs/>
          <w:szCs w:val="21"/>
        </w:rPr>
        <w:t>是否邀请本项目的其他供应商</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bCs/>
          <w:szCs w:val="21"/>
        </w:rPr>
      </w:pPr>
      <w:r>
        <w:rPr>
          <w:rFonts w:ascii="宋体" w:eastAsia="宋体" w:hAnsi="宋体" w:hint="eastAsia"/>
          <w:bCs/>
          <w:szCs w:val="21"/>
        </w:rPr>
        <w:t>是否邀请专家</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bCs/>
          <w:szCs w:val="21"/>
        </w:rPr>
      </w:pPr>
      <w:r>
        <w:rPr>
          <w:rFonts w:ascii="宋体" w:eastAsia="宋体" w:hAnsi="宋体" w:hint="eastAsia"/>
          <w:bCs/>
          <w:szCs w:val="21"/>
        </w:rPr>
        <w:t>是否邀请服务对象</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bCs/>
          <w:szCs w:val="21"/>
        </w:rPr>
      </w:pPr>
      <w:r>
        <w:rPr>
          <w:rFonts w:ascii="宋体" w:eastAsia="宋体" w:hAnsi="宋体" w:hint="eastAsia"/>
          <w:bCs/>
          <w:szCs w:val="21"/>
        </w:rPr>
        <w:t>是否邀请第三方检测机构</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hint="eastAsia"/>
          <w:bCs/>
          <w:szCs w:val="21"/>
        </w:rPr>
      </w:pPr>
      <w:r>
        <w:rPr>
          <w:rFonts w:ascii="宋体" w:eastAsia="宋体" w:hAnsi="宋体" w:hint="eastAsia"/>
          <w:bCs/>
          <w:szCs w:val="21"/>
          <w:lang w:eastAsia="zh-CN"/>
        </w:rPr>
        <w:t>是否进行抽查检测：</w:t>
      </w:r>
      <w:r>
        <w:rPr>
          <w:rFonts w:ascii="Wingdings" w:eastAsia="宋体" w:hAnsi="Wingdings" w:cs="宋体" w:hint="eastAsia"/>
          <w:sz w:val="21"/>
          <w:szCs w:val="21"/>
        </w:rPr>
        <w:t>¨</w:t>
      </w:r>
      <w:r>
        <w:rPr>
          <w:rFonts w:ascii="宋体" w:eastAsia="宋体" w:hAnsi="宋体" w:hint="eastAsia"/>
          <w:bCs/>
          <w:szCs w:val="21"/>
        </w:rPr>
        <w:t>是</w:t>
      </w:r>
      <w:r>
        <w:rPr>
          <w:rFonts w:ascii="宋体" w:eastAsia="宋体" w:hAnsi="宋体" w:hint="eastAsia"/>
          <w:bCs/>
          <w:szCs w:val="21"/>
          <w:lang w:eastAsia="zh-CN"/>
        </w:rPr>
        <w:t>，抽查比例：</w:t>
      </w:r>
      <w:r>
        <w:rPr>
          <w:rFonts w:ascii="宋体" w:eastAsia="宋体" w:hAnsi="宋体" w:hint="eastAsia"/>
          <w:bCs/>
          <w:szCs w:val="21"/>
          <w:u w:val="single"/>
        </w:rPr>
        <w:t xml:space="preserve">   </w:t>
      </w:r>
      <w:r>
        <w:rPr>
          <w:rFonts w:ascii="宋体" w:eastAsia="宋体" w:hAnsi="宋体" w:hint="eastAsia"/>
          <w:bCs/>
          <w:szCs w:val="21"/>
          <w:u w:val="single"/>
          <w:lang w:val="en-US" w:eastAsia="zh-CN"/>
        </w:rPr>
        <w:t xml:space="preserve">     </w:t>
      </w:r>
      <w:r>
        <w:rPr>
          <w:rFonts w:ascii="宋体" w:eastAsia="宋体" w:hAnsi="宋体" w:hint="eastAsia"/>
          <w:bCs/>
          <w:szCs w:val="21"/>
        </w:rPr>
        <w:t xml:space="preserve">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hint="eastAsia"/>
          <w:bCs/>
          <w:szCs w:val="21"/>
          <w:u w:val="single"/>
          <w:lang w:eastAsia="zh-CN"/>
        </w:rPr>
      </w:pPr>
      <w:r>
        <w:rPr>
          <w:rFonts w:ascii="宋体" w:eastAsia="宋体" w:hAnsi="宋体" w:hint="eastAsia"/>
          <w:bCs/>
          <w:szCs w:val="21"/>
          <w:lang w:val="en-US" w:eastAsia="zh-CN"/>
        </w:rPr>
        <w:t>是否存在破坏性检测：</w:t>
      </w:r>
      <w:r>
        <w:rPr>
          <w:rFonts w:ascii="Wingdings" w:eastAsia="宋体" w:hAnsi="Wingdings" w:cs="宋体" w:hint="eastAsia"/>
          <w:sz w:val="21"/>
          <w:szCs w:val="21"/>
        </w:rPr>
        <w:t>¨</w:t>
      </w:r>
      <w:r>
        <w:rPr>
          <w:rFonts w:ascii="宋体" w:eastAsia="宋体" w:hAnsi="宋体" w:hint="eastAsia"/>
          <w:bCs/>
          <w:szCs w:val="21"/>
        </w:rPr>
        <w:t>是</w:t>
      </w:r>
      <w:r>
        <w:rPr>
          <w:rFonts w:ascii="宋体" w:eastAsia="宋体" w:hAnsi="宋体" w:hint="eastAsia"/>
          <w:bCs/>
          <w:szCs w:val="21"/>
          <w:lang w:eastAsia="zh-CN"/>
        </w:rPr>
        <w:t>，</w:t>
      </w:r>
      <w:r>
        <w:rPr>
          <w:rFonts w:ascii="宋体" w:eastAsia="宋体" w:hAnsi="宋体" w:hint="eastAsia"/>
          <w:bCs/>
          <w:szCs w:val="21"/>
          <w:u w:val="single"/>
          <w:lang w:eastAsia="zh-CN"/>
        </w:rPr>
        <w:t>（应明确对被破坏的检测产品的处理方式）</w:t>
      </w:r>
    </w:p>
    <w:p>
      <w:pPr>
        <w:adjustRightInd w:val="0"/>
        <w:snapToGrid w:val="0"/>
        <w:spacing w:before="0" w:beforeLines="0" w:line="400" w:lineRule="exact"/>
        <w:ind w:firstLine="840" w:firstLineChars="400"/>
        <w:outlineLvl w:val="9"/>
        <w:rPr>
          <w:rFonts w:ascii="宋体" w:eastAsia="宋体" w:hAnsi="宋体" w:hint="eastAsia"/>
          <w:bCs/>
          <w:szCs w:val="21"/>
          <w:lang w:eastAsia="zh-CN"/>
        </w:rPr>
      </w:pPr>
      <w:r>
        <w:rPr>
          <w:rFonts w:ascii="宋体" w:eastAsia="宋体" w:hAnsi="宋体" w:hint="eastAsia"/>
          <w:bCs/>
          <w:szCs w:val="21"/>
          <w:lang w:val="en-US" w:eastAsia="zh-CN"/>
        </w:rPr>
        <w:t xml:space="preserve">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beforeLines="0" w:line="400" w:lineRule="exact"/>
        <w:ind w:firstLine="840" w:firstLineChars="400"/>
        <w:outlineLvl w:val="9"/>
        <w:rPr>
          <w:rFonts w:ascii="宋体" w:eastAsia="宋体" w:hAnsi="宋体" w:hint="eastAsia"/>
          <w:bCs/>
          <w:szCs w:val="21"/>
          <w:u w:val="single"/>
        </w:rPr>
      </w:pPr>
      <w:r>
        <w:rPr>
          <w:rFonts w:ascii="宋体" w:eastAsia="宋体" w:hAnsi="宋体" w:hint="eastAsia"/>
          <w:bCs/>
          <w:szCs w:val="21"/>
        </w:rPr>
        <w:t>验收组织的其他事项：</w:t>
      </w:r>
      <w:r>
        <w:rPr>
          <w:rFonts w:ascii="宋体" w:eastAsia="宋体" w:hAnsi="宋体" w:hint="eastAsia"/>
          <w:bCs/>
          <w:szCs w:val="21"/>
          <w:u w:val="single"/>
        </w:rPr>
        <w:t xml:space="preserve">                </w:t>
      </w:r>
    </w:p>
    <w:p>
      <w:pPr>
        <w:adjustRightInd w:val="0"/>
        <w:snapToGrid w:val="0"/>
        <w:spacing w:before="0" w:beforeLines="0" w:line="400" w:lineRule="exact"/>
        <w:ind w:firstLine="420" w:firstLineChars="200"/>
        <w:outlineLvl w:val="9"/>
        <w:rPr>
          <w:rFonts w:ascii="宋体" w:eastAsia="宋体" w:hAnsi="宋体" w:hint="eastAsia"/>
          <w:bCs/>
          <w:szCs w:val="21"/>
          <w:u w:val="single"/>
        </w:rPr>
      </w:pPr>
      <w:r>
        <w:rPr>
          <w:rFonts w:ascii="宋体" w:eastAsia="宋体" w:hAnsi="宋体" w:hint="eastAsia"/>
          <w:bCs/>
          <w:szCs w:val="21"/>
        </w:rPr>
        <w:t>（2）履约验收时间：</w:t>
      </w:r>
      <w:r>
        <w:rPr>
          <w:rFonts w:ascii="宋体" w:eastAsia="宋体" w:hAnsi="宋体" w:hint="eastAsia"/>
          <w:bCs/>
          <w:szCs w:val="21"/>
          <w:u w:val="single"/>
        </w:rPr>
        <w:t>（计划于何时验收/供应商提出验收申请之日起   日内组织验收）</w:t>
      </w:r>
      <w:r>
        <w:rPr>
          <w:rFonts w:ascii="宋体" w:eastAsia="宋体" w:hAnsi="宋体" w:hint="eastAsia"/>
          <w:bCs/>
          <w:szCs w:val="21"/>
          <w:u w:val="single"/>
          <w:lang w:val="en-US" w:eastAsia="zh-CN"/>
        </w:rPr>
        <w:t xml:space="preserve"> </w:t>
      </w:r>
    </w:p>
    <w:p>
      <w:pPr>
        <w:adjustRightInd w:val="0"/>
        <w:snapToGrid w:val="0"/>
        <w:spacing w:before="0" w:beforeLines="0" w:line="400" w:lineRule="exact"/>
        <w:ind w:firstLine="420" w:firstLineChars="200"/>
        <w:outlineLvl w:val="9"/>
        <w:rPr>
          <w:rFonts w:ascii="宋体" w:eastAsia="宋体" w:hAnsi="宋体" w:hint="eastAsia"/>
          <w:bCs/>
          <w:szCs w:val="21"/>
        </w:rPr>
      </w:pPr>
      <w:r>
        <w:rPr>
          <w:rFonts w:ascii="宋体" w:eastAsia="宋体" w:hAnsi="宋体" w:hint="eastAsia"/>
          <w:bCs/>
          <w:szCs w:val="21"/>
        </w:rPr>
        <w:t>（3）履约验收方式：</w:t>
      </w:r>
      <w:r>
        <w:rPr>
          <w:rFonts w:ascii="Wingdings" w:eastAsia="宋体" w:hAnsi="Wingdings" w:cs="宋体" w:hint="eastAsia"/>
          <w:sz w:val="21"/>
          <w:szCs w:val="21"/>
        </w:rPr>
        <w:t>¨</w:t>
      </w:r>
      <w:r>
        <w:rPr>
          <w:rFonts w:ascii="宋体" w:eastAsia="宋体" w:hAnsi="宋体" w:hint="eastAsia"/>
          <w:bCs/>
          <w:szCs w:val="21"/>
        </w:rPr>
        <w:t xml:space="preserve">一次性验收         </w:t>
      </w:r>
    </w:p>
    <w:p>
      <w:pPr>
        <w:adjustRightInd w:val="0"/>
        <w:snapToGrid w:val="0"/>
        <w:spacing w:before="0" w:beforeLines="0" w:line="400" w:lineRule="exact"/>
        <w:ind w:firstLine="0" w:firstLineChars="0"/>
        <w:outlineLvl w:val="9"/>
        <w:rPr>
          <w:rFonts w:ascii="宋体" w:eastAsia="宋体" w:hAnsi="宋体" w:hint="eastAsia"/>
          <w:bCs/>
          <w:szCs w:val="21"/>
          <w:lang w:val="en-US" w:eastAsia="zh-CN"/>
        </w:rPr>
      </w:pPr>
      <w:r>
        <w:rPr>
          <w:rFonts w:ascii="宋体" w:eastAsia="宋体" w:hAnsi="宋体" w:hint="eastAsia"/>
          <w:bCs/>
          <w:szCs w:val="21"/>
          <w:lang w:val="en-US" w:eastAsia="zh-CN"/>
        </w:rPr>
        <w:t xml:space="preserve">                       </w:t>
      </w:r>
      <w:r>
        <w:rPr>
          <w:rFonts w:ascii="Wingdings" w:eastAsia="宋体" w:hAnsi="Wingdings" w:cs="宋体" w:hint="eastAsia"/>
          <w:sz w:val="21"/>
          <w:szCs w:val="21"/>
        </w:rPr>
        <w:t>¨</w:t>
      </w:r>
      <w:r>
        <w:rPr>
          <w:rFonts w:ascii="宋体" w:eastAsia="宋体" w:hAnsi="宋体" w:hint="eastAsia"/>
          <w:bCs/>
          <w:szCs w:val="21"/>
        </w:rPr>
        <w:t>分期/分项验收</w:t>
      </w:r>
      <w:r>
        <w:rPr>
          <w:rFonts w:ascii="宋体" w:eastAsia="宋体" w:hAnsi="宋体" w:hint="eastAsia"/>
          <w:bCs/>
          <w:szCs w:val="21"/>
          <w:lang w:eastAsia="zh-CN"/>
        </w:rPr>
        <w:t>：</w:t>
      </w:r>
      <w:r>
        <w:rPr>
          <w:rFonts w:ascii="宋体" w:eastAsia="宋体" w:hAnsi="宋体" w:hint="eastAsia"/>
          <w:bCs/>
          <w:szCs w:val="21"/>
          <w:u w:val="single"/>
        </w:rPr>
        <w:t xml:space="preserve"> </w:t>
      </w:r>
      <w:r>
        <w:rPr>
          <w:rFonts w:ascii="宋体" w:eastAsia="宋体" w:hAnsi="宋体" w:hint="eastAsia"/>
          <w:bCs/>
          <w:szCs w:val="21"/>
          <w:u w:val="single"/>
          <w:lang w:eastAsia="zh-CN"/>
        </w:rPr>
        <w:t>（应明确分期</w:t>
      </w:r>
      <w:r>
        <w:rPr>
          <w:rFonts w:ascii="宋体" w:eastAsia="宋体" w:hAnsi="宋体" w:hint="default"/>
          <w:bCs/>
          <w:szCs w:val="21"/>
          <w:u w:val="single"/>
          <w:lang w:eastAsia="zh-CN"/>
        </w:rPr>
        <w:t>/</w:t>
      </w:r>
      <w:r>
        <w:rPr>
          <w:rFonts w:ascii="宋体" w:eastAsia="宋体" w:hAnsi="宋体" w:hint="eastAsia"/>
          <w:bCs/>
          <w:szCs w:val="21"/>
          <w:u w:val="single"/>
          <w:lang w:eastAsia="zh-CN"/>
        </w:rPr>
        <w:t>分项验收的工作安排）</w:t>
      </w:r>
      <w:r>
        <w:rPr>
          <w:rFonts w:ascii="宋体" w:eastAsia="宋体" w:hAnsi="宋体" w:hint="eastAsia"/>
          <w:bCs/>
          <w:szCs w:val="21"/>
          <w:u w:val="single"/>
        </w:rPr>
        <w:t xml:space="preserve"> </w:t>
      </w:r>
      <w:r>
        <w:rPr>
          <w:rFonts w:ascii="宋体" w:eastAsia="宋体" w:hAnsi="宋体" w:hint="eastAsia"/>
          <w:bCs/>
          <w:szCs w:val="21"/>
          <w:u w:val="single"/>
          <w:lang w:val="en-US" w:eastAsia="zh-CN"/>
        </w:rPr>
        <w:t xml:space="preserve"> </w:t>
      </w:r>
    </w:p>
    <w:p>
      <w:pPr>
        <w:adjustRightInd w:val="0"/>
        <w:snapToGrid w:val="0"/>
        <w:spacing w:before="0" w:beforeLines="0" w:line="400" w:lineRule="exact"/>
        <w:ind w:firstLine="420" w:firstLineChars="200"/>
        <w:outlineLvl w:val="9"/>
        <w:rPr>
          <w:rFonts w:ascii="宋体" w:eastAsia="宋体" w:hAnsi="宋体"/>
          <w:bCs/>
          <w:szCs w:val="21"/>
        </w:rPr>
      </w:pPr>
      <w:r>
        <w:rPr>
          <w:rFonts w:ascii="宋体" w:eastAsia="宋体" w:hAnsi="宋体" w:hint="eastAsia"/>
          <w:bCs/>
          <w:szCs w:val="21"/>
        </w:rPr>
        <w:t>（4）履约验收程序：</w:t>
      </w:r>
      <w:r>
        <w:rPr>
          <w:rFonts w:ascii="宋体" w:eastAsia="宋体" w:hAnsi="宋体" w:hint="eastAsia"/>
          <w:bCs/>
          <w:szCs w:val="21"/>
          <w:u w:val="single"/>
        </w:rPr>
        <w:t xml:space="preserve">                                         </w:t>
      </w:r>
    </w:p>
    <w:p>
      <w:pPr>
        <w:adjustRightInd w:val="0"/>
        <w:snapToGrid w:val="0"/>
        <w:spacing w:before="0" w:beforeLines="0" w:line="400" w:lineRule="exact"/>
        <w:ind w:firstLine="420" w:firstLineChars="200"/>
        <w:outlineLvl w:val="9"/>
        <w:rPr>
          <w:rFonts w:ascii="宋体" w:eastAsia="宋体" w:hAnsi="宋体"/>
          <w:bCs/>
          <w:szCs w:val="21"/>
          <w:u w:val="single"/>
        </w:rPr>
      </w:pPr>
      <w:r>
        <w:rPr>
          <w:rFonts w:ascii="宋体" w:eastAsia="宋体" w:hAnsi="宋体" w:hint="eastAsia"/>
          <w:bCs/>
          <w:szCs w:val="21"/>
        </w:rPr>
        <w:t>（5）履约验收的内容：</w:t>
      </w:r>
      <w:r>
        <w:rPr>
          <w:rFonts w:ascii="宋体" w:eastAsia="宋体" w:hAnsi="宋体" w:hint="eastAsia"/>
          <w:bCs/>
          <w:szCs w:val="21"/>
          <w:u w:val="single"/>
        </w:rPr>
        <w:t xml:space="preserve"> </w:t>
      </w:r>
      <w:r>
        <w:rPr>
          <w:rFonts w:ascii="宋体" w:eastAsia="宋体" w:hAnsi="宋体" w:hint="eastAsia"/>
          <w:bCs/>
          <w:szCs w:val="21"/>
          <w:u w:val="single"/>
          <w:lang w:eastAsia="zh-CN"/>
        </w:rPr>
        <w:t>（应当包括每一项技术和商务要求的履约情况，特别是落实政府采购扶持中小企业，支持绿色发展和乡村振兴等政策情况）</w:t>
      </w:r>
      <w:r>
        <w:rPr>
          <w:rFonts w:ascii="宋体" w:eastAsia="宋体" w:hAnsi="宋体" w:hint="eastAsia"/>
          <w:bCs/>
          <w:szCs w:val="21"/>
          <w:u w:val="single"/>
        </w:rPr>
        <w:t xml:space="preserve">                                      </w:t>
      </w:r>
    </w:p>
    <w:p>
      <w:pPr>
        <w:adjustRightInd w:val="0"/>
        <w:snapToGrid w:val="0"/>
        <w:spacing w:before="0" w:beforeLines="0" w:line="400" w:lineRule="exact"/>
        <w:ind w:firstLine="420" w:firstLineChars="200"/>
        <w:outlineLvl w:val="9"/>
        <w:rPr>
          <w:rFonts w:ascii="宋体" w:eastAsia="宋体" w:hAnsi="宋体" w:hint="eastAsia"/>
          <w:bCs/>
          <w:szCs w:val="21"/>
          <w:u w:val="single"/>
        </w:rPr>
      </w:pPr>
      <w:r>
        <w:rPr>
          <w:rFonts w:ascii="宋体" w:eastAsia="宋体" w:hAnsi="宋体" w:hint="eastAsia"/>
          <w:bCs/>
          <w:szCs w:val="21"/>
        </w:rPr>
        <w:t>（6）履约验收标准：</w:t>
      </w:r>
      <w:r>
        <w:rPr>
          <w:rFonts w:ascii="宋体" w:eastAsia="宋体" w:hAnsi="宋体" w:hint="eastAsia"/>
          <w:bCs/>
          <w:szCs w:val="21"/>
          <w:u w:val="single"/>
        </w:rPr>
        <w:t xml:space="preserve">                                         </w:t>
      </w:r>
    </w:p>
    <w:p>
      <w:pPr>
        <w:autoSpaceDE w:val="0"/>
        <w:autoSpaceDN w:val="0"/>
        <w:adjustRightInd w:val="0"/>
        <w:spacing w:beforeLines="0"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bCs/>
          <w:sz w:val="21"/>
          <w:szCs w:val="21"/>
          <w:u w:val="none"/>
          <w:lang w:val="en-US" w:eastAsia="zh-CN" w:bidi="ar-SA"/>
        </w:rPr>
        <w:t>（7）是否以采购活动中供应商提供的样品作为参考：</w:t>
      </w:r>
      <w:r>
        <w:rPr>
          <w:rFonts w:ascii="Wingdings" w:eastAsia="宋体" w:hAnsi="Wingdings" w:cs="宋体" w:hint="eastAsia"/>
          <w:sz w:val="21"/>
          <w:szCs w:val="21"/>
          <w:lang w:val="en-US" w:eastAsia="zh-CN" w:bidi="ar-SA"/>
        </w:rPr>
        <w:t>¨</w:t>
      </w:r>
      <w:r>
        <w:rPr>
          <w:rFonts w:ascii="宋体" w:eastAsia="宋体" w:hAnsi="宋体" w:cs="宋体" w:hint="eastAsia"/>
          <w:bCs/>
          <w:sz w:val="21"/>
          <w:szCs w:val="21"/>
          <w:lang w:val="en-US" w:eastAsia="zh-CN" w:bidi="ar-SA"/>
        </w:rPr>
        <w:t xml:space="preserve">是  </w:t>
      </w:r>
      <w:r>
        <w:rPr>
          <w:rFonts w:ascii="Wingdings" w:eastAsia="宋体" w:hAnsi="Wingdings" w:cs="宋体" w:hint="eastAsia"/>
          <w:sz w:val="21"/>
          <w:szCs w:val="21"/>
          <w:lang w:val="en-US" w:eastAsia="zh-CN" w:bidi="ar-SA"/>
        </w:rPr>
        <w:t>¨</w:t>
      </w:r>
      <w:r>
        <w:rPr>
          <w:rFonts w:ascii="宋体" w:eastAsia="宋体" w:hAnsi="宋体" w:cs="宋体" w:hint="eastAsia"/>
          <w:bCs/>
          <w:sz w:val="21"/>
          <w:szCs w:val="21"/>
          <w:lang w:val="en-US" w:eastAsia="zh-CN" w:bidi="ar-SA"/>
        </w:rPr>
        <w:t>否</w:t>
      </w:r>
    </w:p>
    <w:p>
      <w:pPr>
        <w:adjustRightInd w:val="0"/>
        <w:snapToGrid w:val="0"/>
        <w:spacing w:before="0" w:beforeLines="0" w:line="400" w:lineRule="exact"/>
        <w:ind w:firstLine="420" w:firstLineChars="200"/>
        <w:outlineLvl w:val="9"/>
        <w:rPr>
          <w:rFonts w:ascii="宋体" w:eastAsia="宋体" w:hAnsi="宋体" w:cs="宋体" w:hint="eastAsia"/>
          <w:bCs/>
          <w:szCs w:val="21"/>
          <w:u w:val="single"/>
        </w:rPr>
      </w:pPr>
      <w:r>
        <w:rPr>
          <w:rFonts w:ascii="宋体" w:eastAsia="宋体" w:hAnsi="宋体" w:cs="宋体" w:hint="eastAsia"/>
          <w:bCs/>
          <w:szCs w:val="21"/>
        </w:rPr>
        <w:t>（8）履约验收其他事项：</w:t>
      </w:r>
      <w:r>
        <w:rPr>
          <w:rFonts w:ascii="宋体" w:eastAsia="宋体" w:hAnsi="宋体" w:cs="宋体" w:hint="eastAsia"/>
          <w:bCs/>
          <w:szCs w:val="21"/>
          <w:u w:val="single"/>
        </w:rPr>
        <w:t xml:space="preserve">      </w:t>
      </w:r>
      <w:r>
        <w:rPr>
          <w:rFonts w:ascii="宋体" w:eastAsia="宋体" w:hAnsi="宋体" w:cs="宋体" w:hint="eastAsia"/>
          <w:bCs/>
          <w:i w:val="0"/>
          <w:iCs w:val="0"/>
          <w:szCs w:val="21"/>
          <w:u w:val="single"/>
        </w:rPr>
        <w:t>（产权过户登记等）</w:t>
      </w:r>
      <w:r>
        <w:rPr>
          <w:rFonts w:ascii="宋体" w:eastAsia="宋体" w:hAnsi="宋体" w:cs="宋体" w:hint="eastAsia"/>
          <w:bCs/>
          <w:szCs w:val="21"/>
          <w:u w:val="single"/>
        </w:rPr>
        <w:t xml:space="preserve">          </w:t>
      </w:r>
    </w:p>
    <w:p>
      <w:pPr>
        <w:numPr>
          <w:ilvl w:val="0"/>
          <w:numId w:val="9"/>
        </w:numPr>
        <w:adjustRightInd w:val="0"/>
        <w:snapToGrid w:val="0"/>
        <w:spacing w:before="0" w:beforeLines="0" w:line="400" w:lineRule="exact"/>
        <w:ind w:firstLine="420" w:firstLineChars="200"/>
        <w:outlineLvl w:val="9"/>
        <w:rPr>
          <w:rFonts w:ascii="宋体" w:eastAsia="宋体" w:hAnsi="宋体" w:hint="eastAsia"/>
          <w:b/>
          <w:szCs w:val="21"/>
        </w:rPr>
      </w:pPr>
      <w:r>
        <w:rPr>
          <w:rFonts w:ascii="宋体" w:eastAsia="宋体" w:hAnsi="宋体" w:hint="eastAsia"/>
          <w:b/>
          <w:szCs w:val="21"/>
        </w:rPr>
        <w:t>组成合同的文件</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outlineLvl w:val="9"/>
        <w:rPr>
          <w:rFonts w:ascii="宋体" w:eastAsia="宋体" w:hAnsi="宋体" w:hint="eastAsia"/>
          <w:color w:val="auto"/>
          <w:szCs w:val="21"/>
          <w:lang w:eastAsia="zh-CN"/>
        </w:rPr>
      </w:pPr>
      <w:r>
        <w:rPr>
          <w:rFonts w:ascii="宋体" w:eastAsia="宋体" w:hAnsi="宋体" w:hint="eastAsia"/>
          <w:color w:val="auto"/>
          <w:szCs w:val="21"/>
        </w:rPr>
        <w:t>（1）</w:t>
      </w:r>
      <w:r>
        <w:rPr>
          <w:rFonts w:ascii="宋体" w:eastAsia="宋体" w:hAnsi="宋体" w:hint="eastAsia"/>
          <w:color w:val="auto"/>
          <w:szCs w:val="21"/>
          <w:lang w:eastAsia="zh-CN"/>
        </w:rPr>
        <w:t>政府采购</w:t>
      </w:r>
      <w:r>
        <w:rPr>
          <w:rFonts w:ascii="宋体" w:eastAsia="宋体" w:hAnsi="宋体" w:hint="eastAsia"/>
          <w:color w:val="auto"/>
          <w:szCs w:val="21"/>
        </w:rPr>
        <w:t>合同协议书及其变更、补充</w:t>
      </w:r>
      <w:r>
        <w:rPr>
          <w:rFonts w:ascii="宋体" w:eastAsia="宋体" w:hAnsi="宋体" w:hint="eastAsia"/>
          <w:color w:val="auto"/>
          <w:szCs w:val="21"/>
          <w:lang w:eastAsia="zh-CN"/>
        </w:rPr>
        <w:t>协议</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eastAsia"/>
          <w:szCs w:val="21"/>
          <w:lang w:val="en-US" w:eastAsia="zh-CN"/>
        </w:rPr>
        <w:t>2</w:t>
      </w:r>
      <w:r>
        <w:rPr>
          <w:rFonts w:ascii="宋体" w:eastAsia="宋体" w:hAnsi="宋体" w:hint="eastAsia"/>
          <w:szCs w:val="21"/>
        </w:rPr>
        <w:t>）政府采购合同专用条款</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eastAsia"/>
          <w:szCs w:val="21"/>
          <w:lang w:val="en-US" w:eastAsia="zh-CN"/>
        </w:rPr>
        <w:t>3</w:t>
      </w:r>
      <w:r>
        <w:rPr>
          <w:rFonts w:ascii="宋体" w:eastAsia="宋体" w:hAnsi="宋体" w:hint="eastAsia"/>
          <w:szCs w:val="21"/>
        </w:rPr>
        <w:t>）政府采购合同通用条款</w:t>
      </w:r>
    </w:p>
    <w:p>
      <w:pPr>
        <w:adjustRightInd w:val="0"/>
        <w:snapToGrid w:val="0"/>
        <w:spacing w:before="0" w:beforeLines="0" w:line="400" w:lineRule="exact"/>
        <w:ind w:firstLine="420" w:firstLineChars="200"/>
        <w:outlineLvl w:val="9"/>
        <w:rPr>
          <w:rFonts w:ascii="宋体" w:eastAsia="宋体" w:hAnsi="宋体"/>
          <w:color w:val="auto"/>
          <w:szCs w:val="21"/>
        </w:rPr>
      </w:pPr>
      <w:r>
        <w:rPr>
          <w:rFonts w:ascii="宋体" w:eastAsia="宋体" w:hAnsi="宋体" w:hint="eastAsia"/>
          <w:color w:val="auto"/>
          <w:szCs w:val="21"/>
        </w:rPr>
        <w:t>（</w:t>
      </w:r>
      <w:r>
        <w:rPr>
          <w:rFonts w:ascii="宋体" w:eastAsia="宋体" w:hAnsi="宋体" w:hint="eastAsia"/>
          <w:color w:val="auto"/>
          <w:szCs w:val="21"/>
          <w:lang w:val="en-US" w:eastAsia="zh-CN"/>
        </w:rPr>
        <w:t>4</w:t>
      </w:r>
      <w:r>
        <w:rPr>
          <w:rFonts w:ascii="宋体" w:eastAsia="宋体" w:hAnsi="宋体" w:hint="eastAsia"/>
          <w:color w:val="auto"/>
          <w:szCs w:val="21"/>
        </w:rPr>
        <w:t>）中标</w:t>
      </w:r>
      <w:r>
        <w:rPr>
          <w:rFonts w:ascii="宋体" w:eastAsia="宋体" w:hAnsi="宋体" w:hint="eastAsia"/>
          <w:color w:val="auto"/>
          <w:szCs w:val="21"/>
          <w:lang w:eastAsia="zh-CN"/>
        </w:rPr>
        <w:t>（成交）</w:t>
      </w:r>
      <w:r>
        <w:rPr>
          <w:rFonts w:ascii="宋体" w:eastAsia="宋体" w:hAnsi="宋体" w:hint="eastAsia"/>
          <w:color w:val="auto"/>
          <w:szCs w:val="21"/>
        </w:rPr>
        <w:t>通知书</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eastAsia"/>
          <w:szCs w:val="21"/>
          <w:lang w:val="en-US" w:eastAsia="zh-CN"/>
        </w:rPr>
        <w:t>5</w:t>
      </w:r>
      <w:r>
        <w:rPr>
          <w:rFonts w:ascii="宋体" w:eastAsia="宋体" w:hAnsi="宋体" w:hint="eastAsia"/>
          <w:szCs w:val="21"/>
        </w:rPr>
        <w:t>）投标（响应）文件</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（6）采购文件</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（7）有关技术文件，图纸</w:t>
      </w:r>
    </w:p>
    <w:p>
      <w:pPr>
        <w:autoSpaceDE w:val="0"/>
        <w:autoSpaceDN w:val="0"/>
        <w:adjustRightInd w:val="0"/>
        <w:spacing w:beforeLines="0" w:line="400" w:lineRule="exact"/>
        <w:ind w:firstLine="420" w:firstLineChars="200"/>
        <w:outlineLvl w:val="9"/>
        <w:rPr>
          <w:rFonts w:ascii="宋体" w:eastAsia="宋体" w:hAnsi="宋体" w:cs="宋体" w:hint="eastAsia"/>
          <w:kern w:val="2"/>
          <w:sz w:val="21"/>
          <w:szCs w:val="21"/>
          <w:highlight w:val="none"/>
          <w:lang w:val="en-US" w:eastAsia="zh-CN" w:bidi="ar-SA"/>
        </w:rPr>
      </w:pPr>
      <w:r>
        <w:rPr>
          <w:rFonts w:ascii="宋体" w:eastAsia="宋体" w:hAnsi="宋体" w:cs="宋体" w:hint="eastAsia"/>
          <w:sz w:val="21"/>
          <w:szCs w:val="21"/>
          <w:highlight w:val="none"/>
          <w:lang w:val="en-US" w:eastAsia="zh-CN" w:bidi="ar-SA"/>
        </w:rPr>
        <w:t>（8）</w:t>
      </w:r>
      <w:r>
        <w:rPr>
          <w:rFonts w:ascii="宋体" w:eastAsia="宋体" w:hAnsi="宋体" w:cs="宋体" w:hint="eastAsia"/>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9"/>
        </w:numPr>
        <w:adjustRightInd w:val="0"/>
        <w:snapToGrid w:val="0"/>
        <w:spacing w:before="0" w:beforeLines="0" w:line="400" w:lineRule="exact"/>
        <w:ind w:firstLine="420" w:firstLineChars="200"/>
        <w:outlineLvl w:val="9"/>
        <w:rPr>
          <w:rFonts w:ascii="宋体" w:eastAsia="宋体" w:hAnsi="宋体" w:hint="eastAsia"/>
          <w:b/>
          <w:szCs w:val="21"/>
        </w:rPr>
      </w:pPr>
      <w:r>
        <w:rPr>
          <w:rFonts w:ascii="宋体" w:eastAsia="宋体" w:hAnsi="宋体" w:hint="eastAsia"/>
          <w:b/>
          <w:szCs w:val="21"/>
        </w:rPr>
        <w:t>合同生效</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本合同自</w:t>
      </w:r>
      <w:r>
        <w:rPr>
          <w:rFonts w:ascii="宋体" w:eastAsia="宋体" w:hAnsi="宋体" w:hint="eastAsia"/>
          <w:szCs w:val="21"/>
          <w:u w:val="single"/>
        </w:rPr>
        <w:t xml:space="preserve">                             </w:t>
      </w:r>
      <w:r>
        <w:rPr>
          <w:rFonts w:ascii="宋体" w:eastAsia="宋体" w:hAnsi="宋体" w:hint="eastAsia"/>
          <w:szCs w:val="21"/>
        </w:rPr>
        <w:t>生效。</w:t>
      </w:r>
    </w:p>
    <w:p>
      <w:pPr>
        <w:numPr>
          <w:ilvl w:val="0"/>
          <w:numId w:val="9"/>
        </w:numPr>
        <w:adjustRightInd w:val="0"/>
        <w:snapToGrid w:val="0"/>
        <w:spacing w:before="0" w:beforeLines="0" w:line="400" w:lineRule="exact"/>
        <w:ind w:firstLine="420" w:firstLineChars="200"/>
        <w:outlineLvl w:val="9"/>
        <w:rPr>
          <w:rFonts w:ascii="宋体" w:eastAsia="宋体" w:hAnsi="宋体" w:hint="eastAsia"/>
          <w:b/>
          <w:szCs w:val="21"/>
        </w:rPr>
      </w:pPr>
      <w:r>
        <w:rPr>
          <w:rFonts w:ascii="宋体" w:eastAsia="宋体" w:hAnsi="宋体" w:hint="eastAsia"/>
          <w:b/>
          <w:szCs w:val="21"/>
        </w:rPr>
        <w:t>合同份数</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本合同一式</w:t>
      </w:r>
      <w:r>
        <w:rPr>
          <w:rFonts w:ascii="宋体" w:eastAsia="宋体" w:hAnsi="宋体" w:hint="eastAsia"/>
          <w:szCs w:val="21"/>
          <w:u w:val="single"/>
        </w:rPr>
        <w:t xml:space="preserve">    </w:t>
      </w:r>
      <w:r>
        <w:rPr>
          <w:rFonts w:ascii="宋体" w:eastAsia="宋体" w:hAnsi="宋体" w:hint="eastAsia"/>
          <w:szCs w:val="21"/>
        </w:rPr>
        <w:t>份，</w:t>
      </w:r>
      <w:r>
        <w:rPr>
          <w:rFonts w:ascii="宋体" w:eastAsia="宋体" w:hAnsi="宋体" w:hint="eastAsia"/>
          <w:szCs w:val="21"/>
          <w:lang w:eastAsia="zh-CN"/>
        </w:rPr>
        <w:t>甲方</w:t>
      </w:r>
      <w:r>
        <w:rPr>
          <w:rFonts w:ascii="宋体" w:eastAsia="宋体" w:hAnsi="宋体" w:hint="eastAsia"/>
          <w:szCs w:val="21"/>
        </w:rPr>
        <w:t>执</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rPr>
        <w:t>份，</w:t>
      </w:r>
      <w:r>
        <w:rPr>
          <w:rFonts w:ascii="宋体" w:eastAsia="宋体" w:hAnsi="宋体" w:hint="eastAsia"/>
          <w:szCs w:val="21"/>
          <w:lang w:eastAsia="zh-CN"/>
        </w:rPr>
        <w:t>乙方</w:t>
      </w:r>
      <w:r>
        <w:rPr>
          <w:rFonts w:ascii="宋体" w:eastAsia="宋体" w:hAnsi="宋体" w:hint="eastAsia"/>
          <w:szCs w:val="21"/>
        </w:rPr>
        <w:t>执</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rPr>
        <w:t>份，均具有同等法律效力。</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合同订立时间：</w:t>
      </w:r>
      <w:r>
        <w:rPr>
          <w:rFonts w:ascii="宋体" w:eastAsia="宋体" w:hAnsi="宋体" w:hint="eastAsia"/>
          <w:szCs w:val="21"/>
          <w:u w:val="single"/>
        </w:rPr>
        <w:t xml:space="preserve">         </w:t>
      </w:r>
      <w:r>
        <w:rPr>
          <w:rFonts w:ascii="宋体" w:eastAsia="宋体" w:hAnsi="宋体" w:hint="eastAsia"/>
          <w:szCs w:val="21"/>
        </w:rPr>
        <w:t>年</w:t>
      </w:r>
      <w:r>
        <w:rPr>
          <w:rFonts w:ascii="宋体" w:eastAsia="宋体" w:hAnsi="宋体" w:hint="eastAsia"/>
          <w:szCs w:val="21"/>
          <w:u w:val="single"/>
        </w:rPr>
        <w:t xml:space="preserve">      </w:t>
      </w:r>
      <w:r>
        <w:rPr>
          <w:rFonts w:ascii="宋体" w:eastAsia="宋体" w:hAnsi="宋体" w:hint="eastAsia"/>
          <w:szCs w:val="21"/>
        </w:rPr>
        <w:t>月</w:t>
      </w:r>
      <w:r>
        <w:rPr>
          <w:rFonts w:ascii="宋体" w:eastAsia="宋体" w:hAnsi="宋体" w:hint="eastAsia"/>
          <w:szCs w:val="21"/>
          <w:u w:val="single"/>
        </w:rPr>
        <w:t xml:space="preserve">      </w:t>
      </w:r>
      <w:r>
        <w:rPr>
          <w:rFonts w:ascii="宋体" w:eastAsia="宋体" w:hAnsi="宋体" w:hint="eastAsia"/>
          <w:szCs w:val="21"/>
        </w:rPr>
        <w:t>日</w:t>
      </w:r>
    </w:p>
    <w:p>
      <w:pPr>
        <w:adjustRightInd w:val="0"/>
        <w:snapToGrid w:val="0"/>
        <w:spacing w:before="0" w:beforeLines="0" w:line="400" w:lineRule="exact"/>
        <w:ind w:firstLine="420" w:firstLineChars="200"/>
        <w:outlineLvl w:val="9"/>
        <w:rPr>
          <w:rFonts w:ascii="宋体" w:eastAsia="宋体" w:hAnsi="宋体"/>
          <w:szCs w:val="21"/>
        </w:rPr>
      </w:pPr>
      <w:r>
        <w:rPr>
          <w:rFonts w:ascii="宋体" w:eastAsia="宋体" w:hAnsi="宋体" w:hint="eastAsia"/>
          <w:szCs w:val="21"/>
        </w:rPr>
        <w:t>合同订立地点：</w:t>
      </w:r>
      <w:r>
        <w:rPr>
          <w:rFonts w:ascii="宋体" w:eastAsia="宋体" w:hAnsi="宋体" w:hint="eastAsia"/>
          <w:szCs w:val="21"/>
          <w:u w:val="single"/>
        </w:rPr>
        <w:t xml:space="preserve">                           </w:t>
      </w:r>
    </w:p>
    <w:p>
      <w:pPr>
        <w:adjustRightInd w:val="0"/>
        <w:snapToGrid w:val="0"/>
        <w:spacing w:before="0" w:beforeLines="0" w:line="400" w:lineRule="exact"/>
        <w:ind w:firstLine="420" w:firstLineChars="200"/>
        <w:outlineLvl w:val="9"/>
        <w:rPr>
          <w:rFonts w:eastAsia="宋体"/>
        </w:rPr>
      </w:pPr>
      <w:r>
        <w:rPr>
          <w:rFonts w:ascii="宋体" w:eastAsia="宋体" w:hAnsi="宋体" w:hint="eastAsia"/>
          <w:szCs w:val="21"/>
        </w:rPr>
        <w:t>附件：具体标</w:t>
      </w:r>
      <w:r>
        <w:rPr>
          <w:rFonts w:ascii="宋体" w:eastAsia="宋体" w:hAnsi="宋体" w:hint="eastAsia"/>
          <w:szCs w:val="21"/>
          <w:lang w:eastAsia="zh-CN"/>
        </w:rPr>
        <w:t>的及其</w:t>
      </w:r>
      <w:r>
        <w:rPr>
          <w:rFonts w:ascii="宋体" w:eastAsia="宋体" w:hAnsi="宋体" w:hint="eastAsia"/>
          <w:szCs w:val="21"/>
          <w:highlight w:val="none"/>
          <w:u w:val="none"/>
          <w:lang w:val="en-US" w:eastAsia="zh-CN"/>
        </w:rPr>
        <w:t>技术要求和商务要求</w:t>
      </w:r>
      <w:r>
        <w:rPr>
          <w:rFonts w:ascii="宋体" w:eastAsia="宋体" w:hAnsi="宋体" w:hint="eastAsia"/>
          <w:szCs w:val="21"/>
        </w:rPr>
        <w:t>、联合协议、分包</w:t>
      </w:r>
      <w:r>
        <w:rPr>
          <w:rFonts w:ascii="宋体" w:eastAsia="宋体" w:hAnsi="宋体" w:hint="eastAsia"/>
          <w:szCs w:val="21"/>
          <w:lang w:eastAsia="zh-CN"/>
        </w:rPr>
        <w:t>意向</w:t>
      </w:r>
      <w:r>
        <w:rPr>
          <w:rFonts w:ascii="宋体" w:eastAsia="宋体" w:hAnsi="宋体" w:hint="eastAsia"/>
          <w:szCs w:val="21"/>
        </w:rPr>
        <w:t>协议等。</w:t>
      </w:r>
    </w:p>
    <w:p>
      <w:pPr>
        <w:outlineLvl w:val="9"/>
        <w:rPr>
          <w:rFonts w:eastAsia="宋体" w:hint="eastAsia"/>
        </w:rPr>
      </w:pPr>
      <w:r>
        <w:rPr>
          <w:rFonts w:eastAsia="宋体" w:hint="eastAsia"/>
        </w:rPr>
        <w:br w:type="page"/>
      </w:r>
    </w:p>
    <w:p>
      <w:pPr>
        <w:widowControl w:val="0"/>
        <w:ind w:firstLine="420" w:firstLineChars="200"/>
        <w:jc w:val="both"/>
        <w:outlineLvl w:val="9"/>
        <w:rPr>
          <w:rFonts w:ascii="Times New Roman" w:eastAsia="宋体" w:hAnsi="Times New Roman" w:cs="Times New Roman" w:hint="eastAsia"/>
          <w:kern w:val="2"/>
          <w:sz w:val="21"/>
          <w:szCs w:val="21"/>
          <w:lang w:val="en-US" w:eastAsia="zh-CN" w:bidi="ar-SA"/>
        </w:rPr>
      </w:pPr>
    </w:p>
    <w:tbl>
      <w:tblPr>
        <w:tblStyle w:val="TableNormal"/>
        <w:tblW w:w="8398" w:type="dxa"/>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891"/>
        <w:gridCol w:w="2412"/>
        <w:gridCol w:w="1979"/>
        <w:gridCol w:w="2116"/>
      </w:tblGrid>
      <w:tr>
        <w:tblPrEx>
          <w:tblW w:w="8398" w:type="dxa"/>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adjustRightInd w:val="0"/>
              <w:snapToGrid w:val="0"/>
              <w:spacing w:line="300" w:lineRule="exact"/>
              <w:jc w:val="center"/>
              <w:outlineLvl w:val="9"/>
              <w:rPr>
                <w:rFonts w:eastAsia="宋体"/>
              </w:rPr>
            </w:pPr>
            <w:r>
              <w:rPr>
                <w:rFonts w:eastAsia="宋体"/>
                <w:szCs w:val="21"/>
              </w:rPr>
              <w:t>甲方</w:t>
            </w:r>
            <w:r>
              <w:rPr>
                <w:rFonts w:eastAsia="宋体" w:hint="eastAsia"/>
                <w:szCs w:val="21"/>
              </w:rPr>
              <w:t>（采购人</w:t>
            </w:r>
            <w:r>
              <w:rPr>
                <w:rFonts w:ascii="宋体" w:eastAsia="宋体" w:hAnsi="宋体" w:hint="eastAsia"/>
                <w:szCs w:val="21"/>
                <w:lang w:eastAsia="zh-CN"/>
              </w:rPr>
              <w:t>、受采购人委托签订合同的单位</w:t>
            </w:r>
            <w:r>
              <w:rPr>
                <w:rFonts w:ascii="宋体" w:eastAsia="宋体" w:hAnsi="宋体" w:hint="eastAsia"/>
                <w:szCs w:val="21"/>
              </w:rPr>
              <w:t>或</w:t>
            </w:r>
            <w:r>
              <w:rPr>
                <w:rFonts w:eastAsia="宋体" w:hint="eastAsia"/>
                <w:szCs w:val="21"/>
              </w:rPr>
              <w:t>采购文件约定的合同甲方）</w:t>
            </w:r>
          </w:p>
        </w:tc>
        <w:tc>
          <w:tcPr>
            <w:tcW w:w="4095" w:type="dxa"/>
            <w:gridSpan w:val="2"/>
            <w:tcBorders>
              <w:left w:val="single" w:sz="2" w:space="0" w:color="auto"/>
              <w:bottom w:val="single" w:sz="2" w:space="0" w:color="auto"/>
            </w:tcBorders>
            <w:vAlign w:val="center"/>
          </w:tcPr>
          <w:p>
            <w:pPr>
              <w:adjustRightInd w:val="0"/>
              <w:snapToGrid w:val="0"/>
              <w:spacing w:line="300" w:lineRule="exact"/>
              <w:jc w:val="center"/>
              <w:outlineLvl w:val="9"/>
              <w:rPr>
                <w:rFonts w:eastAsia="宋体"/>
              </w:rPr>
            </w:pPr>
            <w:r>
              <w:rPr>
                <w:rFonts w:eastAsia="宋体"/>
                <w:szCs w:val="21"/>
              </w:rPr>
              <w:t>乙方</w:t>
            </w:r>
            <w:r>
              <w:rPr>
                <w:rFonts w:eastAsia="宋体" w:hint="eastAsia"/>
                <w:szCs w:val="21"/>
              </w:rPr>
              <w:t>（供应商）</w:t>
            </w:r>
          </w:p>
        </w:tc>
      </w:tr>
      <w:tr>
        <w:tblPrEx>
          <w:tblW w:w="8398" w:type="dxa"/>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单位名称</w:t>
            </w:r>
            <w:r>
              <w:rPr>
                <w:rFonts w:eastAsia="宋体" w:hint="eastAsia"/>
                <w:szCs w:val="21"/>
              </w:rPr>
              <w:t>（公章</w:t>
            </w:r>
            <w:r>
              <w:rPr>
                <w:rFonts w:eastAsia="宋体" w:hint="eastAsia"/>
                <w:szCs w:val="21"/>
                <w:lang w:eastAsia="zh-CN"/>
              </w:rPr>
              <w:t>或合同章</w:t>
            </w:r>
            <w:r>
              <w:rPr>
                <w:rFonts w:eastAsia="宋体" w:hint="eastAsia"/>
                <w:szCs w:val="21"/>
              </w:rPr>
              <w:t>）</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单位名称</w:t>
            </w:r>
            <w:r>
              <w:rPr>
                <w:rFonts w:eastAsia="宋体" w:hint="eastAsia"/>
                <w:szCs w:val="21"/>
              </w:rPr>
              <w:t>（公章</w:t>
            </w:r>
            <w:r>
              <w:rPr>
                <w:rFonts w:eastAsia="宋体" w:hint="eastAsia"/>
                <w:szCs w:val="21"/>
                <w:lang w:eastAsia="zh-CN"/>
              </w:rPr>
              <w:t>或合同章</w:t>
            </w:r>
            <w:r>
              <w:rPr>
                <w:rFonts w:eastAsia="宋体" w:hint="eastAsia"/>
                <w:szCs w:val="21"/>
              </w:rPr>
              <w:t>）</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法定代表人</w:t>
            </w:r>
          </w:p>
          <w:p>
            <w:pPr>
              <w:adjustRightInd w:val="0"/>
              <w:snapToGrid w:val="0"/>
              <w:spacing w:line="300" w:lineRule="exact"/>
              <w:ind w:firstLine="101" w:firstLineChars="48"/>
              <w:jc w:val="center"/>
              <w:outlineLvl w:val="9"/>
              <w:rPr>
                <w:rFonts w:eastAsia="宋体"/>
                <w:szCs w:val="21"/>
              </w:rPr>
            </w:pPr>
            <w:r>
              <w:rPr>
                <w:rFonts w:eastAsia="宋体" w:hint="eastAsia"/>
                <w:szCs w:val="21"/>
              </w:rPr>
              <w:t>或其</w:t>
            </w:r>
            <w:r>
              <w:rPr>
                <w:rFonts w:eastAsia="宋体"/>
                <w:szCs w:val="21"/>
              </w:rPr>
              <w:t>委托代理人</w:t>
            </w:r>
            <w:r>
              <w:rPr>
                <w:rFonts w:eastAsia="宋体" w:hint="eastAsia"/>
                <w:szCs w:val="21"/>
              </w:rPr>
              <w:t>（签章）</w:t>
            </w:r>
          </w:p>
        </w:tc>
        <w:tc>
          <w:tcPr>
            <w:tcW w:w="2412" w:type="dxa"/>
            <w:vMerge w:val="restart"/>
            <w:tcBorders>
              <w:top w:val="single" w:sz="2" w:space="0" w:color="auto"/>
              <w:left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法定代表人</w:t>
            </w:r>
          </w:p>
          <w:p>
            <w:pPr>
              <w:adjustRightInd w:val="0"/>
              <w:snapToGrid w:val="0"/>
              <w:spacing w:line="300" w:lineRule="exact"/>
              <w:jc w:val="center"/>
              <w:outlineLvl w:val="9"/>
              <w:rPr>
                <w:rFonts w:eastAsia="宋体"/>
                <w:szCs w:val="21"/>
              </w:rPr>
            </w:pPr>
            <w:r>
              <w:rPr>
                <w:rFonts w:eastAsia="宋体" w:hint="eastAsia"/>
                <w:szCs w:val="21"/>
              </w:rPr>
              <w:t>或其</w:t>
            </w:r>
            <w:r>
              <w:rPr>
                <w:rFonts w:eastAsia="宋体"/>
                <w:szCs w:val="21"/>
              </w:rPr>
              <w:t>委托代理人</w:t>
            </w:r>
            <w:r>
              <w:rPr>
                <w:rFonts w:eastAsia="宋体" w:hint="eastAsia"/>
                <w:szCs w:val="21"/>
              </w:rPr>
              <w:t>（签章）</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vMerge/>
            <w:tcBorders>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住</w:t>
            </w:r>
            <w:r>
              <w:rPr>
                <w:rFonts w:eastAsia="宋体" w:hint="eastAsia"/>
                <w:szCs w:val="21"/>
                <w:lang w:val="en-US" w:eastAsia="zh-CN"/>
              </w:rPr>
              <w:t xml:space="preserve">  </w:t>
            </w:r>
            <w:r>
              <w:rPr>
                <w:rFonts w:eastAsia="宋体" w:hint="eastAsia"/>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住</w:t>
            </w:r>
            <w:r>
              <w:rPr>
                <w:rFonts w:eastAsia="宋体" w:hint="eastAsia"/>
                <w:szCs w:val="21"/>
                <w:lang w:val="en-US" w:eastAsia="zh-CN"/>
              </w:rPr>
              <w:t xml:space="preserve">  </w:t>
            </w:r>
            <w:r>
              <w:rPr>
                <w:rFonts w:eastAsia="宋体" w:hint="eastAsia"/>
                <w:szCs w:val="21"/>
                <w:lang w:eastAsia="zh-CN"/>
              </w:rPr>
              <w:t>所</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 系 人</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联系电话</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lang w:eastAsia="zh-CN"/>
              </w:rPr>
              <w:t>通信地址</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邮政编码</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电子邮箱</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统一社会信用代码</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开户名称</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开户银行</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银行账号</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after="0" w:line="360" w:lineRule="auto"/>
              <w:ind w:left="0" w:leftChars="0"/>
              <w:jc w:val="left"/>
              <w:outlineLvl w:val="9"/>
              <w:rPr>
                <w:rFonts w:ascii="Times New Roman" w:eastAsia="宋体" w:hAnsi="Times New Roman" w:cs="Times New Roman"/>
                <w:spacing w:val="20"/>
                <w:kern w:val="2"/>
                <w:sz w:val="21"/>
                <w:szCs w:val="21"/>
                <w:lang w:val="en-US" w:eastAsia="zh-CN" w:bidi="ar-SA"/>
              </w:rPr>
            </w:pPr>
            <w:r>
              <w:rPr>
                <w:rFonts w:ascii="宋体" w:eastAsia="宋体" w:hAnsi="宋体" w:cs="Times New Roman" w:hint="eastAsia"/>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9"/>
        <w:rPr>
          <w:rFonts w:ascii="黑体" w:eastAsia="黑体" w:hAnsi="黑体" w:cs="Times New Roman"/>
          <w:b/>
          <w:bCs/>
          <w:kern w:val="2"/>
          <w:sz w:val="28"/>
          <w:szCs w:val="28"/>
          <w:lang w:val="en-US" w:eastAsia="zh-CN" w:bidi="ar-SA"/>
        </w:rPr>
      </w:pPr>
      <w:r>
        <w:rPr>
          <w:rFonts w:ascii="宋体" w:eastAsia="宋体" w:hAnsi="宋体" w:cs="Times New Roman"/>
          <w:b/>
          <w:bCs/>
          <w:kern w:val="2"/>
          <w:sz w:val="21"/>
          <w:szCs w:val="21"/>
          <w:u w:val="single"/>
          <w:lang w:val="en-US" w:eastAsia="zh-CN" w:bidi="ar-SA"/>
        </w:rPr>
        <w:br w:type="page"/>
      </w:r>
      <w:bookmarkStart w:id="87" w:name="_Toc27624"/>
      <w:r>
        <w:rPr>
          <w:rFonts w:ascii="黑体" w:eastAsia="黑体" w:hAnsi="黑体" w:cs="Times New Roman" w:hint="eastAsia"/>
          <w:b w:val="0"/>
          <w:bCs w:val="0"/>
          <w:kern w:val="2"/>
          <w:sz w:val="28"/>
          <w:szCs w:val="28"/>
          <w:lang w:val="en-US" w:eastAsia="zh-CN" w:bidi="ar-SA"/>
        </w:rPr>
        <w:t>第二节 政府采购合同通用条款</w:t>
      </w:r>
      <w:bookmarkEnd w:id="87"/>
    </w:p>
    <w:p>
      <w:pPr>
        <w:tabs>
          <w:tab w:val="left" w:pos="8820"/>
          <w:tab w:val="left" w:pos="9345"/>
          <w:tab w:val="left" w:pos="9765"/>
        </w:tabs>
        <w:adjustRightInd w:val="0"/>
        <w:snapToGrid w:val="0"/>
        <w:spacing w:before="0" w:line="400" w:lineRule="exact"/>
        <w:jc w:val="left"/>
        <w:outlineLvl w:val="9"/>
        <w:rPr>
          <w:rFonts w:ascii="宋体" w:eastAsia="宋体" w:hAnsi="宋体"/>
          <w:b/>
          <w:bCs/>
          <w:sz w:val="24"/>
        </w:rPr>
      </w:pPr>
      <w:r>
        <w:rPr>
          <w:rFonts w:ascii="宋体" w:eastAsia="宋体" w:hAnsi="宋体" w:hint="eastAsia"/>
          <w:b/>
          <w:sz w:val="24"/>
        </w:rPr>
        <w:t>1.</w:t>
      </w:r>
      <w:r>
        <w:rPr>
          <w:rFonts w:ascii="宋体" w:eastAsia="宋体" w:hAnsi="宋体" w:hint="eastAsia"/>
          <w:b/>
          <w:sz w:val="24"/>
          <w:lang w:val="en-US" w:eastAsia="zh-CN"/>
        </w:rPr>
        <w:t xml:space="preserve"> </w:t>
      </w:r>
      <w:r>
        <w:rPr>
          <w:rFonts w:ascii="宋体" w:eastAsia="宋体" w:hAnsi="宋体" w:hint="eastAsia"/>
          <w:b/>
          <w:bCs/>
          <w:sz w:val="24"/>
        </w:rPr>
        <w:t>定义</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rPr>
        <w:t>1.1合同当事人</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（1）采购人（以下称甲方）是指使用财政性资金，通过政府采购方式向供应商购买货物</w:t>
      </w:r>
      <w:r>
        <w:rPr>
          <w:rFonts w:ascii="宋体" w:eastAsia="宋体" w:hAnsi="宋体" w:hint="eastAsia"/>
          <w:color w:val="auto"/>
          <w:szCs w:val="21"/>
          <w:highlight w:val="none"/>
          <w:lang w:val="en-US" w:eastAsia="zh-CN"/>
        </w:rPr>
        <w:t>及其相关服务的</w:t>
      </w:r>
      <w:r>
        <w:rPr>
          <w:rFonts w:ascii="宋体" w:eastAsia="宋体" w:hAnsi="宋体" w:hint="eastAsia"/>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（2）供应商（以下称</w:t>
      </w:r>
      <w:r>
        <w:rPr>
          <w:rFonts w:ascii="宋体" w:eastAsia="宋体" w:hAnsi="宋体" w:hint="eastAsia"/>
          <w:color w:val="auto"/>
          <w:szCs w:val="21"/>
          <w:highlight w:val="none"/>
          <w:lang w:eastAsia="zh-CN"/>
        </w:rPr>
        <w:t>乙</w:t>
      </w:r>
      <w:r>
        <w:rPr>
          <w:rFonts w:ascii="宋体" w:eastAsia="宋体" w:hAnsi="宋体" w:hint="eastAsia"/>
          <w:color w:val="auto"/>
          <w:szCs w:val="21"/>
          <w:highlight w:val="none"/>
        </w:rPr>
        <w:t>方）是指参加政府采购活动并且中标（成交），向采购人提供</w:t>
      </w:r>
      <w:r>
        <w:rPr>
          <w:rFonts w:ascii="宋体" w:eastAsia="宋体" w:hAnsi="宋体" w:hint="eastAsia"/>
          <w:color w:val="auto"/>
          <w:szCs w:val="21"/>
          <w:highlight w:val="none"/>
          <w:lang w:val="en-US" w:eastAsia="zh-CN"/>
        </w:rPr>
        <w:t>合同约定的货物及其相关服务的法人、非法人组织或者自然人</w:t>
      </w:r>
      <w:r>
        <w:rPr>
          <w:rFonts w:ascii="宋体" w:eastAsia="宋体" w:hAnsi="宋体" w:hint="eastAsia"/>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（3）其他合同主体是指除采购人和供应商以外，</w:t>
      </w:r>
      <w:r>
        <w:rPr>
          <w:rFonts w:ascii="宋体" w:eastAsia="宋体" w:hAnsi="宋体" w:cs="宋体" w:hint="eastAsia"/>
          <w:bCs/>
          <w:color w:val="000000"/>
          <w:szCs w:val="21"/>
        </w:rPr>
        <w:t>依法参与合同缔结或履行，享有权利、承担义务的合同当事人</w:t>
      </w:r>
      <w:r>
        <w:rPr>
          <w:rFonts w:ascii="宋体" w:eastAsia="宋体" w:hAnsi="宋体" w:hint="eastAsia"/>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1.2本合同下列术语应解释为：</w:t>
      </w:r>
    </w:p>
    <w:p>
      <w:pPr>
        <w:adjustRightInd w:val="0"/>
        <w:snapToGrid w:val="0"/>
        <w:spacing w:before="0" w:beforeLines="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（1）“合同”系指</w:t>
      </w:r>
      <w:r>
        <w:rPr>
          <w:rFonts w:ascii="宋体" w:eastAsia="宋体" w:hAnsi="宋体" w:cs="宋体" w:hint="eastAsia"/>
          <w:bCs/>
          <w:color w:val="000000"/>
          <w:szCs w:val="21"/>
        </w:rPr>
        <w:t>合同当事人意思表示达成一致的任何协议，包括签署的</w:t>
      </w:r>
      <w:r>
        <w:rPr>
          <w:rFonts w:ascii="宋体" w:eastAsia="宋体" w:hAnsi="宋体" w:hint="eastAsia"/>
          <w:color w:val="auto"/>
          <w:szCs w:val="21"/>
          <w:lang w:eastAsia="zh-CN"/>
        </w:rPr>
        <w:t>政府采购</w:t>
      </w:r>
      <w:r>
        <w:rPr>
          <w:rFonts w:ascii="宋体" w:eastAsia="宋体" w:hAnsi="宋体" w:hint="eastAsia"/>
          <w:color w:val="auto"/>
          <w:szCs w:val="21"/>
        </w:rPr>
        <w:t>合同协议书及其变更、补充</w:t>
      </w:r>
      <w:r>
        <w:rPr>
          <w:rFonts w:ascii="宋体" w:eastAsia="宋体" w:hAnsi="宋体" w:hint="eastAsia"/>
          <w:color w:val="auto"/>
          <w:szCs w:val="21"/>
          <w:lang w:eastAsia="zh-CN"/>
        </w:rPr>
        <w:t>协议，</w:t>
      </w:r>
      <w:r>
        <w:rPr>
          <w:rFonts w:ascii="宋体" w:eastAsia="宋体" w:hAnsi="宋体" w:hint="eastAsia"/>
          <w:szCs w:val="21"/>
        </w:rPr>
        <w:t>政府采购合同专用条款</w:t>
      </w:r>
      <w:r>
        <w:rPr>
          <w:rFonts w:ascii="宋体" w:eastAsia="宋体" w:hAnsi="宋体" w:hint="eastAsia"/>
          <w:szCs w:val="21"/>
          <w:lang w:eastAsia="zh-CN"/>
        </w:rPr>
        <w:t>，</w:t>
      </w:r>
      <w:r>
        <w:rPr>
          <w:rFonts w:ascii="宋体" w:eastAsia="宋体" w:hAnsi="宋体" w:hint="eastAsia"/>
          <w:szCs w:val="21"/>
        </w:rPr>
        <w:t>政府采购合同通用条款</w:t>
      </w:r>
      <w:r>
        <w:rPr>
          <w:rFonts w:ascii="宋体" w:eastAsia="宋体" w:hAnsi="宋体" w:hint="eastAsia"/>
          <w:szCs w:val="21"/>
          <w:lang w:eastAsia="zh-CN"/>
        </w:rPr>
        <w:t>，</w:t>
      </w:r>
      <w:r>
        <w:rPr>
          <w:rFonts w:ascii="宋体" w:eastAsia="宋体" w:hAnsi="宋体" w:hint="eastAsia"/>
          <w:color w:val="auto"/>
          <w:szCs w:val="21"/>
        </w:rPr>
        <w:t>中标</w:t>
      </w:r>
      <w:r>
        <w:rPr>
          <w:rFonts w:ascii="宋体" w:eastAsia="宋体" w:hAnsi="宋体" w:hint="eastAsia"/>
          <w:color w:val="auto"/>
          <w:szCs w:val="21"/>
          <w:lang w:eastAsia="zh-CN"/>
        </w:rPr>
        <w:t>（成交）</w:t>
      </w:r>
      <w:r>
        <w:rPr>
          <w:rFonts w:ascii="宋体" w:eastAsia="宋体" w:hAnsi="宋体" w:hint="eastAsia"/>
          <w:color w:val="auto"/>
          <w:szCs w:val="21"/>
        </w:rPr>
        <w:t>通知书</w:t>
      </w:r>
      <w:r>
        <w:rPr>
          <w:rFonts w:ascii="宋体" w:eastAsia="宋体" w:hAnsi="宋体" w:hint="eastAsia"/>
          <w:color w:val="auto"/>
          <w:szCs w:val="21"/>
          <w:lang w:eastAsia="zh-CN"/>
        </w:rPr>
        <w:t>，</w:t>
      </w:r>
      <w:r>
        <w:rPr>
          <w:rFonts w:ascii="宋体" w:eastAsia="宋体" w:hAnsi="宋体" w:hint="eastAsia"/>
          <w:szCs w:val="21"/>
        </w:rPr>
        <w:t>投标（响应）文件</w:t>
      </w:r>
      <w:r>
        <w:rPr>
          <w:rFonts w:ascii="宋体" w:eastAsia="宋体" w:hAnsi="宋体" w:hint="eastAsia"/>
          <w:szCs w:val="21"/>
          <w:lang w:eastAsia="zh-CN"/>
        </w:rPr>
        <w:t>，</w:t>
      </w:r>
      <w:r>
        <w:rPr>
          <w:rFonts w:ascii="宋体" w:eastAsia="宋体" w:hAnsi="宋体" w:hint="eastAsia"/>
          <w:szCs w:val="21"/>
        </w:rPr>
        <w:t>采购文件</w:t>
      </w:r>
      <w:r>
        <w:rPr>
          <w:rFonts w:ascii="宋体" w:eastAsia="宋体" w:hAnsi="宋体" w:hint="eastAsia"/>
          <w:szCs w:val="21"/>
          <w:lang w:eastAsia="zh-CN"/>
        </w:rPr>
        <w:t>，</w:t>
      </w:r>
      <w:r>
        <w:rPr>
          <w:rFonts w:ascii="宋体" w:eastAsia="宋体" w:hAnsi="宋体" w:hint="eastAsia"/>
          <w:szCs w:val="21"/>
        </w:rPr>
        <w:t>有关技术文件</w:t>
      </w:r>
      <w:r>
        <w:rPr>
          <w:rFonts w:ascii="宋体" w:eastAsia="宋体" w:hAnsi="宋体" w:hint="eastAsia"/>
          <w:szCs w:val="21"/>
          <w:lang w:eastAsia="zh-CN"/>
        </w:rPr>
        <w:t>和</w:t>
      </w:r>
      <w:r>
        <w:rPr>
          <w:rFonts w:ascii="宋体" w:eastAsia="宋体" w:hAnsi="宋体" w:hint="eastAsia"/>
          <w:szCs w:val="21"/>
        </w:rPr>
        <w:t>图纸</w:t>
      </w:r>
      <w:r>
        <w:rPr>
          <w:rFonts w:ascii="宋体" w:eastAsia="宋体" w:hAnsi="宋体" w:hint="eastAsia"/>
          <w:szCs w:val="21"/>
          <w:lang w:eastAsia="zh-CN"/>
        </w:rPr>
        <w:t>，以及</w:t>
      </w:r>
      <w:r>
        <w:rPr>
          <w:rFonts w:ascii="宋体" w:eastAsia="宋体" w:hAnsi="宋体" w:cs="宋体" w:hint="eastAsia"/>
          <w:bCs w:val="0"/>
          <w:color w:val="000000"/>
          <w:kern w:val="2"/>
          <w:sz w:val="21"/>
          <w:szCs w:val="21"/>
          <w:highlight w:val="none"/>
          <w:lang w:eastAsia="zh-CN"/>
        </w:rPr>
        <w:t>国家法律、行政法规和规章制度规定或合同约定的作为合同组成部分的其他文件</w:t>
      </w:r>
      <w:r>
        <w:rPr>
          <w:rFonts w:ascii="宋体" w:eastAsia="宋体" w:hAnsi="宋体" w:hint="eastAsia"/>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）“合同价</w:t>
      </w:r>
      <w:r>
        <w:rPr>
          <w:rFonts w:ascii="宋体" w:eastAsia="宋体" w:hAnsi="宋体" w:hint="eastAsia"/>
          <w:color w:val="auto"/>
          <w:szCs w:val="21"/>
          <w:highlight w:val="none"/>
          <w:lang w:val="en-US" w:eastAsia="zh-CN"/>
        </w:rPr>
        <w:t>款</w:t>
      </w:r>
      <w:r>
        <w:rPr>
          <w:rFonts w:ascii="宋体" w:eastAsia="宋体" w:hAnsi="宋体" w:hint="eastAsia"/>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hint="eastAsia"/>
          <w:color w:val="000000"/>
          <w:szCs w:val="21"/>
          <w:highlight w:val="none"/>
          <w:lang w:eastAsia="zh-CN"/>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3</w:t>
      </w:r>
      <w:r>
        <w:rPr>
          <w:rFonts w:ascii="宋体" w:eastAsia="宋体" w:hAnsi="宋体" w:hint="eastAsia"/>
          <w:color w:val="auto"/>
          <w:szCs w:val="21"/>
          <w:highlight w:val="none"/>
        </w:rPr>
        <w:t>）“货物”系指乙方根据本合同规定须向甲方提供的各种形态和种类的物品，包括原材料、设备、产品（</w:t>
      </w:r>
      <w:r>
        <w:rPr>
          <w:rFonts w:ascii="宋体" w:eastAsia="宋体" w:hAnsi="宋体" w:hint="eastAsia"/>
          <w:color w:val="000000"/>
          <w:szCs w:val="21"/>
          <w:highlight w:val="none"/>
        </w:rPr>
        <w:t>包括软件）及相关的其备品备件、工具、手册及</w:t>
      </w:r>
      <w:r>
        <w:rPr>
          <w:rFonts w:ascii="宋体" w:eastAsia="宋体" w:hAnsi="宋体" w:hint="default"/>
          <w:color w:val="000000"/>
          <w:szCs w:val="21"/>
          <w:highlight w:val="none"/>
        </w:rPr>
        <w:t>其他</w:t>
      </w:r>
      <w:r>
        <w:rPr>
          <w:rFonts w:ascii="宋体" w:eastAsia="宋体" w:hAnsi="宋体" w:hint="eastAsia"/>
          <w:color w:val="000000"/>
          <w:szCs w:val="21"/>
          <w:highlight w:val="none"/>
        </w:rPr>
        <w:t>技术资料和材料</w:t>
      </w:r>
      <w:r>
        <w:rPr>
          <w:rFonts w:ascii="宋体" w:eastAsia="宋体" w:hAnsi="宋体" w:hint="eastAsia"/>
          <w:color w:val="000000"/>
          <w:szCs w:val="21"/>
          <w:highlight w:val="none"/>
          <w:lang w:eastAsia="zh-CN"/>
        </w:rPr>
        <w:t>等</w:t>
      </w:r>
      <w:r>
        <w:rPr>
          <w:rFonts w:ascii="宋体" w:eastAsia="宋体" w:hAnsi="宋体" w:hint="eastAsia"/>
          <w:color w:val="000000"/>
          <w:szCs w:val="21"/>
          <w:highlight w:val="none"/>
        </w:rPr>
        <w:t>。</w:t>
      </w:r>
    </w:p>
    <w:p>
      <w:pPr>
        <w:adjustRightInd w:val="0"/>
        <w:snapToGrid w:val="0"/>
        <w:spacing w:before="0" w:line="400" w:lineRule="exact"/>
        <w:ind w:firstLine="420" w:firstLineChars="200"/>
        <w:jc w:val="left"/>
        <w:outlineLvl w:val="9"/>
        <w:rPr>
          <w:rFonts w:ascii="宋体" w:eastAsia="宋体" w:hAnsi="宋体" w:hint="eastAsia"/>
          <w:color w:val="000000"/>
          <w:szCs w:val="21"/>
          <w:highlight w:val="yellow"/>
          <w:lang w:eastAsia="zh-CN"/>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4</w:t>
      </w:r>
      <w:r>
        <w:rPr>
          <w:rFonts w:ascii="宋体" w:eastAsia="宋体" w:hAnsi="宋体" w:hint="eastAsia"/>
          <w:color w:val="000000"/>
          <w:szCs w:val="21"/>
          <w:highlight w:val="none"/>
        </w:rPr>
        <w:t>）“</w:t>
      </w:r>
      <w:r>
        <w:rPr>
          <w:rFonts w:ascii="宋体" w:eastAsia="宋体" w:hAnsi="宋体" w:hint="eastAsia"/>
          <w:color w:val="auto"/>
          <w:szCs w:val="21"/>
          <w:highlight w:val="none"/>
          <w:lang w:val="en-US" w:eastAsia="zh-CN"/>
        </w:rPr>
        <w:t>相关</w:t>
      </w:r>
      <w:r>
        <w:rPr>
          <w:rFonts w:ascii="宋体" w:eastAsia="宋体" w:hAnsi="宋体" w:hint="eastAsia"/>
          <w:color w:val="000000"/>
          <w:szCs w:val="21"/>
          <w:highlight w:val="none"/>
        </w:rPr>
        <w:t>服务”系指根据合同规定，乙方应提供的</w:t>
      </w:r>
      <w:r>
        <w:rPr>
          <w:rFonts w:ascii="宋体" w:eastAsia="宋体" w:hAnsi="宋体" w:hint="eastAsia"/>
          <w:color w:val="000000"/>
          <w:szCs w:val="21"/>
          <w:highlight w:val="none"/>
          <w:lang w:val="en-US" w:eastAsia="zh-CN"/>
        </w:rPr>
        <w:t>与货物有关的</w:t>
      </w:r>
      <w:r>
        <w:rPr>
          <w:rFonts w:ascii="宋体" w:eastAsia="宋体" w:hAnsi="宋体" w:hint="eastAsia"/>
          <w:color w:val="000000"/>
          <w:szCs w:val="21"/>
          <w:highlight w:val="none"/>
        </w:rPr>
        <w:t>技术、管理和</w:t>
      </w:r>
      <w:r>
        <w:rPr>
          <w:rFonts w:ascii="宋体" w:eastAsia="宋体" w:hAnsi="宋体" w:hint="default"/>
          <w:color w:val="000000"/>
          <w:szCs w:val="21"/>
          <w:highlight w:val="none"/>
        </w:rPr>
        <w:t>其他</w:t>
      </w:r>
      <w:r>
        <w:rPr>
          <w:rFonts w:ascii="宋体" w:eastAsia="宋体" w:hAnsi="宋体" w:hint="eastAsia"/>
          <w:color w:val="000000"/>
          <w:szCs w:val="21"/>
          <w:highlight w:val="none"/>
        </w:rPr>
        <w:t>服务，包括但不限于：管理和质量保证、运输、保险、检验、现场准备、安装、集成、调试、培训、维修、</w:t>
      </w:r>
      <w:r>
        <w:rPr>
          <w:rFonts w:ascii="宋体" w:eastAsia="宋体" w:hAnsi="宋体" w:hint="eastAsia"/>
          <w:color w:val="000000"/>
          <w:szCs w:val="21"/>
          <w:highlight w:val="none"/>
          <w:lang w:eastAsia="zh-CN"/>
        </w:rPr>
        <w:t>废弃处置、</w:t>
      </w:r>
      <w:r>
        <w:rPr>
          <w:rFonts w:ascii="宋体" w:eastAsia="宋体" w:hAnsi="宋体" w:hint="eastAsia"/>
          <w:color w:val="000000"/>
          <w:szCs w:val="21"/>
          <w:highlight w:val="none"/>
        </w:rPr>
        <w:t>技术支持等以及合同中规定乙方应承担的</w:t>
      </w:r>
      <w:r>
        <w:rPr>
          <w:rFonts w:ascii="宋体" w:eastAsia="宋体" w:hAnsi="宋体" w:hint="default"/>
          <w:color w:val="000000"/>
          <w:szCs w:val="21"/>
          <w:highlight w:val="none"/>
        </w:rPr>
        <w:t>其他</w:t>
      </w:r>
      <w:r>
        <w:rPr>
          <w:rFonts w:ascii="宋体" w:eastAsia="宋体" w:hAnsi="宋体" w:hint="eastAsia"/>
          <w:color w:val="000000"/>
          <w:szCs w:val="21"/>
          <w:highlight w:val="none"/>
        </w:rPr>
        <w:t>义务。</w:t>
      </w:r>
    </w:p>
    <w:p>
      <w:pPr>
        <w:adjustRightInd w:val="0"/>
        <w:snapToGrid w:val="0"/>
        <w:spacing w:before="0" w:line="400" w:lineRule="exact"/>
        <w:ind w:firstLine="420" w:firstLineChars="200"/>
        <w:jc w:val="left"/>
        <w:outlineLvl w:val="9"/>
        <w:rPr>
          <w:rFonts w:ascii="宋体" w:eastAsia="宋体" w:hAnsi="宋体" w:hint="eastAsia"/>
          <w:color w:val="000000"/>
          <w:szCs w:val="21"/>
          <w:highlight w:val="yellow"/>
          <w:lang w:eastAsia="zh-CN"/>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5</w:t>
      </w:r>
      <w:r>
        <w:rPr>
          <w:rFonts w:ascii="宋体" w:eastAsia="宋体" w:hAnsi="宋体" w:hint="eastAsia"/>
          <w:color w:val="000000"/>
          <w:szCs w:val="21"/>
          <w:highlight w:val="none"/>
        </w:rPr>
        <w:t>）“分包”系指中标</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成交</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供应商按采购文件、投标（响应）文件的规定，根据分包意向协议，将中标</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成交</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6</w:t>
      </w:r>
      <w:r>
        <w:rPr>
          <w:rFonts w:ascii="宋体" w:eastAsia="宋体" w:hAnsi="宋体" w:hint="eastAsia"/>
          <w:color w:val="000000"/>
          <w:szCs w:val="21"/>
          <w:highlight w:val="none"/>
        </w:rPr>
        <w:t>）</w:t>
      </w:r>
      <w:r>
        <w:rPr>
          <w:rFonts w:ascii="宋体" w:eastAsia="宋体" w:hAnsi="宋体" w:hint="eastAsia"/>
          <w:szCs w:val="21"/>
        </w:rPr>
        <w:t>“联合体”系指</w:t>
      </w:r>
      <w:r>
        <w:rPr>
          <w:rFonts w:ascii="宋体" w:eastAsia="宋体" w:hAnsi="宋体" w:hint="eastAsia"/>
          <w:szCs w:val="21"/>
          <w:lang w:eastAsia="zh-CN"/>
        </w:rPr>
        <w:t>由</w:t>
      </w:r>
      <w:r>
        <w:rPr>
          <w:rFonts w:ascii="宋体" w:eastAsia="宋体" w:hAnsi="宋体" w:hint="eastAsia"/>
          <w:szCs w:val="21"/>
        </w:rPr>
        <w:t>两个以上的自然人、法人或者</w:t>
      </w:r>
      <w:r>
        <w:rPr>
          <w:rFonts w:ascii="宋体" w:eastAsia="宋体" w:hAnsi="宋体" w:hint="eastAsia"/>
          <w:szCs w:val="21"/>
          <w:lang w:val="en-US" w:eastAsia="zh-CN"/>
        </w:rPr>
        <w:t>非法人</w:t>
      </w:r>
      <w:r>
        <w:rPr>
          <w:rFonts w:ascii="宋体" w:eastAsia="宋体" w:hAnsi="宋体" w:hint="eastAsia"/>
          <w:szCs w:val="21"/>
        </w:rPr>
        <w:t>组织组成，</w:t>
      </w:r>
      <w:r>
        <w:rPr>
          <w:rFonts w:ascii="宋体" w:eastAsia="宋体" w:hAnsi="宋体" w:hint="eastAsia"/>
          <w:szCs w:val="21"/>
          <w:lang w:eastAsia="zh-CN"/>
        </w:rPr>
        <w:t>以一个供应商的身份共同参加政府采购的主体</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hint="eastAsia"/>
          <w:color w:val="000000"/>
          <w:szCs w:val="21"/>
          <w:highlight w:val="none"/>
          <w:lang w:eastAsia="zh-CN"/>
        </w:rPr>
        <w:t>甲方</w:t>
      </w:r>
      <w:r>
        <w:rPr>
          <w:rFonts w:ascii="宋体" w:eastAsia="宋体" w:hAnsi="宋体" w:hint="eastAsia"/>
          <w:color w:val="000000"/>
          <w:szCs w:val="21"/>
          <w:highlight w:val="none"/>
        </w:rPr>
        <w:t>承担连带责任。联合体具体要求见【</w:t>
      </w:r>
      <w:r>
        <w:rPr>
          <w:rFonts w:ascii="宋体" w:eastAsia="宋体" w:hAnsi="宋体" w:hint="eastAsia"/>
          <w:b/>
          <w:bCs/>
          <w:color w:val="000000"/>
          <w:szCs w:val="21"/>
          <w:highlight w:val="none"/>
        </w:rPr>
        <w:t>政府采购合同专用条款</w:t>
      </w:r>
      <w:r>
        <w:rPr>
          <w:rFonts w:ascii="宋体" w:eastAsia="宋体" w:hAnsi="宋体" w:hint="eastAsia"/>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7</w:t>
      </w:r>
      <w:r>
        <w:rPr>
          <w:rFonts w:ascii="宋体" w:eastAsia="宋体" w:hAnsi="宋体" w:hint="eastAsia"/>
          <w:color w:val="000000"/>
          <w:szCs w:val="21"/>
          <w:highlight w:val="none"/>
        </w:rPr>
        <w:t>）其他术语解释，见【</w:t>
      </w:r>
      <w:r>
        <w:rPr>
          <w:rFonts w:ascii="宋体" w:eastAsia="宋体" w:hAnsi="宋体" w:hint="eastAsia"/>
          <w:b/>
          <w:bCs/>
          <w:color w:val="000000"/>
          <w:szCs w:val="21"/>
          <w:highlight w:val="none"/>
        </w:rPr>
        <w:t>政府采购合同专用条款</w:t>
      </w:r>
      <w:r>
        <w:rPr>
          <w:rFonts w:ascii="宋体" w:eastAsia="宋体" w:hAnsi="宋体" w:hint="eastAsia"/>
          <w:color w:val="000000"/>
          <w:szCs w:val="21"/>
          <w:highlight w:val="none"/>
        </w:rPr>
        <w:t>】。</w:t>
      </w:r>
    </w:p>
    <w:p>
      <w:pPr>
        <w:numPr>
          <w:ilvl w:val="0"/>
          <w:numId w:val="12"/>
        </w:num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color w:val="000000"/>
          <w:sz w:val="24"/>
          <w:highlight w:val="none"/>
        </w:rPr>
        <w:t>合同标的及金额</w:t>
      </w:r>
    </w:p>
    <w:p>
      <w:pPr>
        <w:autoSpaceDE w:val="0"/>
        <w:autoSpaceDN w:val="0"/>
        <w:adjustRightInd w:val="0"/>
        <w:snapToGrid w:val="0"/>
        <w:spacing w:before="0" w:line="400" w:lineRule="exact"/>
        <w:ind w:firstLine="420" w:firstLineChars="200"/>
        <w:jc w:val="left"/>
        <w:outlineLvl w:val="9"/>
        <w:rPr>
          <w:rFonts w:ascii="宋体" w:eastAsia="宋体" w:hAnsi="宋体"/>
          <w:b/>
          <w:bCs/>
          <w:i/>
          <w:iCs/>
          <w:color w:val="000000"/>
          <w:szCs w:val="21"/>
          <w:highlight w:val="none"/>
        </w:rPr>
      </w:pPr>
      <w:r>
        <w:rPr>
          <w:rFonts w:ascii="宋体" w:eastAsia="宋体" w:hAnsi="宋体" w:hint="eastAsia"/>
          <w:color w:val="000000"/>
          <w:szCs w:val="21"/>
          <w:highlight w:val="none"/>
          <w:lang w:eastAsia="zh-CN"/>
        </w:rPr>
        <w:t>2</w:t>
      </w:r>
      <w:r>
        <w:rPr>
          <w:rFonts w:ascii="宋体" w:eastAsia="宋体" w:hAnsi="宋体" w:hint="eastAsia"/>
          <w:color w:val="000000"/>
          <w:szCs w:val="21"/>
          <w:highlight w:val="none"/>
        </w:rPr>
        <w:t>.1 合同标的及金额应与中标（成交）结果一致。乙方为履行本合同而发生的所有费用均应包含在合同</w:t>
      </w:r>
      <w:r>
        <w:rPr>
          <w:rFonts w:ascii="宋体" w:eastAsia="宋体" w:hAnsi="宋体" w:hint="eastAsia"/>
          <w:color w:val="000000"/>
          <w:szCs w:val="21"/>
          <w:highlight w:val="none"/>
          <w:lang w:eastAsia="zh-CN"/>
        </w:rPr>
        <w:t>价款</w:t>
      </w:r>
      <w:r>
        <w:rPr>
          <w:rFonts w:ascii="宋体" w:eastAsia="宋体" w:hAnsi="宋体" w:hint="eastAsia"/>
          <w:color w:val="000000"/>
          <w:szCs w:val="21"/>
          <w:highlight w:val="none"/>
        </w:rPr>
        <w:t>中，甲方不再另行支付</w:t>
      </w:r>
      <w:r>
        <w:rPr>
          <w:rFonts w:ascii="宋体" w:eastAsia="宋体" w:hAnsi="宋体" w:hint="default"/>
          <w:color w:val="000000"/>
          <w:szCs w:val="21"/>
          <w:highlight w:val="none"/>
        </w:rPr>
        <w:t>其他</w:t>
      </w:r>
      <w:r>
        <w:rPr>
          <w:rFonts w:ascii="宋体" w:eastAsia="宋体" w:hAnsi="宋体" w:hint="eastAsia"/>
          <w:color w:val="000000"/>
          <w:szCs w:val="21"/>
          <w:highlight w:val="none"/>
        </w:rPr>
        <w:t>任何费用。</w:t>
      </w:r>
    </w:p>
    <w:p>
      <w:pPr>
        <w:adjustRightInd w:val="0"/>
        <w:snapToGrid w:val="0"/>
        <w:spacing w:before="0" w:line="400" w:lineRule="exact"/>
        <w:jc w:val="left"/>
        <w:outlineLvl w:val="9"/>
        <w:rPr>
          <w:rFonts w:ascii="宋体" w:eastAsia="宋体" w:hAnsi="宋体"/>
          <w:b/>
          <w:color w:val="000000"/>
          <w:sz w:val="24"/>
          <w:highlight w:val="none"/>
        </w:rPr>
      </w:pPr>
      <w:r>
        <w:rPr>
          <w:rFonts w:ascii="宋体" w:eastAsia="宋体" w:hAnsi="宋体" w:hint="eastAsia"/>
          <w:b/>
          <w:color w:val="000000"/>
          <w:sz w:val="24"/>
          <w:highlight w:val="none"/>
          <w:lang w:eastAsia="zh-CN"/>
        </w:rPr>
        <w:t>3</w:t>
      </w:r>
      <w:r>
        <w:rPr>
          <w:rFonts w:ascii="宋体" w:eastAsia="宋体" w:hAnsi="宋体" w:hint="eastAsia"/>
          <w:b/>
          <w:color w:val="000000"/>
          <w:sz w:val="24"/>
          <w:highlight w:val="none"/>
          <w:lang w:val="en-US" w:eastAsia="zh-CN"/>
        </w:rPr>
        <w:t xml:space="preserve">. </w:t>
      </w:r>
      <w:r>
        <w:rPr>
          <w:rFonts w:ascii="宋体" w:eastAsia="宋体" w:hAnsi="宋体" w:hint="eastAsia"/>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3</w:t>
      </w:r>
      <w:r>
        <w:rPr>
          <w:rFonts w:ascii="宋体" w:eastAsia="宋体" w:hAnsi="宋体" w:hint="eastAsia"/>
          <w:color w:val="000000"/>
          <w:szCs w:val="21"/>
          <w:highlight w:val="none"/>
        </w:rPr>
        <w:t xml:space="preserve">.1 </w:t>
      </w:r>
      <w:r>
        <w:rPr>
          <w:rFonts w:ascii="宋体" w:eastAsia="宋体" w:hAnsi="宋体" w:cs="宋体" w:hint="eastAsia"/>
          <w:szCs w:val="21"/>
        </w:rPr>
        <w:t>乙方应当在约定的时间、地点</w:t>
      </w:r>
      <w:r>
        <w:rPr>
          <w:rFonts w:ascii="宋体" w:eastAsia="宋体" w:hAnsi="宋体" w:cs="宋体" w:hint="eastAsia"/>
          <w:szCs w:val="21"/>
          <w:lang w:eastAsia="zh-CN"/>
        </w:rPr>
        <w:t>，按照约定</w:t>
      </w:r>
      <w:r>
        <w:rPr>
          <w:rFonts w:ascii="宋体" w:eastAsia="宋体" w:hAnsi="宋体" w:cs="宋体" w:hint="eastAsia"/>
          <w:szCs w:val="21"/>
        </w:rPr>
        <w:t>方式履行合同。</w:t>
      </w:r>
    </w:p>
    <w:p>
      <w:p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lang w:eastAsia="zh-CN"/>
        </w:rPr>
        <w:t>4</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甲方的权利和义务</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.1</w:t>
      </w:r>
      <w:r>
        <w:rPr>
          <w:rFonts w:ascii="宋体" w:eastAsia="宋体" w:hAnsi="宋体"/>
          <w:color w:val="000000"/>
          <w:szCs w:val="21"/>
          <w:highlight w:val="none"/>
        </w:rPr>
        <w:t xml:space="preserve"> 签署合同后，甲方</w:t>
      </w:r>
      <w:r>
        <w:rPr>
          <w:rFonts w:ascii="宋体" w:eastAsia="宋体" w:hAnsi="宋体" w:hint="eastAsia"/>
          <w:color w:val="000000"/>
          <w:szCs w:val="21"/>
          <w:highlight w:val="none"/>
          <w:lang w:eastAsia="zh-CN"/>
        </w:rPr>
        <w:t>应</w:t>
      </w:r>
      <w:r>
        <w:rPr>
          <w:rFonts w:ascii="宋体" w:eastAsia="宋体" w:hAnsi="宋体"/>
          <w:color w:val="000000"/>
          <w:szCs w:val="21"/>
          <w:highlight w:val="none"/>
        </w:rPr>
        <w:t>确定</w:t>
      </w:r>
      <w:r>
        <w:rPr>
          <w:rFonts w:ascii="宋体" w:eastAsia="宋体" w:hAnsi="宋体" w:hint="eastAsia"/>
          <w:color w:val="000000"/>
          <w:szCs w:val="21"/>
          <w:highlight w:val="none"/>
          <w:lang w:val="en-US" w:eastAsia="zh-CN"/>
        </w:rPr>
        <w:t>项目负责人（或项目联系人）</w:t>
      </w:r>
      <w:r>
        <w:rPr>
          <w:rFonts w:ascii="宋体" w:eastAsia="宋体" w:hAnsi="宋体"/>
          <w:color w:val="000000"/>
          <w:szCs w:val="21"/>
          <w:highlight w:val="none"/>
        </w:rPr>
        <w:t>，负责与本合同有关的事务。</w:t>
      </w:r>
      <w:r>
        <w:rPr>
          <w:rFonts w:ascii="宋体" w:eastAsia="宋体" w:hAnsi="宋体" w:hint="eastAsia"/>
          <w:color w:val="000000"/>
          <w:szCs w:val="21"/>
          <w:highlight w:val="none"/>
        </w:rPr>
        <w:t>甲方有权对乙方的履约行为进行检查，并</w:t>
      </w:r>
      <w:r>
        <w:rPr>
          <w:rFonts w:ascii="宋体" w:eastAsia="宋体" w:hAnsi="宋体"/>
          <w:color w:val="000000"/>
          <w:szCs w:val="21"/>
          <w:highlight w:val="none"/>
        </w:rPr>
        <w:t>及时确认乙方提交的事项</w:t>
      </w:r>
      <w:r>
        <w:rPr>
          <w:rFonts w:ascii="宋体" w:eastAsia="宋体" w:hAnsi="宋体" w:hint="eastAsia"/>
          <w:color w:val="000000"/>
          <w:szCs w:val="21"/>
          <w:highlight w:val="none"/>
        </w:rPr>
        <w:t>。甲方应当</w:t>
      </w:r>
      <w:r>
        <w:rPr>
          <w:rFonts w:ascii="宋体" w:eastAsia="宋体" w:hAnsi="宋体"/>
          <w:color w:val="000000"/>
          <w:szCs w:val="21"/>
          <w:highlight w:val="none"/>
        </w:rPr>
        <w:t>配合乙方完成</w:t>
      </w:r>
      <w:r>
        <w:rPr>
          <w:rFonts w:ascii="宋体" w:eastAsia="宋体" w:hAnsi="宋体" w:hint="eastAsia"/>
          <w:color w:val="000000"/>
          <w:szCs w:val="21"/>
          <w:highlight w:val="none"/>
        </w:rPr>
        <w:t>相关项目</w:t>
      </w:r>
      <w:r>
        <w:rPr>
          <w:rFonts w:ascii="宋体" w:eastAsia="宋体" w:hAnsi="宋体"/>
          <w:color w:val="000000"/>
          <w:szCs w:val="21"/>
          <w:highlight w:val="none"/>
        </w:rPr>
        <w:t>实施工作。</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 xml:space="preserve">.2 </w:t>
      </w:r>
      <w:r>
        <w:rPr>
          <w:rFonts w:ascii="宋体" w:eastAsia="宋体" w:hAnsi="宋体"/>
          <w:color w:val="000000"/>
          <w:szCs w:val="21"/>
          <w:highlight w:val="none"/>
        </w:rPr>
        <w:t>甲方有权要求乙方按时提交各阶段有关</w:t>
      </w:r>
      <w:r>
        <w:rPr>
          <w:rFonts w:ascii="宋体" w:eastAsia="宋体" w:hAnsi="宋体" w:hint="eastAsia"/>
          <w:color w:val="000000"/>
          <w:szCs w:val="21"/>
          <w:highlight w:val="none"/>
        </w:rPr>
        <w:t>安排计划</w:t>
      </w:r>
      <w:r>
        <w:rPr>
          <w:rFonts w:ascii="宋体" w:eastAsia="宋体" w:hAnsi="宋体"/>
          <w:color w:val="000000"/>
          <w:szCs w:val="21"/>
          <w:highlight w:val="none"/>
        </w:rPr>
        <w:t>，并有权</w:t>
      </w:r>
      <w:r>
        <w:rPr>
          <w:rFonts w:ascii="宋体" w:eastAsia="宋体" w:hAnsi="宋体" w:hint="eastAsia"/>
          <w:color w:val="000000"/>
          <w:szCs w:val="21"/>
          <w:highlight w:val="none"/>
        </w:rPr>
        <w:t>定期核对乙方提供货物数量、规格、质量等内容。甲方</w:t>
      </w:r>
      <w:r>
        <w:rPr>
          <w:rFonts w:ascii="宋体" w:eastAsia="宋体" w:hAnsi="宋体"/>
          <w:color w:val="000000"/>
          <w:szCs w:val="21"/>
          <w:highlight w:val="none"/>
        </w:rPr>
        <w:t>有权督促乙方工作并要求乙方</w:t>
      </w:r>
      <w:r>
        <w:rPr>
          <w:rFonts w:ascii="宋体" w:eastAsia="宋体" w:hAnsi="宋体" w:hint="eastAsia"/>
          <w:color w:val="000000"/>
          <w:szCs w:val="21"/>
          <w:highlight w:val="none"/>
        </w:rPr>
        <w:t>更</w:t>
      </w:r>
      <w:r>
        <w:rPr>
          <w:rFonts w:ascii="宋体" w:eastAsia="宋体" w:hAnsi="宋体"/>
          <w:color w:val="000000"/>
          <w:szCs w:val="21"/>
          <w:highlight w:val="none"/>
        </w:rPr>
        <w:t>换不符合要求的</w:t>
      </w:r>
      <w:r>
        <w:rPr>
          <w:rFonts w:ascii="宋体" w:eastAsia="宋体" w:hAnsi="宋体" w:hint="eastAsia"/>
          <w:color w:val="000000"/>
          <w:szCs w:val="21"/>
          <w:highlight w:val="none"/>
        </w:rPr>
        <w:t>货物</w:t>
      </w:r>
      <w:r>
        <w:rPr>
          <w:rFonts w:ascii="宋体" w:eastAsia="宋体" w:hAnsi="宋体"/>
          <w:color w:val="000000"/>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w:t>
      </w:r>
      <w:r>
        <w:rPr>
          <w:rFonts w:ascii="宋体" w:eastAsia="宋体" w:hAnsi="宋体"/>
          <w:color w:val="000000"/>
          <w:szCs w:val="21"/>
          <w:highlight w:val="none"/>
        </w:rPr>
        <w:t>3</w:t>
      </w:r>
      <w:r>
        <w:rPr>
          <w:rFonts w:ascii="宋体" w:eastAsia="宋体" w:hAnsi="宋体" w:hint="eastAsia"/>
          <w:color w:val="000000"/>
          <w:szCs w:val="21"/>
          <w:highlight w:val="none"/>
        </w:rPr>
        <w:t xml:space="preserve"> </w:t>
      </w:r>
      <w:r>
        <w:rPr>
          <w:rFonts w:ascii="宋体" w:eastAsia="宋体" w:hAnsi="宋体"/>
          <w:color w:val="000000"/>
          <w:szCs w:val="21"/>
          <w:highlight w:val="none"/>
        </w:rPr>
        <w:t>甲方</w:t>
      </w:r>
      <w:r>
        <w:rPr>
          <w:rFonts w:ascii="宋体" w:eastAsia="宋体" w:hAnsi="宋体" w:hint="eastAsia"/>
          <w:color w:val="000000"/>
          <w:szCs w:val="21"/>
          <w:highlight w:val="none"/>
        </w:rPr>
        <w:t>有权要求乙方对缺陷部分予以修复，并按合同约定享有货物保修及其他合同约定的权利。</w:t>
      </w:r>
    </w:p>
    <w:p>
      <w:pPr>
        <w:snapToGrid w:val="0"/>
        <w:spacing w:line="400" w:lineRule="exact"/>
        <w:ind w:firstLine="420" w:firstLineChars="200"/>
        <w:outlineLvl w:val="9"/>
        <w:rPr>
          <w:rFonts w:eastAsia="华文楷体" w:hint="eastAsia"/>
          <w:lang w:val="en-US" w:eastAsia="zh-CN"/>
        </w:rPr>
      </w:pPr>
      <w:r>
        <w:rPr>
          <w:rFonts w:ascii="宋体" w:eastAsia="宋体" w:hAnsi="宋体" w:hint="default"/>
          <w:color w:val="000000"/>
          <w:szCs w:val="21"/>
          <w:highlight w:val="none"/>
          <w:lang w:val="en-US" w:eastAsia="zh-CN"/>
        </w:rPr>
        <w:t>4.4 甲方应当按照合同约定及时对交付的货物进行验收</w:t>
      </w:r>
      <w:r>
        <w:rPr>
          <w:rFonts w:ascii="宋体" w:eastAsia="宋体" w:hAnsi="宋体" w:hint="eastAsia"/>
          <w:color w:val="000000"/>
          <w:szCs w:val="21"/>
          <w:highlight w:val="none"/>
          <w:lang w:val="en-US" w:eastAsia="zh-CN"/>
        </w:rPr>
        <w:t>，</w:t>
      </w:r>
      <w:r>
        <w:rPr>
          <w:rFonts w:ascii="宋体" w:eastAsia="宋体" w:hAnsi="宋体" w:cs="宋体" w:hint="eastAsia"/>
          <w:b w:val="0"/>
          <w:bCs w:val="0"/>
          <w:szCs w:val="21"/>
          <w:highlight w:val="none"/>
          <w:lang w:eastAsia="zh-CN"/>
        </w:rPr>
        <w:t>未</w:t>
      </w:r>
      <w:r>
        <w:rPr>
          <w:rFonts w:ascii="宋体" w:eastAsia="宋体" w:hAnsi="宋体" w:hint="eastAsia"/>
          <w:color w:val="000000"/>
          <w:szCs w:val="21"/>
          <w:highlight w:val="none"/>
          <w:lang w:val="en-US" w:eastAsia="zh-CN"/>
        </w:rPr>
        <w:t>在</w:t>
      </w:r>
      <w:r>
        <w:rPr>
          <w:rFonts w:ascii="宋体" w:eastAsia="宋体" w:hAnsi="宋体" w:cs="宋体" w:hint="eastAsia"/>
          <w:b/>
          <w:bCs/>
          <w:szCs w:val="21"/>
          <w:highlight w:val="none"/>
        </w:rPr>
        <w:t>【政府采购合同专用条款】</w:t>
      </w:r>
      <w:r>
        <w:rPr>
          <w:rFonts w:ascii="宋体" w:eastAsia="宋体" w:hAnsi="宋体" w:cs="宋体" w:hint="eastAsia"/>
          <w:b w:val="0"/>
          <w:bCs w:val="0"/>
          <w:szCs w:val="21"/>
          <w:highlight w:val="none"/>
          <w:lang w:eastAsia="zh-CN"/>
        </w:rPr>
        <w:t>约定的期限内对乙方履约提出任何异议或者向乙方作出任何说明的，</w:t>
      </w:r>
      <w:r>
        <w:rPr>
          <w:rFonts w:ascii="宋体" w:eastAsia="宋体" w:hAnsi="宋体" w:hint="eastAsia"/>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default"/>
          <w:color w:val="000000"/>
          <w:szCs w:val="21"/>
          <w:highlight w:val="none"/>
          <w:lang w:eastAsia="zh-CN"/>
        </w:rPr>
        <w:t>4</w:t>
      </w:r>
      <w:r>
        <w:rPr>
          <w:rFonts w:ascii="宋体" w:eastAsia="宋体" w:hAnsi="宋体" w:hint="eastAsia"/>
          <w:color w:val="000000"/>
          <w:szCs w:val="21"/>
          <w:highlight w:val="none"/>
        </w:rPr>
        <w:t>.</w:t>
      </w:r>
      <w:r>
        <w:rPr>
          <w:rFonts w:ascii="宋体" w:eastAsia="宋体" w:hAnsi="宋体" w:hint="default"/>
          <w:color w:val="000000"/>
          <w:szCs w:val="21"/>
          <w:highlight w:val="none"/>
          <w:lang w:val="en-US" w:eastAsia="zh-CN"/>
        </w:rPr>
        <w:t>5</w:t>
      </w:r>
      <w:r>
        <w:rPr>
          <w:rFonts w:ascii="宋体" w:eastAsia="宋体" w:hAnsi="宋体"/>
          <w:color w:val="000000"/>
          <w:szCs w:val="21"/>
          <w:highlight w:val="none"/>
        </w:rPr>
        <w:t xml:space="preserve"> </w:t>
      </w:r>
      <w:r>
        <w:rPr>
          <w:rFonts w:ascii="宋体" w:eastAsia="宋体" w:hAnsi="宋体" w:hint="eastAsia"/>
          <w:color w:val="000000"/>
          <w:szCs w:val="21"/>
          <w:highlight w:val="none"/>
        </w:rPr>
        <w:t>甲方应当根据合同约定</w:t>
      </w:r>
      <w:r>
        <w:rPr>
          <w:rFonts w:ascii="宋体" w:eastAsia="宋体" w:hAnsi="宋体" w:hint="eastAsia"/>
          <w:color w:val="000000"/>
          <w:szCs w:val="21"/>
          <w:highlight w:val="none"/>
          <w:lang w:eastAsia="zh-CN"/>
        </w:rPr>
        <w:t>及</w:t>
      </w:r>
      <w:r>
        <w:rPr>
          <w:rFonts w:ascii="宋体" w:eastAsia="宋体" w:hAnsi="宋体" w:hint="eastAsia"/>
          <w:color w:val="000000"/>
          <w:szCs w:val="21"/>
          <w:highlight w:val="none"/>
        </w:rPr>
        <w:t>时向乙方支付</w:t>
      </w:r>
      <w:r>
        <w:rPr>
          <w:rFonts w:ascii="宋体" w:eastAsia="宋体" w:hAnsi="宋体" w:hint="eastAsia"/>
          <w:color w:val="000000"/>
          <w:szCs w:val="21"/>
          <w:highlight w:val="none"/>
          <w:lang w:eastAsia="zh-CN"/>
        </w:rPr>
        <w:t>合同价款</w:t>
      </w:r>
      <w:r>
        <w:rPr>
          <w:rFonts w:ascii="宋体" w:eastAsia="宋体" w:hAnsi="宋体" w:hint="default"/>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6</w:t>
      </w:r>
      <w:r>
        <w:rPr>
          <w:rFonts w:ascii="宋体" w:eastAsia="宋体" w:hAnsi="宋体"/>
          <w:color w:val="000000"/>
          <w:szCs w:val="21"/>
          <w:highlight w:val="none"/>
        </w:rPr>
        <w:t xml:space="preserve"> </w:t>
      </w:r>
      <w:r>
        <w:rPr>
          <w:rFonts w:ascii="宋体" w:eastAsia="宋体" w:hAnsi="宋体" w:hint="eastAsia"/>
          <w:color w:val="000000"/>
          <w:szCs w:val="21"/>
          <w:highlight w:val="none"/>
        </w:rPr>
        <w:t>国家法律法规规定</w:t>
      </w:r>
      <w:r>
        <w:rPr>
          <w:rFonts w:ascii="宋体" w:eastAsia="宋体" w:hAnsi="宋体" w:hint="eastAsia"/>
          <w:color w:val="000000"/>
          <w:szCs w:val="21"/>
          <w:highlight w:val="none"/>
          <w:lang w:eastAsia="zh-CN"/>
        </w:rPr>
        <w:t>及</w:t>
      </w:r>
      <w:r>
        <w:rPr>
          <w:rFonts w:ascii="宋体" w:eastAsia="宋体" w:hAnsi="宋体" w:cs="宋体" w:hint="eastAsia"/>
          <w:b/>
          <w:bCs/>
          <w:szCs w:val="21"/>
          <w:highlight w:val="none"/>
        </w:rPr>
        <w:t>【政府采购合同专用条款】</w:t>
      </w:r>
      <w:r>
        <w:rPr>
          <w:rFonts w:ascii="宋体" w:eastAsia="宋体" w:hAnsi="宋体" w:hint="eastAsia"/>
          <w:color w:val="000000"/>
          <w:szCs w:val="21"/>
          <w:highlight w:val="none"/>
          <w:lang w:eastAsia="zh-CN"/>
        </w:rPr>
        <w:t>约定应</w:t>
      </w:r>
      <w:r>
        <w:rPr>
          <w:rFonts w:ascii="宋体" w:eastAsia="宋体" w:hAnsi="宋体" w:hint="eastAsia"/>
          <w:color w:val="000000"/>
          <w:szCs w:val="21"/>
          <w:highlight w:val="none"/>
        </w:rPr>
        <w:t>由甲方承担的其他义务和责任。</w:t>
      </w:r>
    </w:p>
    <w:p>
      <w:p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lang w:eastAsia="zh-CN"/>
        </w:rPr>
        <w:t>5</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乙方的权利和义务</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5</w:t>
      </w:r>
      <w:r>
        <w:rPr>
          <w:rFonts w:ascii="宋体" w:eastAsia="宋体" w:hAnsi="宋体" w:hint="eastAsia"/>
          <w:color w:val="000000"/>
          <w:szCs w:val="21"/>
          <w:highlight w:val="none"/>
        </w:rPr>
        <w:t xml:space="preserve">.1 </w:t>
      </w:r>
      <w:r>
        <w:rPr>
          <w:rFonts w:ascii="宋体" w:eastAsia="宋体" w:hAnsi="宋体"/>
          <w:color w:val="000000"/>
          <w:szCs w:val="21"/>
          <w:highlight w:val="none"/>
        </w:rPr>
        <w:t>签署合同后，乙方</w:t>
      </w:r>
      <w:r>
        <w:rPr>
          <w:rFonts w:ascii="宋体" w:eastAsia="宋体" w:hAnsi="宋体" w:hint="eastAsia"/>
          <w:color w:val="000000"/>
          <w:szCs w:val="21"/>
          <w:highlight w:val="none"/>
          <w:lang w:eastAsia="zh-CN"/>
        </w:rPr>
        <w:t>应</w:t>
      </w:r>
      <w:r>
        <w:rPr>
          <w:rFonts w:ascii="宋体" w:eastAsia="宋体" w:hAnsi="宋体"/>
          <w:color w:val="000000"/>
          <w:szCs w:val="21"/>
          <w:highlight w:val="none"/>
        </w:rPr>
        <w:t>确定</w:t>
      </w:r>
      <w:r>
        <w:rPr>
          <w:rFonts w:ascii="宋体" w:eastAsia="宋体" w:hAnsi="宋体" w:hint="eastAsia"/>
          <w:color w:val="000000"/>
          <w:szCs w:val="21"/>
          <w:highlight w:val="none"/>
          <w:lang w:val="en-US" w:eastAsia="zh-CN"/>
        </w:rPr>
        <w:t>项目负责人（或项目联系人）</w:t>
      </w:r>
      <w:r>
        <w:rPr>
          <w:rFonts w:ascii="宋体" w:eastAsia="宋体" w:hAnsi="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5</w:t>
      </w:r>
      <w:r>
        <w:rPr>
          <w:rFonts w:ascii="宋体" w:eastAsia="宋体" w:hAnsi="宋体" w:hint="eastAsia"/>
          <w:color w:val="000000"/>
          <w:szCs w:val="21"/>
          <w:highlight w:val="none"/>
        </w:rPr>
        <w:t>.</w:t>
      </w:r>
      <w:r>
        <w:rPr>
          <w:rFonts w:ascii="宋体" w:eastAsia="宋体" w:hAnsi="宋体"/>
          <w:color w:val="000000"/>
          <w:szCs w:val="21"/>
          <w:highlight w:val="none"/>
        </w:rPr>
        <w:t>2 乙方应按照合同要求</w:t>
      </w:r>
      <w:r>
        <w:rPr>
          <w:rFonts w:ascii="宋体" w:eastAsia="宋体" w:hAnsi="宋体" w:hint="eastAsia"/>
          <w:color w:val="000000"/>
          <w:szCs w:val="21"/>
          <w:highlight w:val="none"/>
        </w:rPr>
        <w:t>履约</w:t>
      </w:r>
      <w:r>
        <w:rPr>
          <w:rFonts w:ascii="宋体" w:eastAsia="宋体" w:hAnsi="宋体"/>
          <w:color w:val="000000"/>
          <w:szCs w:val="21"/>
          <w:highlight w:val="none"/>
        </w:rPr>
        <w:t>，充分合理安排，确保</w:t>
      </w:r>
      <w:r>
        <w:rPr>
          <w:rFonts w:ascii="宋体" w:eastAsia="宋体" w:hAnsi="宋体" w:hint="eastAsia"/>
          <w:color w:val="000000"/>
          <w:szCs w:val="21"/>
          <w:highlight w:val="none"/>
        </w:rPr>
        <w:t>提供的货物</w:t>
      </w:r>
      <w:r>
        <w:rPr>
          <w:rFonts w:ascii="宋体" w:eastAsia="宋体" w:hAnsi="宋体" w:hint="eastAsia"/>
          <w:color w:val="000000"/>
          <w:szCs w:val="21"/>
          <w:highlight w:val="none"/>
          <w:lang w:eastAsia="zh-CN"/>
        </w:rPr>
        <w:t>及相关</w:t>
      </w:r>
      <w:r>
        <w:rPr>
          <w:rFonts w:ascii="宋体" w:eastAsia="宋体" w:hAnsi="宋体" w:hint="eastAsia"/>
          <w:color w:val="000000"/>
          <w:szCs w:val="21"/>
          <w:highlight w:val="none"/>
        </w:rPr>
        <w:t>服务符合合同</w:t>
      </w:r>
      <w:r>
        <w:rPr>
          <w:rFonts w:ascii="宋体" w:eastAsia="宋体" w:hAnsi="宋体" w:hint="eastAsia"/>
          <w:color w:val="000000"/>
          <w:szCs w:val="21"/>
          <w:highlight w:val="none"/>
          <w:lang w:eastAsia="zh-CN"/>
        </w:rPr>
        <w:t>有关</w:t>
      </w:r>
      <w:r>
        <w:rPr>
          <w:rFonts w:ascii="宋体" w:eastAsia="宋体" w:hAnsi="宋体"/>
          <w:color w:val="000000"/>
          <w:szCs w:val="21"/>
          <w:highlight w:val="none"/>
        </w:rPr>
        <w:t>要求</w:t>
      </w:r>
      <w:r>
        <w:rPr>
          <w:rFonts w:ascii="宋体" w:eastAsia="宋体" w:hAnsi="宋体" w:hint="eastAsia"/>
          <w:color w:val="000000"/>
          <w:szCs w:val="21"/>
          <w:highlight w:val="none"/>
        </w:rPr>
        <w:t>。接受项目行业管理部门及政府有关部门的指导，配合甲方的履约检查</w:t>
      </w:r>
      <w:r>
        <w:rPr>
          <w:rFonts w:ascii="宋体" w:eastAsia="宋体" w:hAnsi="宋体" w:hint="eastAsia"/>
          <w:color w:val="000000"/>
          <w:szCs w:val="21"/>
          <w:highlight w:val="none"/>
          <w:lang w:eastAsia="zh-CN"/>
        </w:rPr>
        <w:t>及验收</w:t>
      </w:r>
      <w:r>
        <w:rPr>
          <w:rFonts w:ascii="宋体" w:eastAsia="宋体" w:hAnsi="宋体" w:hint="eastAsia"/>
          <w:color w:val="000000"/>
          <w:szCs w:val="21"/>
          <w:highlight w:val="none"/>
        </w:rPr>
        <w:t>，并</w:t>
      </w:r>
      <w:r>
        <w:rPr>
          <w:rFonts w:ascii="宋体" w:eastAsia="宋体" w:hAnsi="宋体"/>
          <w:color w:val="000000"/>
          <w:szCs w:val="21"/>
          <w:highlight w:val="none"/>
        </w:rPr>
        <w:t>负责项目实施过程中的所有协调工作。</w:t>
      </w:r>
    </w:p>
    <w:p>
      <w:pPr>
        <w:widowControl w:val="0"/>
        <w:spacing w:after="0" w:line="400" w:lineRule="exact"/>
        <w:ind w:firstLine="370" w:firstLineChars="176"/>
        <w:jc w:val="both"/>
        <w:outlineLvl w:val="9"/>
        <w:rPr>
          <w:rFonts w:ascii="宋体" w:eastAsia="宋体" w:hAnsi="宋体" w:cs="宋体"/>
          <w:color w:val="000000"/>
          <w:kern w:val="2"/>
          <w:sz w:val="21"/>
          <w:szCs w:val="21"/>
          <w:highlight w:val="none"/>
          <w:lang w:val="en-US" w:eastAsia="zh-CN" w:bidi="ar-SA"/>
        </w:rPr>
      </w:pPr>
      <w:r>
        <w:rPr>
          <w:rFonts w:ascii="宋体" w:eastAsia="宋体" w:hAnsi="宋体" w:cs="Times New Roman" w:hint="eastAsia"/>
          <w:color w:val="000000"/>
          <w:kern w:val="2"/>
          <w:sz w:val="21"/>
          <w:szCs w:val="21"/>
          <w:highlight w:val="none"/>
          <w:lang w:val="en-US" w:eastAsia="zh-CN" w:bidi="ar-SA"/>
        </w:rPr>
        <w:t>5.</w:t>
      </w:r>
      <w:r>
        <w:rPr>
          <w:rFonts w:ascii="宋体" w:eastAsia="宋体" w:hAnsi="宋体" w:cs="Times New Roman"/>
          <w:color w:val="000000"/>
          <w:kern w:val="2"/>
          <w:sz w:val="21"/>
          <w:szCs w:val="21"/>
          <w:highlight w:val="none"/>
          <w:lang w:val="en-US" w:eastAsia="zh-CN" w:bidi="ar-SA"/>
        </w:rPr>
        <w:t>3</w:t>
      </w:r>
      <w:r>
        <w:rPr>
          <w:rFonts w:ascii="宋体" w:eastAsia="宋体" w:hAnsi="宋体" w:cs="Times New Roman" w:hint="eastAsia"/>
          <w:color w:val="000000"/>
          <w:kern w:val="2"/>
          <w:sz w:val="21"/>
          <w:szCs w:val="21"/>
          <w:highlight w:val="none"/>
          <w:lang w:val="en-US" w:eastAsia="zh-CN" w:bidi="ar-SA"/>
        </w:rPr>
        <w:t>乙方有权</w:t>
      </w:r>
      <w:r>
        <w:rPr>
          <w:rFonts w:ascii="宋体" w:eastAsia="宋体" w:hAnsi="宋体" w:cs="宋体" w:hint="eastAsia"/>
          <w:color w:val="000000"/>
          <w:kern w:val="2"/>
          <w:sz w:val="21"/>
          <w:szCs w:val="21"/>
          <w:highlight w:val="none"/>
          <w:lang w:val="en-US" w:eastAsia="zh-CN" w:bidi="ar-SA"/>
        </w:rPr>
        <w:t>根据合同约定向甲方收取合同价款。</w:t>
      </w:r>
    </w:p>
    <w:p>
      <w:pPr>
        <w:widowControl w:val="0"/>
        <w:spacing w:after="0" w:line="400" w:lineRule="exact"/>
        <w:ind w:firstLine="370" w:firstLineChars="176"/>
        <w:jc w:val="both"/>
        <w:outlineLvl w:val="9"/>
        <w:rPr>
          <w:rFonts w:ascii="宋体" w:eastAsia="宋体" w:hAnsi="宋体" w:cs="宋体"/>
          <w:color w:val="000000"/>
          <w:kern w:val="2"/>
          <w:sz w:val="21"/>
          <w:szCs w:val="21"/>
          <w:highlight w:val="none"/>
          <w:lang w:val="en-US" w:eastAsia="zh-CN" w:bidi="ar-SA"/>
        </w:rPr>
      </w:pPr>
      <w:r>
        <w:rPr>
          <w:rFonts w:ascii="宋体" w:eastAsia="宋体" w:hAnsi="宋体" w:cs="Times New Roman" w:hint="eastAsia"/>
          <w:color w:val="000000"/>
          <w:kern w:val="2"/>
          <w:sz w:val="21"/>
          <w:szCs w:val="21"/>
          <w:highlight w:val="none"/>
          <w:lang w:val="en-US" w:eastAsia="zh-CN" w:bidi="ar-SA"/>
        </w:rPr>
        <w:t>5.</w:t>
      </w:r>
      <w:r>
        <w:rPr>
          <w:rFonts w:ascii="宋体" w:eastAsia="宋体" w:hAnsi="宋体" w:cs="Times New Roman"/>
          <w:color w:val="000000"/>
          <w:kern w:val="2"/>
          <w:sz w:val="21"/>
          <w:szCs w:val="21"/>
          <w:highlight w:val="none"/>
          <w:lang w:val="en-US" w:eastAsia="zh-CN" w:bidi="ar-SA"/>
        </w:rPr>
        <w:t>4</w:t>
      </w:r>
      <w:r>
        <w:rPr>
          <w:rFonts w:ascii="宋体" w:eastAsia="宋体" w:hAnsi="宋体" w:cs="宋体" w:hint="eastAsia"/>
          <w:color w:val="000000"/>
          <w:kern w:val="2"/>
          <w:sz w:val="21"/>
          <w:szCs w:val="21"/>
          <w:highlight w:val="none"/>
          <w:lang w:val="en-US" w:eastAsia="zh-CN" w:bidi="ar-SA"/>
        </w:rPr>
        <w:t>国家法律法规规定</w:t>
      </w:r>
      <w:r>
        <w:rPr>
          <w:rFonts w:ascii="宋体" w:eastAsia="宋体" w:hAnsi="宋体" w:cs="Times New Roman" w:hint="eastAsia"/>
          <w:color w:val="000000"/>
          <w:kern w:val="2"/>
          <w:sz w:val="21"/>
          <w:szCs w:val="21"/>
          <w:highlight w:val="none"/>
          <w:lang w:val="en-US" w:eastAsia="zh-CN" w:bidi="ar-SA"/>
        </w:rPr>
        <w:t>及</w:t>
      </w:r>
      <w:r>
        <w:rPr>
          <w:rFonts w:ascii="宋体" w:eastAsia="宋体" w:hAnsi="宋体" w:cs="宋体" w:hint="eastAsia"/>
          <w:b/>
          <w:bCs/>
          <w:kern w:val="2"/>
          <w:sz w:val="21"/>
          <w:szCs w:val="21"/>
          <w:highlight w:val="none"/>
          <w:lang w:val="en-US" w:eastAsia="zh-CN" w:bidi="ar-SA"/>
        </w:rPr>
        <w:t>【政府采购合同专用条款】</w:t>
      </w:r>
      <w:r>
        <w:rPr>
          <w:rFonts w:ascii="宋体" w:eastAsia="宋体" w:hAnsi="宋体" w:cs="宋体" w:hint="eastAsia"/>
          <w:b w:val="0"/>
          <w:bCs w:val="0"/>
          <w:kern w:val="2"/>
          <w:sz w:val="21"/>
          <w:szCs w:val="21"/>
          <w:highlight w:val="none"/>
          <w:lang w:val="en-US" w:eastAsia="zh-CN" w:bidi="ar-SA"/>
        </w:rPr>
        <w:t>约定应</w:t>
      </w:r>
      <w:r>
        <w:rPr>
          <w:rFonts w:ascii="宋体" w:eastAsia="宋体" w:hAnsi="宋体" w:cs="宋体" w:hint="eastAsia"/>
          <w:color w:val="000000"/>
          <w:kern w:val="2"/>
          <w:sz w:val="21"/>
          <w:szCs w:val="21"/>
          <w:highlight w:val="none"/>
          <w:lang w:val="en-US" w:eastAsia="zh-CN" w:bidi="ar-SA"/>
        </w:rPr>
        <w:t>由乙方承担的其他义务和责任。</w:t>
      </w:r>
    </w:p>
    <w:p>
      <w:pPr>
        <w:numPr>
          <w:ilvl w:val="0"/>
          <w:numId w:val="13"/>
        </w:numPr>
        <w:autoSpaceDE w:val="0"/>
        <w:autoSpaceDN w:val="0"/>
        <w:adjustRightInd w:val="0"/>
        <w:snapToGrid w:val="0"/>
        <w:spacing w:before="0" w:line="400" w:lineRule="exact"/>
        <w:jc w:val="left"/>
        <w:outlineLvl w:val="9"/>
        <w:rPr>
          <w:rFonts w:ascii="宋体" w:eastAsia="宋体" w:hAnsi="宋体" w:hint="eastAsia"/>
          <w:b/>
          <w:bCs/>
          <w:color w:val="000000"/>
          <w:sz w:val="24"/>
          <w:highlight w:val="none"/>
        </w:rPr>
      </w:pPr>
      <w:r>
        <w:rPr>
          <w:rFonts w:ascii="宋体" w:eastAsia="宋体" w:hAnsi="宋体" w:hint="eastAsia"/>
          <w:b/>
          <w:bCs/>
          <w:color w:val="000000"/>
          <w:sz w:val="24"/>
          <w:highlight w:val="none"/>
        </w:rPr>
        <w:t>合同履</w:t>
      </w:r>
      <w:r>
        <w:rPr>
          <w:rFonts w:ascii="宋体" w:eastAsia="宋体" w:hAnsi="宋体" w:hint="eastAsia"/>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6</w:t>
      </w:r>
      <w:r>
        <w:rPr>
          <w:rFonts w:ascii="宋体" w:eastAsia="宋体" w:hAnsi="宋体" w:hint="eastAsia"/>
          <w:color w:val="000000"/>
          <w:szCs w:val="21"/>
          <w:highlight w:val="none"/>
        </w:rPr>
        <w:t>.1 甲乙双方应当按照</w:t>
      </w:r>
      <w:r>
        <w:rPr>
          <w:rFonts w:ascii="宋体" w:eastAsia="宋体" w:hAnsi="宋体" w:cs="宋体" w:hint="eastAsia"/>
          <w:b/>
          <w:bCs/>
          <w:szCs w:val="21"/>
          <w:highlight w:val="none"/>
        </w:rPr>
        <w:t>【政府采购合同专用条款】</w:t>
      </w:r>
      <w:r>
        <w:rPr>
          <w:rFonts w:ascii="宋体" w:eastAsia="宋体" w:hAnsi="宋体" w:hint="eastAsia"/>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outlineLvl w:val="9"/>
        <w:rPr>
          <w:rFonts w:eastAsia="宋体"/>
        </w:rPr>
      </w:pPr>
      <w:r>
        <w:rPr>
          <w:rFonts w:ascii="宋体" w:eastAsia="宋体" w:hAnsi="宋体" w:hint="eastAsia"/>
          <w:color w:val="000000"/>
          <w:szCs w:val="21"/>
          <w:highlight w:val="none"/>
          <w:lang w:eastAsia="zh-CN"/>
        </w:rPr>
        <w:t>6</w:t>
      </w:r>
      <w:r>
        <w:rPr>
          <w:rFonts w:ascii="宋体" w:eastAsia="宋体" w:hAnsi="宋体" w:hint="eastAsia"/>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lang w:eastAsia="zh-CN"/>
        </w:rPr>
        <w:t>7</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货物包装、运输</w:t>
      </w:r>
      <w:r>
        <w:rPr>
          <w:rFonts w:ascii="宋体" w:eastAsia="宋体" w:hAnsi="宋体" w:hint="eastAsia"/>
          <w:b/>
          <w:bCs/>
          <w:color w:val="000000"/>
          <w:sz w:val="24"/>
          <w:highlight w:val="none"/>
          <w:lang w:eastAsia="zh-CN"/>
        </w:rPr>
        <w:t>、</w:t>
      </w:r>
      <w:r>
        <w:rPr>
          <w:rFonts w:ascii="宋体" w:eastAsia="宋体" w:hAnsi="宋体" w:hint="eastAsia"/>
          <w:b/>
          <w:bCs/>
          <w:color w:val="000000"/>
          <w:sz w:val="24"/>
          <w:highlight w:val="none"/>
        </w:rPr>
        <w:t>保险</w:t>
      </w:r>
      <w:r>
        <w:rPr>
          <w:rFonts w:ascii="宋体" w:eastAsia="宋体" w:hAnsi="宋体" w:hint="eastAsia"/>
          <w:b/>
          <w:bCs/>
          <w:color w:val="000000"/>
          <w:sz w:val="24"/>
          <w:highlight w:val="none"/>
          <w:lang w:eastAsia="zh-CN"/>
        </w:rPr>
        <w:t>和交付</w:t>
      </w:r>
      <w:r>
        <w:rPr>
          <w:rFonts w:ascii="宋体" w:eastAsia="宋体" w:hAnsi="宋体" w:hint="eastAsia"/>
          <w:b/>
          <w:bCs/>
          <w:color w:val="000000"/>
          <w:sz w:val="24"/>
          <w:highlight w:val="none"/>
        </w:rPr>
        <w:t>要求</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.1 本合同</w:t>
      </w:r>
      <w:r>
        <w:rPr>
          <w:rFonts w:ascii="宋体" w:eastAsia="宋体" w:hAnsi="宋体" w:hint="eastAsia"/>
          <w:bCs/>
          <w:color w:val="000000"/>
          <w:szCs w:val="21"/>
          <w:highlight w:val="none"/>
        </w:rPr>
        <w:t>涉及商品包装</w:t>
      </w:r>
      <w:r>
        <w:rPr>
          <w:rFonts w:ascii="宋体" w:eastAsia="宋体" w:hAnsi="宋体" w:hint="eastAsia"/>
          <w:bCs/>
          <w:color w:val="000000"/>
          <w:szCs w:val="21"/>
          <w:highlight w:val="none"/>
          <w:lang w:eastAsia="zh-CN"/>
        </w:rPr>
        <w:t>、</w:t>
      </w:r>
      <w:r>
        <w:rPr>
          <w:rFonts w:ascii="宋体" w:eastAsia="宋体" w:hAnsi="宋体" w:hint="eastAsia"/>
          <w:bCs/>
          <w:color w:val="000000"/>
          <w:szCs w:val="21"/>
          <w:highlight w:val="none"/>
        </w:rPr>
        <w:t>快递包装的，</w:t>
      </w:r>
      <w:r>
        <w:rPr>
          <w:rFonts w:ascii="宋体" w:eastAsia="宋体" w:hAnsi="宋体" w:hint="eastAsia"/>
          <w:color w:val="000000"/>
          <w:szCs w:val="21"/>
          <w:highlight w:val="none"/>
        </w:rPr>
        <w:t>除</w:t>
      </w:r>
      <w:r>
        <w:rPr>
          <w:rFonts w:ascii="宋体" w:eastAsia="宋体" w:hAnsi="宋体" w:hint="eastAsia"/>
          <w:b/>
          <w:color w:val="000000"/>
          <w:szCs w:val="21"/>
          <w:highlight w:val="none"/>
        </w:rPr>
        <w:t>【政府采购合同专用条款】</w:t>
      </w:r>
      <w:r>
        <w:rPr>
          <w:rFonts w:ascii="宋体" w:eastAsia="宋体" w:hAnsi="宋体" w:hint="eastAsia"/>
          <w:bCs/>
          <w:color w:val="000000"/>
          <w:szCs w:val="21"/>
          <w:highlight w:val="none"/>
        </w:rPr>
        <w:t>另有</w:t>
      </w:r>
      <w:r>
        <w:rPr>
          <w:rFonts w:ascii="宋体" w:eastAsia="宋体" w:hAnsi="宋体" w:hint="eastAsia"/>
          <w:bCs/>
          <w:color w:val="000000"/>
          <w:szCs w:val="21"/>
          <w:highlight w:val="none"/>
          <w:lang w:eastAsia="zh-CN"/>
        </w:rPr>
        <w:t>约</w:t>
      </w:r>
      <w:r>
        <w:rPr>
          <w:rFonts w:ascii="宋体" w:eastAsia="宋体" w:hAnsi="宋体" w:hint="eastAsia"/>
          <w:bCs/>
          <w:color w:val="000000"/>
          <w:szCs w:val="21"/>
          <w:highlight w:val="none"/>
        </w:rPr>
        <w:t>定</w:t>
      </w:r>
      <w:r>
        <w:rPr>
          <w:rFonts w:ascii="宋体" w:eastAsia="宋体" w:hAnsi="宋体" w:hint="eastAsia"/>
          <w:bCs/>
          <w:color w:val="000000"/>
          <w:szCs w:val="21"/>
          <w:highlight w:val="none"/>
          <w:lang w:eastAsia="zh-CN"/>
        </w:rPr>
        <w:t>外</w:t>
      </w:r>
      <w:r>
        <w:rPr>
          <w:rFonts w:ascii="宋体" w:eastAsia="宋体" w:hAnsi="宋体" w:hint="eastAsia"/>
          <w:bCs/>
          <w:color w:val="000000"/>
          <w:szCs w:val="21"/>
          <w:highlight w:val="none"/>
        </w:rPr>
        <w:t>，</w:t>
      </w:r>
      <w:r>
        <w:rPr>
          <w:rFonts w:ascii="宋体" w:eastAsia="宋体" w:hAnsi="宋体" w:hint="eastAsia"/>
          <w:color w:val="000000"/>
          <w:szCs w:val="21"/>
          <w:highlight w:val="none"/>
        </w:rPr>
        <w:t>包装应适应远距离运输、防潮、防震、防锈和防野蛮装卸等要求，确保货物安全无损地运抵</w:t>
      </w:r>
      <w:r>
        <w:rPr>
          <w:rFonts w:ascii="宋体" w:eastAsia="宋体" w:hAnsi="宋体" w:hint="eastAsia"/>
          <w:b/>
          <w:color w:val="000000"/>
          <w:szCs w:val="21"/>
          <w:highlight w:val="none"/>
        </w:rPr>
        <w:t>【政府采购合同专用条款】</w:t>
      </w:r>
      <w:r>
        <w:rPr>
          <w:rFonts w:ascii="宋体" w:eastAsia="宋体" w:hAnsi="宋体" w:hint="eastAsia"/>
          <w:b w:val="0"/>
          <w:bCs/>
          <w:color w:val="000000"/>
          <w:szCs w:val="21"/>
          <w:highlight w:val="none"/>
          <w:lang w:eastAsia="zh-CN"/>
        </w:rPr>
        <w:t>约定的</w:t>
      </w:r>
      <w:r>
        <w:rPr>
          <w:rFonts w:ascii="宋体" w:eastAsia="宋体" w:hAnsi="宋体" w:hint="eastAsia"/>
          <w:color w:val="000000"/>
          <w:szCs w:val="21"/>
          <w:highlight w:val="none"/>
        </w:rPr>
        <w:t>指定现场。</w:t>
      </w:r>
    </w:p>
    <w:p>
      <w:pPr>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.2 除</w:t>
      </w:r>
      <w:r>
        <w:rPr>
          <w:rFonts w:ascii="宋体" w:eastAsia="宋体" w:hAnsi="宋体" w:hint="eastAsia"/>
          <w:b/>
          <w:color w:val="000000"/>
          <w:szCs w:val="21"/>
          <w:highlight w:val="none"/>
        </w:rPr>
        <w:t>【政府采购合同专用条款】</w:t>
      </w:r>
      <w:r>
        <w:rPr>
          <w:rFonts w:ascii="宋体" w:eastAsia="宋体" w:hAnsi="宋体" w:hint="eastAsia"/>
          <w:bCs/>
          <w:color w:val="000000"/>
          <w:szCs w:val="21"/>
          <w:highlight w:val="none"/>
        </w:rPr>
        <w:t>另有</w:t>
      </w:r>
      <w:r>
        <w:rPr>
          <w:rFonts w:ascii="宋体" w:eastAsia="宋体" w:hAnsi="宋体" w:hint="eastAsia"/>
          <w:bCs/>
          <w:color w:val="000000"/>
          <w:szCs w:val="21"/>
          <w:highlight w:val="none"/>
          <w:lang w:eastAsia="zh-CN"/>
        </w:rPr>
        <w:t>约</w:t>
      </w:r>
      <w:r>
        <w:rPr>
          <w:rFonts w:ascii="宋体" w:eastAsia="宋体" w:hAnsi="宋体" w:hint="eastAsia"/>
          <w:bCs/>
          <w:color w:val="000000"/>
          <w:szCs w:val="21"/>
          <w:highlight w:val="none"/>
        </w:rPr>
        <w:t>定</w:t>
      </w:r>
      <w:r>
        <w:rPr>
          <w:rFonts w:ascii="宋体" w:eastAsia="宋体" w:hAnsi="宋体" w:hint="eastAsia"/>
          <w:bCs/>
          <w:color w:val="000000"/>
          <w:szCs w:val="21"/>
          <w:highlight w:val="none"/>
          <w:lang w:eastAsia="zh-CN"/>
        </w:rPr>
        <w:t>外</w:t>
      </w:r>
      <w:r>
        <w:rPr>
          <w:rFonts w:ascii="宋体" w:eastAsia="宋体" w:hAnsi="宋体" w:hint="eastAsia"/>
          <w:bCs/>
          <w:color w:val="000000"/>
          <w:szCs w:val="21"/>
          <w:highlight w:val="none"/>
        </w:rPr>
        <w:t>，</w:t>
      </w:r>
      <w:r>
        <w:rPr>
          <w:rFonts w:ascii="宋体" w:eastAsia="宋体" w:hAnsi="宋体" w:hint="eastAsia"/>
          <w:color w:val="000000"/>
          <w:szCs w:val="21"/>
          <w:highlight w:val="none"/>
        </w:rPr>
        <w:t>乙方负责办理将货物运抵本合同规定的交货地点</w:t>
      </w:r>
      <w:r>
        <w:rPr>
          <w:rFonts w:ascii="宋体" w:eastAsia="宋体" w:hAnsi="宋体" w:hint="eastAsia"/>
          <w:color w:val="000000"/>
          <w:szCs w:val="21"/>
          <w:highlight w:val="none"/>
          <w:lang w:eastAsia="zh-CN"/>
        </w:rPr>
        <w:t>，并装卸、交付至甲方</w:t>
      </w:r>
      <w:r>
        <w:rPr>
          <w:rFonts w:ascii="宋体" w:eastAsia="宋体" w:hAnsi="宋体" w:hint="eastAsia"/>
          <w:color w:val="000000"/>
          <w:szCs w:val="21"/>
          <w:highlight w:val="none"/>
        </w:rPr>
        <w:t>的一切运输事项，相关费用应</w:t>
      </w:r>
      <w:r>
        <w:rPr>
          <w:rFonts w:ascii="宋体" w:eastAsia="宋体" w:hAnsi="宋体" w:hint="eastAsia"/>
          <w:color w:val="000000"/>
          <w:szCs w:val="21"/>
          <w:highlight w:val="none"/>
          <w:lang w:eastAsia="zh-CN"/>
        </w:rPr>
        <w:t>包含</w:t>
      </w:r>
      <w:r>
        <w:rPr>
          <w:rFonts w:ascii="宋体" w:eastAsia="宋体" w:hAnsi="宋体" w:hint="eastAsia"/>
          <w:color w:val="000000"/>
          <w:szCs w:val="21"/>
          <w:highlight w:val="none"/>
        </w:rPr>
        <w:t>在合同</w:t>
      </w:r>
      <w:r>
        <w:rPr>
          <w:rFonts w:ascii="宋体" w:eastAsia="宋体" w:hAnsi="宋体" w:hint="eastAsia"/>
          <w:color w:val="000000"/>
          <w:szCs w:val="21"/>
          <w:highlight w:val="none"/>
          <w:lang w:eastAsia="zh-CN"/>
        </w:rPr>
        <w:t>价款</w:t>
      </w:r>
      <w:r>
        <w:rPr>
          <w:rFonts w:ascii="宋体" w:eastAsia="宋体" w:hAnsi="宋体" w:hint="eastAsia"/>
          <w:color w:val="000000"/>
          <w:szCs w:val="21"/>
          <w:highlight w:val="none"/>
        </w:rPr>
        <w:t>中。</w:t>
      </w:r>
    </w:p>
    <w:p>
      <w:pPr>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.3 货物保险要求按</w:t>
      </w:r>
      <w:r>
        <w:rPr>
          <w:rFonts w:ascii="宋体" w:eastAsia="宋体" w:hAnsi="宋体" w:hint="eastAsia"/>
          <w:b/>
          <w:color w:val="000000"/>
          <w:szCs w:val="21"/>
          <w:highlight w:val="none"/>
        </w:rPr>
        <w:t>【政府采购合同专用条款】</w:t>
      </w:r>
      <w:r>
        <w:rPr>
          <w:rFonts w:ascii="宋体" w:eastAsia="宋体" w:hAnsi="宋体" w:hint="eastAsia"/>
          <w:bCs/>
          <w:color w:val="000000"/>
          <w:szCs w:val="21"/>
          <w:highlight w:val="none"/>
        </w:rPr>
        <w:t>规定执行</w:t>
      </w:r>
      <w:r>
        <w:rPr>
          <w:rFonts w:ascii="宋体" w:eastAsia="宋体" w:hAnsi="宋体" w:hint="eastAsia"/>
          <w:color w:val="000000"/>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 xml:space="preserve">.4 </w:t>
      </w:r>
      <w:r>
        <w:rPr>
          <w:rFonts w:ascii="宋体" w:eastAsia="宋体" w:hAnsi="宋体" w:hint="eastAsia"/>
          <w:color w:val="000000"/>
          <w:szCs w:val="21"/>
          <w:highlight w:val="none"/>
          <w:lang w:val="en-US" w:eastAsia="zh-CN"/>
        </w:rPr>
        <w:t>除采购活动</w:t>
      </w:r>
      <w:r>
        <w:rPr>
          <w:rFonts w:ascii="宋体" w:eastAsia="宋体" w:hAnsi="宋体" w:hint="eastAsia"/>
          <w:color w:val="000000"/>
          <w:szCs w:val="21"/>
          <w:highlight w:val="none"/>
        </w:rPr>
        <w:t>对商品包装</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快递包装</w:t>
      </w:r>
      <w:r>
        <w:rPr>
          <w:rFonts w:ascii="宋体" w:eastAsia="宋体" w:hAnsi="宋体" w:hint="eastAsia"/>
          <w:color w:val="000000"/>
          <w:szCs w:val="21"/>
          <w:highlight w:val="none"/>
          <w:lang w:val="en-US" w:eastAsia="zh-CN"/>
        </w:rPr>
        <w:t>达成具体约定外</w:t>
      </w:r>
      <w:r>
        <w:rPr>
          <w:rFonts w:ascii="宋体" w:eastAsia="宋体" w:hAnsi="宋体" w:hint="eastAsia"/>
          <w:color w:val="000000"/>
          <w:szCs w:val="21"/>
          <w:highlight w:val="none"/>
        </w:rPr>
        <w:t>，乙方提供产品及相关快递服务</w:t>
      </w:r>
      <w:r>
        <w:rPr>
          <w:rFonts w:ascii="宋体" w:eastAsia="宋体" w:hAnsi="宋体" w:hint="eastAsia"/>
          <w:color w:val="000000"/>
          <w:szCs w:val="21"/>
          <w:highlight w:val="none"/>
          <w:lang w:val="en-US" w:eastAsia="zh-CN"/>
        </w:rPr>
        <w:t>涉及到</w:t>
      </w:r>
      <w:r>
        <w:rPr>
          <w:rFonts w:ascii="宋体" w:eastAsia="宋体" w:hAnsi="宋体" w:hint="eastAsia"/>
          <w:color w:val="000000"/>
          <w:szCs w:val="21"/>
          <w:highlight w:val="none"/>
        </w:rPr>
        <w:t>具体包装要求</w:t>
      </w:r>
      <w:r>
        <w:rPr>
          <w:rFonts w:ascii="宋体" w:eastAsia="宋体" w:hAnsi="宋体" w:hint="eastAsia"/>
          <w:color w:val="000000"/>
          <w:szCs w:val="21"/>
          <w:highlight w:val="none"/>
          <w:lang w:val="en-US" w:eastAsia="zh-CN"/>
        </w:rPr>
        <w:t>的，</w:t>
      </w:r>
      <w:r>
        <w:rPr>
          <w:rFonts w:ascii="宋体" w:eastAsia="宋体" w:hAnsi="宋体" w:hint="eastAsia"/>
          <w:color w:val="000000"/>
          <w:szCs w:val="21"/>
          <w:highlight w:val="none"/>
        </w:rPr>
        <w:t>应</w:t>
      </w:r>
      <w:r>
        <w:rPr>
          <w:rFonts w:ascii="宋体" w:eastAsia="宋体" w:hAnsi="宋体" w:hint="eastAsia"/>
          <w:color w:val="000000"/>
          <w:szCs w:val="21"/>
          <w:highlight w:val="none"/>
          <w:lang w:val="en-US" w:eastAsia="zh-CN"/>
        </w:rPr>
        <w:t>不低于</w:t>
      </w:r>
      <w:r>
        <w:rPr>
          <w:rFonts w:ascii="宋体" w:eastAsia="宋体" w:hAnsi="宋体" w:hint="eastAsia"/>
          <w:color w:val="000000"/>
          <w:szCs w:val="21"/>
          <w:highlight w:val="none"/>
        </w:rPr>
        <w:t>《商品包装政府采购需求标准（试行）</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快递包装政府采购需求标准（试行）》</w:t>
      </w:r>
      <w:r>
        <w:rPr>
          <w:rFonts w:ascii="宋体" w:eastAsia="宋体" w:hAnsi="宋体" w:hint="eastAsia"/>
          <w:color w:val="000000"/>
          <w:szCs w:val="21"/>
          <w:highlight w:val="none"/>
          <w:lang w:val="en-US" w:eastAsia="zh-CN"/>
        </w:rPr>
        <w:t>标准</w:t>
      </w:r>
      <w:r>
        <w:rPr>
          <w:rFonts w:ascii="宋体" w:eastAsia="宋体" w:hAnsi="宋体" w:hint="eastAsia"/>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eastAsia"/>
          <w:color w:val="000000"/>
          <w:szCs w:val="21"/>
          <w:highlight w:val="none"/>
          <w:lang w:val="en-US" w:eastAsia="zh-CN"/>
        </w:rPr>
        <w:t xml:space="preserve">7.5 </w:t>
      </w:r>
      <w:r>
        <w:rPr>
          <w:rFonts w:ascii="宋体" w:eastAsia="宋体" w:hAnsi="宋体" w:cs="宋体" w:hint="eastAsia"/>
          <w:color w:val="000000"/>
          <w:szCs w:val="21"/>
        </w:rPr>
        <w:t>乙方在运输到达之前</w:t>
      </w:r>
      <w:r>
        <w:rPr>
          <w:rFonts w:ascii="宋体" w:eastAsia="宋体" w:hAnsi="宋体" w:cs="宋体" w:hint="eastAsia"/>
          <w:color w:val="000000"/>
          <w:szCs w:val="21"/>
          <w:lang w:eastAsia="zh-CN"/>
        </w:rPr>
        <w:t>应</w:t>
      </w:r>
      <w:r>
        <w:rPr>
          <w:rFonts w:ascii="宋体" w:eastAsia="宋体" w:hAnsi="宋体" w:cs="宋体" w:hint="eastAsia"/>
          <w:color w:val="000000"/>
          <w:szCs w:val="21"/>
        </w:rPr>
        <w:t>提前通知</w:t>
      </w:r>
      <w:r>
        <w:rPr>
          <w:rFonts w:ascii="宋体" w:eastAsia="宋体" w:hAnsi="宋体" w:cs="宋体" w:hint="eastAsia"/>
          <w:color w:val="000000"/>
          <w:szCs w:val="21"/>
          <w:lang w:eastAsia="zh-CN"/>
        </w:rPr>
        <w:t>甲方</w:t>
      </w:r>
      <w:r>
        <w:rPr>
          <w:rFonts w:ascii="宋体" w:eastAsia="宋体" w:hAnsi="宋体" w:cs="宋体" w:hint="eastAsia"/>
          <w:color w:val="000000"/>
          <w:szCs w:val="21"/>
        </w:rPr>
        <w:t>，并提示货物运输装卸的注意事项</w:t>
      </w:r>
      <w:r>
        <w:rPr>
          <w:rFonts w:ascii="宋体" w:eastAsia="宋体" w:hAnsi="宋体" w:cs="宋体" w:hint="eastAsia"/>
          <w:color w:val="000000"/>
          <w:szCs w:val="21"/>
          <w:lang w:eastAsia="zh-CN"/>
        </w:rPr>
        <w:t>，甲方配合乙方做好货物的接收工作。</w:t>
      </w:r>
    </w:p>
    <w:p>
      <w:pPr>
        <w:autoSpaceDE w:val="0"/>
        <w:autoSpaceDN w:val="0"/>
        <w:adjustRightInd w:val="0"/>
        <w:spacing w:line="400" w:lineRule="exact"/>
        <w:ind w:firstLine="420" w:firstLineChars="200"/>
        <w:outlineLvl w:val="9"/>
        <w:rPr>
          <w:rFonts w:ascii="华文楷体" w:eastAsia="华文楷体" w:hAnsi="华文楷体" w:cs="华文楷体" w:hint="default"/>
          <w:sz w:val="21"/>
          <w:szCs w:val="21"/>
          <w:lang w:val="en-US" w:eastAsia="zh-CN" w:bidi="ar-SA"/>
        </w:rPr>
      </w:pPr>
      <w:r>
        <w:rPr>
          <w:rFonts w:ascii="宋体" w:eastAsia="宋体" w:hAnsi="宋体" w:cs="Times New Roman" w:hint="eastAsia"/>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color w:val="000000"/>
          <w:sz w:val="24"/>
          <w:highlight w:val="none"/>
          <w:lang w:eastAsia="zh-CN"/>
        </w:rPr>
        <w:t>8</w:t>
      </w:r>
      <w:r>
        <w:rPr>
          <w:rFonts w:ascii="宋体" w:eastAsia="宋体" w:hAnsi="宋体" w:hint="eastAsia"/>
          <w:b/>
          <w:color w:val="000000"/>
          <w:sz w:val="24"/>
          <w:highlight w:val="none"/>
          <w:lang w:val="en-US" w:eastAsia="zh-CN"/>
        </w:rPr>
        <w:t xml:space="preserve">. </w:t>
      </w:r>
      <w:r>
        <w:rPr>
          <w:rFonts w:ascii="宋体" w:eastAsia="宋体" w:hAnsi="宋体" w:hint="eastAsia"/>
          <w:b/>
          <w:color w:val="auto"/>
          <w:sz w:val="24"/>
          <w:highlight w:val="none"/>
        </w:rPr>
        <w:t>质量标准和保证</w:t>
      </w:r>
    </w:p>
    <w:p>
      <w:pPr>
        <w:widowControl w:val="0"/>
        <w:adjustRightInd w:val="0"/>
        <w:snapToGrid w:val="0"/>
        <w:spacing w:before="0" w:line="400" w:lineRule="exact"/>
        <w:ind w:firstLine="420" w:firstLineChars="200"/>
        <w:jc w:val="left"/>
        <w:outlineLvl w:val="9"/>
        <w:rPr>
          <w:rFonts w:ascii="宋体" w:eastAsia="宋体" w:hAnsi="宋体" w:cs="Courier New"/>
          <w:b/>
          <w:color w:val="auto"/>
          <w:kern w:val="2"/>
          <w:sz w:val="21"/>
          <w:szCs w:val="21"/>
          <w:highlight w:val="none"/>
          <w:lang w:val="en-US" w:eastAsia="zh-CN" w:bidi="ar-SA"/>
        </w:rPr>
      </w:pPr>
      <w:r>
        <w:rPr>
          <w:rFonts w:ascii="宋体" w:eastAsia="宋体" w:hAnsi="宋体" w:cs="Courier New" w:hint="eastAsia"/>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（1）本合同下</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的货物应符合</w:t>
      </w:r>
      <w:r>
        <w:rPr>
          <w:rFonts w:ascii="宋体" w:eastAsia="宋体" w:hAnsi="宋体" w:hint="eastAsia"/>
          <w:color w:val="auto"/>
          <w:szCs w:val="21"/>
          <w:highlight w:val="none"/>
          <w:lang w:eastAsia="zh-CN"/>
        </w:rPr>
        <w:t>合同</w:t>
      </w:r>
      <w:r>
        <w:rPr>
          <w:rFonts w:ascii="宋体" w:eastAsia="宋体" w:hAnsi="宋体" w:cs="宋体" w:hint="eastAsia"/>
          <w:color w:val="000000"/>
          <w:szCs w:val="21"/>
          <w:lang w:eastAsia="zh-CN"/>
        </w:rPr>
        <w:t>约</w:t>
      </w:r>
      <w:r>
        <w:rPr>
          <w:rFonts w:ascii="宋体" w:eastAsia="宋体" w:hAnsi="宋体" w:cs="宋体" w:hint="eastAsia"/>
          <w:color w:val="000000"/>
          <w:szCs w:val="21"/>
        </w:rPr>
        <w:t>定的</w:t>
      </w:r>
      <w:r>
        <w:rPr>
          <w:rFonts w:ascii="宋体" w:eastAsia="宋体" w:hAnsi="宋体" w:cs="宋体" w:hint="eastAsia"/>
          <w:szCs w:val="21"/>
        </w:rPr>
        <w:t>品牌、规格型号、技术性能、配置、质量、数量等要求。</w:t>
      </w:r>
      <w:r>
        <w:rPr>
          <w:rFonts w:ascii="宋体" w:eastAsia="宋体" w:hAnsi="宋体" w:hint="eastAsia"/>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hint="eastAsia"/>
          <w:color w:val="auto"/>
          <w:szCs w:val="21"/>
          <w:highlight w:val="none"/>
          <w:lang w:eastAsia="zh-CN"/>
        </w:rPr>
        <w:t>。</w:t>
      </w:r>
    </w:p>
    <w:p>
      <w:pPr>
        <w:widowControl w:val="0"/>
        <w:adjustRightInd w:val="0"/>
        <w:snapToGrid w:val="0"/>
        <w:spacing w:before="0" w:line="400" w:lineRule="exact"/>
        <w:ind w:firstLine="420" w:firstLineChars="200"/>
        <w:jc w:val="left"/>
        <w:outlineLvl w:val="9"/>
        <w:rPr>
          <w:rFonts w:ascii="宋体" w:eastAsia="宋体" w:hAnsi="宋体" w:cs="Courier New"/>
          <w:color w:val="auto"/>
          <w:kern w:val="2"/>
          <w:sz w:val="21"/>
          <w:szCs w:val="21"/>
          <w:highlight w:val="none"/>
          <w:lang w:val="en-US" w:eastAsia="zh-CN" w:bidi="ar-SA"/>
        </w:rPr>
      </w:pPr>
      <w:r>
        <w:rPr>
          <w:rFonts w:ascii="宋体" w:eastAsia="宋体" w:hAnsi="宋体" w:cs="Courier New" w:hint="eastAsia"/>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（3）乙方所</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的货物应符合国家有关安全、环保、卫生</w:t>
      </w:r>
      <w:r>
        <w:rPr>
          <w:rFonts w:ascii="宋体" w:eastAsia="宋体" w:hAnsi="宋体" w:hint="eastAsia"/>
          <w:color w:val="auto"/>
          <w:szCs w:val="21"/>
          <w:highlight w:val="none"/>
          <w:lang w:eastAsia="zh-CN"/>
        </w:rPr>
        <w:t>的</w:t>
      </w:r>
      <w:r>
        <w:rPr>
          <w:rFonts w:ascii="宋体" w:eastAsia="宋体" w:hAnsi="宋体" w:hint="eastAsia"/>
          <w:color w:val="auto"/>
          <w:szCs w:val="21"/>
          <w:highlight w:val="none"/>
        </w:rPr>
        <w:t>规定。</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（4）乙方应向甲方提交所</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货物的技术文件，包括相应的中文技术文件，如：产品目录、图纸、操作手册、使用说明、维护手册或服务指南</w:t>
      </w:r>
      <w:r>
        <w:rPr>
          <w:rFonts w:ascii="宋体" w:eastAsia="宋体" w:hAnsi="宋体" w:hint="eastAsia"/>
          <w:color w:val="auto"/>
          <w:szCs w:val="21"/>
          <w:highlight w:val="none"/>
          <w:lang w:eastAsia="zh-CN"/>
        </w:rPr>
        <w:t>等</w:t>
      </w:r>
      <w:r>
        <w:rPr>
          <w:rFonts w:ascii="宋体" w:eastAsia="宋体" w:hAnsi="宋体" w:hint="eastAsia"/>
          <w:color w:val="auto"/>
          <w:szCs w:val="21"/>
          <w:highlight w:val="none"/>
        </w:rPr>
        <w:t>。</w:t>
      </w:r>
      <w:r>
        <w:rPr>
          <w:rFonts w:ascii="宋体" w:eastAsia="宋体" w:hAnsi="宋体" w:hint="eastAsia"/>
          <w:color w:val="auto"/>
          <w:szCs w:val="21"/>
          <w:highlight w:val="none"/>
          <w:lang w:eastAsia="zh-CN"/>
        </w:rPr>
        <w:t>上述</w:t>
      </w:r>
      <w:r>
        <w:rPr>
          <w:rFonts w:ascii="宋体" w:eastAsia="宋体" w:hAnsi="宋体" w:hint="eastAsia"/>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8</w:t>
      </w:r>
      <w:r>
        <w:rPr>
          <w:rFonts w:ascii="宋体" w:eastAsia="宋体" w:hAnsi="宋体" w:hint="eastAsia"/>
          <w:color w:val="auto"/>
          <w:szCs w:val="21"/>
          <w:highlight w:val="none"/>
        </w:rPr>
        <w:t>.2 保证</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（1）乙方应保证</w:t>
      </w:r>
      <w:r>
        <w:rPr>
          <w:rFonts w:ascii="宋体" w:eastAsia="宋体" w:hAnsi="宋体" w:hint="eastAsia"/>
          <w:color w:val="auto"/>
          <w:szCs w:val="21"/>
          <w:highlight w:val="none"/>
          <w:lang w:eastAsia="zh-CN"/>
        </w:rPr>
        <w:t>提供的货物</w:t>
      </w:r>
      <w:r>
        <w:rPr>
          <w:rFonts w:ascii="宋体" w:eastAsia="宋体" w:hAnsi="宋体" w:hint="eastAsia"/>
          <w:color w:val="auto"/>
          <w:szCs w:val="21"/>
          <w:highlight w:val="none"/>
        </w:rPr>
        <w:t>完全符合合同规定的质量、规格和性能要求。乙方应保证货物在正确安装、正常使用和保养条件下，</w:t>
      </w:r>
      <w:r>
        <w:rPr>
          <w:rFonts w:ascii="宋体" w:eastAsia="宋体" w:hAnsi="宋体" w:cs="宋体" w:hint="eastAsia"/>
          <w:szCs w:val="21"/>
        </w:rPr>
        <w:t>在其使用寿命期内具</w:t>
      </w:r>
      <w:r>
        <w:rPr>
          <w:rFonts w:ascii="宋体" w:eastAsia="宋体" w:hAnsi="宋体" w:cs="宋体" w:hint="eastAsia"/>
          <w:szCs w:val="21"/>
          <w:lang w:eastAsia="zh-CN"/>
        </w:rPr>
        <w:t>备合同约定</w:t>
      </w:r>
      <w:r>
        <w:rPr>
          <w:rFonts w:ascii="宋体" w:eastAsia="宋体" w:hAnsi="宋体" w:cs="宋体" w:hint="eastAsia"/>
          <w:szCs w:val="21"/>
        </w:rPr>
        <w:t>的性能</w:t>
      </w:r>
      <w:r>
        <w:rPr>
          <w:rFonts w:ascii="宋体" w:eastAsia="宋体" w:hAnsi="宋体" w:hint="eastAsia"/>
          <w:color w:val="auto"/>
          <w:szCs w:val="21"/>
          <w:highlight w:val="none"/>
        </w:rPr>
        <w:t>。</w:t>
      </w:r>
      <w:r>
        <w:rPr>
          <w:rFonts w:ascii="宋体" w:eastAsia="宋体" w:hAnsi="宋体" w:hint="eastAsia"/>
          <w:color w:val="auto"/>
          <w:szCs w:val="21"/>
          <w:highlight w:val="none"/>
          <w:lang w:eastAsia="zh-CN"/>
        </w:rPr>
        <w:t>存在</w:t>
      </w:r>
      <w:r>
        <w:rPr>
          <w:rFonts w:ascii="宋体" w:eastAsia="宋体" w:hAnsi="宋体" w:hint="eastAsia"/>
          <w:color w:val="auto"/>
          <w:szCs w:val="21"/>
          <w:highlight w:val="none"/>
        </w:rPr>
        <w:t>质量保证期的，货物最终交付验收</w:t>
      </w:r>
      <w:r>
        <w:rPr>
          <w:rFonts w:ascii="宋体" w:eastAsia="宋体" w:hAnsi="宋体" w:hint="eastAsia"/>
          <w:color w:val="auto"/>
          <w:szCs w:val="21"/>
          <w:highlight w:val="none"/>
          <w:lang w:eastAsia="zh-CN"/>
        </w:rPr>
        <w:t>合格</w:t>
      </w:r>
      <w:r>
        <w:rPr>
          <w:rFonts w:ascii="宋体" w:eastAsia="宋体" w:hAnsi="宋体" w:hint="eastAsia"/>
          <w:color w:val="auto"/>
          <w:szCs w:val="21"/>
          <w:highlight w:val="none"/>
        </w:rPr>
        <w:t>后</w:t>
      </w:r>
      <w:r>
        <w:rPr>
          <w:rFonts w:ascii="宋体" w:eastAsia="宋体" w:hAnsi="宋体" w:hint="eastAsia"/>
          <w:color w:val="auto"/>
          <w:szCs w:val="21"/>
          <w:highlight w:val="none"/>
          <w:lang w:eastAsia="zh-CN"/>
        </w:rPr>
        <w:t>在</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规定或乙方</w:t>
      </w:r>
      <w:r>
        <w:rPr>
          <w:rFonts w:ascii="宋体" w:eastAsia="宋体" w:hAnsi="宋体" w:hint="eastAsia"/>
          <w:color w:val="auto"/>
          <w:szCs w:val="21"/>
          <w:highlight w:val="none"/>
          <w:lang w:eastAsia="zh-CN"/>
        </w:rPr>
        <w:t>书面</w:t>
      </w:r>
      <w:r>
        <w:rPr>
          <w:rFonts w:ascii="宋体" w:eastAsia="宋体" w:hAnsi="宋体" w:hint="eastAsia"/>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（3）乙方收到通知后</w:t>
      </w:r>
      <w:r>
        <w:rPr>
          <w:rFonts w:ascii="宋体" w:eastAsia="宋体" w:hAnsi="宋体" w:hint="eastAsia"/>
          <w:color w:val="auto"/>
          <w:szCs w:val="21"/>
          <w:highlight w:val="none"/>
          <w:lang w:eastAsia="zh-CN"/>
        </w:rPr>
        <w:t>，</w:t>
      </w:r>
      <w:r>
        <w:rPr>
          <w:rFonts w:ascii="宋体" w:eastAsia="宋体" w:hAnsi="宋体" w:hint="eastAsia"/>
          <w:color w:val="auto"/>
          <w:szCs w:val="21"/>
          <w:highlight w:val="none"/>
        </w:rPr>
        <w:t>应在</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szCs w:val="21"/>
          <w:highlight w:val="none"/>
          <w:lang w:val="en-US" w:eastAsia="zh-CN"/>
        </w:rPr>
        <w:t>5</w:t>
      </w:r>
      <w:r>
        <w:rPr>
          <w:rFonts w:ascii="宋体" w:eastAsia="宋体" w:hAnsi="宋体" w:hint="eastAsia"/>
          <w:color w:val="auto"/>
          <w:szCs w:val="21"/>
          <w:highlight w:val="none"/>
        </w:rPr>
        <w:t>.1条规定以书面形式</w:t>
      </w:r>
      <w:r>
        <w:rPr>
          <w:rFonts w:ascii="宋体" w:eastAsia="宋体" w:hAnsi="宋体" w:hint="eastAsia"/>
          <w:color w:val="000000"/>
          <w:szCs w:val="21"/>
          <w:highlight w:val="none"/>
          <w:lang w:eastAsia="zh-CN"/>
        </w:rPr>
        <w:t>追究</w:t>
      </w:r>
      <w:r>
        <w:rPr>
          <w:rFonts w:ascii="宋体" w:eastAsia="宋体" w:hAnsi="宋体" w:hint="eastAsia"/>
          <w:color w:val="auto"/>
          <w:szCs w:val="21"/>
          <w:highlight w:val="none"/>
        </w:rPr>
        <w:t>乙方</w:t>
      </w:r>
      <w:r>
        <w:rPr>
          <w:rFonts w:ascii="宋体" w:eastAsia="宋体" w:hAnsi="宋体" w:hint="eastAsia"/>
          <w:color w:val="000000"/>
          <w:szCs w:val="21"/>
          <w:highlight w:val="none"/>
          <w:lang w:eastAsia="zh-CN"/>
        </w:rPr>
        <w:t>的违约责任</w:t>
      </w:r>
      <w:r>
        <w:rPr>
          <w:rFonts w:ascii="宋体" w:eastAsia="宋体" w:hAnsi="宋体" w:hint="eastAsia"/>
          <w:color w:val="auto"/>
          <w:szCs w:val="21"/>
          <w:highlight w:val="none"/>
        </w:rPr>
        <w:t>。</w:t>
      </w:r>
    </w:p>
    <w:p>
      <w:pPr>
        <w:adjustRightInd w:val="0"/>
        <w:snapToGrid w:val="0"/>
        <w:spacing w:before="0" w:line="400" w:lineRule="exact"/>
        <w:ind w:firstLine="420" w:firstLineChars="200"/>
        <w:jc w:val="left"/>
        <w:outlineLvl w:val="9"/>
        <w:rPr>
          <w:rFonts w:eastAsia="宋体"/>
          <w:color w:val="auto"/>
          <w:highlight w:val="none"/>
        </w:rPr>
      </w:pPr>
      <w:r>
        <w:rPr>
          <w:rFonts w:ascii="宋体" w:eastAsia="宋体" w:hAnsi="宋体" w:hint="eastAsia"/>
          <w:color w:val="auto"/>
          <w:szCs w:val="21"/>
          <w:highlight w:val="none"/>
        </w:rPr>
        <w:t>（5）乙方在约定的时间内未能弥补缺陷，甲方可采取必要的补救措施，但其风险和费用将由乙方承担，甲方根据合同</w:t>
      </w:r>
      <w:r>
        <w:rPr>
          <w:rFonts w:ascii="宋体" w:eastAsia="宋体" w:hAnsi="宋体" w:hint="eastAsia"/>
          <w:color w:val="auto"/>
          <w:szCs w:val="21"/>
          <w:highlight w:val="none"/>
          <w:lang w:eastAsia="zh-CN"/>
        </w:rPr>
        <w:t>约定</w:t>
      </w:r>
      <w:r>
        <w:rPr>
          <w:rFonts w:ascii="宋体" w:eastAsia="宋体" w:hAnsi="宋体" w:hint="eastAsia"/>
          <w:color w:val="auto"/>
          <w:szCs w:val="21"/>
          <w:highlight w:val="none"/>
        </w:rPr>
        <w:t>对乙方行使的其他权利不受影响。</w:t>
      </w:r>
    </w:p>
    <w:p>
      <w:pPr>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000000"/>
          <w:sz w:val="24"/>
          <w:highlight w:val="none"/>
          <w:lang w:eastAsia="zh-CN"/>
        </w:rPr>
        <w:t>9</w:t>
      </w:r>
      <w:r>
        <w:rPr>
          <w:rFonts w:ascii="宋体" w:eastAsia="宋体" w:hAnsi="宋体" w:hint="eastAsia"/>
          <w:b/>
          <w:bCs/>
          <w:color w:val="auto"/>
          <w:sz w:val="24"/>
          <w:highlight w:val="none"/>
        </w:rPr>
        <w:t>.</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auto"/>
          <w:sz w:val="24"/>
          <w:highlight w:val="none"/>
        </w:rPr>
        <w:t>权利瑕疵担保</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9</w:t>
      </w:r>
      <w:r>
        <w:rPr>
          <w:rFonts w:ascii="宋体" w:eastAsia="宋体" w:hAnsi="宋体" w:hint="eastAsia"/>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9</w:t>
      </w:r>
      <w:r>
        <w:rPr>
          <w:rFonts w:ascii="宋体" w:eastAsia="宋体" w:hAnsi="宋体" w:hint="eastAsia"/>
          <w:color w:val="000000"/>
          <w:szCs w:val="21"/>
          <w:highlight w:val="none"/>
        </w:rPr>
        <w:t xml:space="preserve">.2 </w:t>
      </w:r>
      <w:r>
        <w:rPr>
          <w:rFonts w:ascii="宋体" w:eastAsia="宋体" w:hAnsi="宋体" w:cs="宋体" w:hint="eastAsia"/>
          <w:szCs w:val="15"/>
        </w:rPr>
        <w:t>乙方保证在交付的货物上不存在抵押权等担保物权。</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9</w:t>
      </w:r>
      <w:r>
        <w:rPr>
          <w:rFonts w:ascii="宋体" w:eastAsia="宋体" w:hAnsi="宋体" w:hint="eastAsia"/>
          <w:color w:val="000000"/>
          <w:szCs w:val="21"/>
          <w:highlight w:val="none"/>
        </w:rPr>
        <w:t>.3 如甲方使用</w:t>
      </w:r>
      <w:r>
        <w:rPr>
          <w:rFonts w:ascii="宋体" w:eastAsia="宋体" w:hAnsi="宋体" w:hint="eastAsia"/>
          <w:color w:val="000000"/>
          <w:szCs w:val="21"/>
          <w:highlight w:val="none"/>
          <w:lang w:val="en-US" w:eastAsia="zh-CN"/>
        </w:rPr>
        <w:t>上述</w:t>
      </w:r>
      <w:r>
        <w:rPr>
          <w:rFonts w:ascii="宋体" w:eastAsia="宋体" w:hAnsi="宋体" w:hint="eastAsia"/>
          <w:color w:val="000000"/>
          <w:szCs w:val="21"/>
          <w:highlight w:val="none"/>
        </w:rPr>
        <w:t>货物构成</w:t>
      </w:r>
      <w:r>
        <w:rPr>
          <w:rFonts w:ascii="宋体" w:eastAsia="宋体" w:hAnsi="宋体" w:hint="eastAsia"/>
          <w:color w:val="000000"/>
          <w:szCs w:val="21"/>
          <w:highlight w:val="none"/>
          <w:lang w:val="en-US" w:eastAsia="zh-CN"/>
        </w:rPr>
        <w:t>对第三人</w:t>
      </w:r>
      <w:r>
        <w:rPr>
          <w:rFonts w:ascii="宋体" w:eastAsia="宋体" w:hAnsi="宋体" w:hint="eastAsia"/>
          <w:color w:val="000000"/>
          <w:szCs w:val="21"/>
          <w:highlight w:val="none"/>
        </w:rPr>
        <w:t>侵权的，则由乙方承担全部责任。</w:t>
      </w:r>
    </w:p>
    <w:p>
      <w:p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rPr>
        <w:t>1</w:t>
      </w:r>
      <w:r>
        <w:rPr>
          <w:rFonts w:ascii="宋体" w:eastAsia="宋体" w:hAnsi="宋体" w:hint="eastAsia"/>
          <w:b/>
          <w:bCs/>
          <w:color w:val="000000"/>
          <w:sz w:val="24"/>
          <w:highlight w:val="none"/>
          <w:lang w:eastAsia="zh-CN"/>
        </w:rPr>
        <w:t>0</w:t>
      </w:r>
      <w:r>
        <w:rPr>
          <w:rFonts w:ascii="宋体" w:eastAsia="宋体" w:hAnsi="宋体" w:hint="eastAsia"/>
          <w:b/>
          <w:bCs/>
          <w:color w:val="000000"/>
          <w:sz w:val="24"/>
          <w:highlight w:val="none"/>
        </w:rPr>
        <w:t>.</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知识产权保护</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000000"/>
          <w:szCs w:val="21"/>
          <w:highlight w:val="none"/>
        </w:rPr>
        <w:t>1</w:t>
      </w:r>
      <w:r>
        <w:rPr>
          <w:rFonts w:ascii="宋体" w:eastAsia="宋体" w:hAnsi="宋体" w:hint="eastAsia"/>
          <w:color w:val="000000"/>
          <w:szCs w:val="21"/>
          <w:highlight w:val="none"/>
          <w:lang w:eastAsia="zh-CN"/>
        </w:rPr>
        <w:t>0</w:t>
      </w:r>
      <w:r>
        <w:rPr>
          <w:rFonts w:ascii="宋体" w:eastAsia="宋体" w:hAnsi="宋体" w:hint="eastAsia"/>
          <w:color w:val="000000"/>
          <w:szCs w:val="21"/>
          <w:highlight w:val="none"/>
        </w:rPr>
        <w:t>.1 乙方对其所销售的货物应当享有知识产权或经权利人合法授权，保证没有侵犯任</w:t>
      </w:r>
      <w:r>
        <w:rPr>
          <w:rFonts w:ascii="宋体" w:eastAsia="宋体" w:hAnsi="宋体" w:hint="eastAsia"/>
          <w:color w:val="auto"/>
          <w:szCs w:val="21"/>
          <w:highlight w:val="none"/>
        </w:rPr>
        <w:t>何第三人的知识产权等权利。</w:t>
      </w:r>
      <w:bookmarkStart w:id="88" w:name="_Hlk163047038"/>
      <w:r>
        <w:rPr>
          <w:rFonts w:ascii="宋体" w:eastAsia="宋体" w:hAnsi="宋体" w:cs="宋体" w:hint="eastAsia"/>
          <w:szCs w:val="15"/>
        </w:rPr>
        <w:t>因违反前述约定对第三人构成侵权的，应当由乙方向第三人承担法律责任；甲方依法向第三人赔偿后，有权向乙方追偿。甲方有其他损失的，乙方应当赔偿</w:t>
      </w:r>
      <w:bookmarkEnd w:id="88"/>
      <w:r>
        <w:rPr>
          <w:rFonts w:ascii="宋体" w:eastAsia="宋体" w:hAnsi="宋体" w:hint="eastAsia"/>
          <w:color w:val="auto"/>
          <w:szCs w:val="21"/>
          <w:highlight w:val="none"/>
        </w:rPr>
        <w:t>。</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1</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保密义务</w:t>
      </w:r>
    </w:p>
    <w:p>
      <w:pPr>
        <w:autoSpaceDE w:val="0"/>
        <w:autoSpaceDN w:val="0"/>
        <w:adjustRightInd w:val="0"/>
        <w:snapToGrid w:val="0"/>
        <w:spacing w:before="0" w:line="400" w:lineRule="exact"/>
        <w:ind w:firstLine="420" w:firstLineChars="200"/>
        <w:jc w:val="left"/>
        <w:outlineLvl w:val="9"/>
        <w:rPr>
          <w:rFonts w:ascii="宋体" w:eastAsia="宋体" w:hAnsi="宋体" w:cs="宋体" w:hint="eastAsia"/>
          <w:szCs w:val="15"/>
        </w:rPr>
      </w:pPr>
      <w:r>
        <w:rPr>
          <w:rFonts w:ascii="宋体" w:eastAsia="宋体" w:hAnsi="宋体" w:cs="宋体" w:hint="eastAsia"/>
          <w:szCs w:val="15"/>
          <w:lang w:val="en-US" w:eastAsia="zh-CN"/>
        </w:rPr>
        <w:t xml:space="preserve">11.1 </w:t>
      </w:r>
      <w:r>
        <w:rPr>
          <w:rFonts w:ascii="宋体" w:eastAsia="宋体" w:hAnsi="宋体" w:cs="宋体" w:hint="eastAsia"/>
          <w:szCs w:val="15"/>
        </w:rPr>
        <w:t>甲、乙双方</w:t>
      </w:r>
      <w:r>
        <w:rPr>
          <w:rFonts w:ascii="宋体" w:eastAsia="宋体" w:hAnsi="宋体" w:cs="宋体" w:hint="eastAsia"/>
          <w:szCs w:val="15"/>
          <w:lang w:eastAsia="zh-CN"/>
        </w:rPr>
        <w:t>对</w:t>
      </w:r>
      <w:r>
        <w:rPr>
          <w:rFonts w:ascii="宋体" w:eastAsia="宋体" w:hAnsi="宋体" w:cs="宋体" w:hint="eastAsia"/>
          <w:szCs w:val="15"/>
        </w:rPr>
        <w:t>采购和合同履行过程中所获悉的</w:t>
      </w:r>
      <w:r>
        <w:rPr>
          <w:rFonts w:ascii="宋体" w:eastAsia="宋体" w:hAnsi="宋体" w:cs="宋体" w:hint="eastAsia"/>
          <w:szCs w:val="15"/>
          <w:lang w:eastAsia="zh-CN"/>
        </w:rPr>
        <w:t>国家秘密、工作秘密、</w:t>
      </w:r>
      <w:r>
        <w:rPr>
          <w:rFonts w:ascii="宋体" w:eastAsia="宋体" w:hAnsi="宋体" w:cs="宋体" w:hint="eastAsia"/>
          <w:szCs w:val="15"/>
        </w:rPr>
        <w:t>商业秘密或者其他应当保密的信息，均有保密义务</w:t>
      </w:r>
      <w:r>
        <w:rPr>
          <w:rFonts w:ascii="宋体" w:eastAsia="宋体" w:hAnsi="宋体" w:cs="宋体" w:hint="eastAsia"/>
          <w:szCs w:val="15"/>
          <w:lang w:eastAsia="zh-CN"/>
        </w:rPr>
        <w:t>且不受合同有效期所限，直至该信息成为公开信息</w:t>
      </w:r>
      <w:r>
        <w:rPr>
          <w:rFonts w:ascii="宋体" w:eastAsia="宋体" w:hAnsi="宋体" w:cs="宋体" w:hint="eastAsia"/>
          <w:szCs w:val="15"/>
        </w:rPr>
        <w:t>。泄露、不正当地使用</w:t>
      </w:r>
      <w:r>
        <w:rPr>
          <w:rFonts w:ascii="宋体" w:eastAsia="宋体" w:hAnsi="宋体" w:cs="宋体" w:hint="eastAsia"/>
          <w:szCs w:val="15"/>
          <w:lang w:eastAsia="zh-CN"/>
        </w:rPr>
        <w:t>国家秘密、工作秘密、</w:t>
      </w:r>
      <w:r>
        <w:rPr>
          <w:rFonts w:ascii="宋体" w:eastAsia="宋体" w:hAnsi="宋体" w:cs="宋体" w:hint="eastAsia"/>
          <w:szCs w:val="15"/>
        </w:rPr>
        <w:t>商业秘密或者</w:t>
      </w:r>
      <w:r>
        <w:rPr>
          <w:rFonts w:ascii="宋体" w:eastAsia="宋体" w:hAnsi="宋体" w:cs="宋体" w:hint="eastAsia"/>
          <w:szCs w:val="15"/>
          <w:lang w:eastAsia="zh-CN"/>
        </w:rPr>
        <w:t>其他应当保密的</w:t>
      </w:r>
      <w:r>
        <w:rPr>
          <w:rFonts w:ascii="宋体" w:eastAsia="宋体" w:hAnsi="宋体" w:cs="宋体" w:hint="eastAsia"/>
          <w:szCs w:val="15"/>
        </w:rPr>
        <w:t>信息，应当承担</w:t>
      </w:r>
      <w:r>
        <w:rPr>
          <w:rFonts w:ascii="宋体" w:eastAsia="宋体" w:hAnsi="宋体" w:cs="宋体" w:hint="eastAsia"/>
          <w:szCs w:val="15"/>
          <w:lang w:eastAsia="zh-CN"/>
        </w:rPr>
        <w:t>相应</w:t>
      </w:r>
      <w:r>
        <w:rPr>
          <w:rFonts w:ascii="宋体" w:eastAsia="宋体" w:hAnsi="宋体" w:cs="宋体" w:hint="eastAsia"/>
          <w:szCs w:val="15"/>
        </w:rPr>
        <w:t>责任。其他应当保密的信息由双方在</w:t>
      </w:r>
      <w:r>
        <w:rPr>
          <w:rFonts w:ascii="宋体" w:eastAsia="宋体" w:hAnsi="宋体" w:cs="宋体" w:hint="eastAsia"/>
          <w:b/>
          <w:bCs/>
          <w:szCs w:val="15"/>
        </w:rPr>
        <w:t>【政府采购合同专用条款】</w:t>
      </w:r>
      <w:r>
        <w:rPr>
          <w:rFonts w:ascii="宋体" w:eastAsia="宋体" w:hAnsi="宋体" w:cs="宋体" w:hint="eastAsia"/>
          <w:szCs w:val="15"/>
        </w:rPr>
        <w:t>中约定。</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2</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合同价款支付</w:t>
      </w:r>
    </w:p>
    <w:p>
      <w:pPr>
        <w:autoSpaceDE/>
        <w:autoSpaceDN/>
        <w:adjustRightInd w:val="0"/>
        <w:snapToGrid w:val="0"/>
        <w:spacing w:before="0" w:line="400" w:lineRule="exact"/>
        <w:ind w:firstLine="420" w:firstLineChars="200"/>
        <w:jc w:val="left"/>
        <w:outlineLvl w:val="9"/>
        <w:rPr>
          <w:rFonts w:ascii="宋体" w:eastAsia="宋体" w:hAnsi="宋体" w:hint="eastAsia"/>
          <w:color w:val="auto"/>
          <w:szCs w:val="21"/>
          <w:highlight w:val="none"/>
          <w:lang w:eastAsia="zh-CN"/>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2</w:t>
      </w:r>
      <w:r>
        <w:rPr>
          <w:rFonts w:ascii="宋体" w:eastAsia="宋体" w:hAnsi="宋体" w:hint="eastAsia"/>
          <w:color w:val="auto"/>
          <w:szCs w:val="21"/>
          <w:highlight w:val="none"/>
        </w:rPr>
        <w:t xml:space="preserve">.1 </w:t>
      </w:r>
      <w:r>
        <w:rPr>
          <w:rFonts w:ascii="宋体" w:eastAsia="宋体" w:hAnsi="宋体" w:hint="eastAsia"/>
          <w:color w:val="auto"/>
          <w:szCs w:val="21"/>
          <w:highlight w:val="none"/>
          <w:lang w:eastAsia="zh-CN"/>
        </w:rPr>
        <w:t>合同价款支付</w:t>
      </w:r>
      <w:r>
        <w:rPr>
          <w:rFonts w:ascii="宋体" w:eastAsia="宋体" w:hAnsi="宋体" w:hint="eastAsia"/>
          <w:color w:val="auto"/>
          <w:szCs w:val="21"/>
          <w:highlight w:val="none"/>
        </w:rPr>
        <w:t>按照国库集中支付</w:t>
      </w:r>
      <w:r>
        <w:rPr>
          <w:rFonts w:ascii="宋体" w:eastAsia="宋体" w:hAnsi="宋体" w:hint="eastAsia"/>
          <w:color w:val="auto"/>
          <w:szCs w:val="21"/>
          <w:highlight w:val="none"/>
          <w:lang w:eastAsia="zh-CN"/>
        </w:rPr>
        <w:t>制度及财政管理相关</w:t>
      </w:r>
      <w:r>
        <w:rPr>
          <w:rFonts w:ascii="宋体" w:eastAsia="宋体" w:hAnsi="宋体" w:hint="eastAsia"/>
          <w:color w:val="auto"/>
          <w:szCs w:val="21"/>
          <w:highlight w:val="none"/>
        </w:rPr>
        <w:t>规定执行。</w:t>
      </w:r>
    </w:p>
    <w:p>
      <w:pPr>
        <w:keepNext/>
        <w:keepLines/>
        <w:widowControl w:val="0"/>
        <w:spacing w:line="400" w:lineRule="exact"/>
        <w:ind w:firstLine="420" w:firstLineChars="200"/>
        <w:jc w:val="both"/>
        <w:outlineLvl w:val="9"/>
        <w:rPr>
          <w:rFonts w:ascii="Arial" w:eastAsia="宋体" w:hAnsi="Arial" w:cs="Times New Roman" w:hint="eastAsia"/>
          <w:b/>
          <w:bCs/>
          <w:color w:val="auto"/>
          <w:kern w:val="2"/>
          <w:sz w:val="24"/>
          <w:szCs w:val="32"/>
          <w:highlight w:val="none"/>
          <w:lang w:val="en-US" w:eastAsia="zh-CN" w:bidi="ar-SA"/>
        </w:rPr>
      </w:pPr>
      <w:r>
        <w:rPr>
          <w:rFonts w:ascii="宋体" w:eastAsia="宋体" w:hAnsi="宋体" w:cs="Times New Roman" w:hint="eastAsia"/>
          <w:b w:val="0"/>
          <w:bCs w:val="0"/>
          <w:color w:val="auto"/>
          <w:kern w:val="2"/>
          <w:sz w:val="21"/>
          <w:szCs w:val="21"/>
          <w:highlight w:val="none"/>
          <w:lang w:val="en-US" w:eastAsia="zh-CN" w:bidi="ar-SA"/>
        </w:rPr>
        <w:t>12.2 对于满足合同约定支付条件的，甲方</w:t>
      </w:r>
      <w:r>
        <w:rPr>
          <w:rFonts w:ascii="宋体" w:eastAsia="宋体" w:hAnsi="宋体" w:cs="Times New Roman" w:hint="eastAsia"/>
          <w:b w:val="0"/>
          <w:bCs w:val="0"/>
          <w:i w:val="0"/>
          <w:iCs w:val="0"/>
          <w:caps w:val="0"/>
          <w:color w:val="auto"/>
          <w:spacing w:val="0"/>
          <w:kern w:val="2"/>
          <w:sz w:val="21"/>
          <w:szCs w:val="21"/>
          <w:highlight w:val="none"/>
          <w:shd w:val="clear" w:color="auto" w:fill="auto"/>
          <w:vertAlign w:val="baseline"/>
          <w:lang w:val="en-US" w:eastAsia="zh-CN" w:bidi="ar-SA"/>
        </w:rPr>
        <w:t>原则上应当自收到发票后10个工作日内</w:t>
      </w:r>
      <w:r>
        <w:rPr>
          <w:rFonts w:ascii="宋体" w:eastAsia="宋体" w:hAnsi="宋体" w:cs="Times New Roman" w:hint="eastAsia"/>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cs="Times New Roman" w:hint="eastAsia"/>
          <w:b/>
          <w:bCs/>
          <w:color w:val="auto"/>
          <w:kern w:val="2"/>
          <w:sz w:val="21"/>
          <w:szCs w:val="21"/>
          <w:highlight w:val="none"/>
          <w:lang w:val="en-US" w:eastAsia="zh-CN" w:bidi="ar-SA"/>
        </w:rPr>
        <w:t>政府采购合同专用条款</w:t>
      </w:r>
      <w:r>
        <w:rPr>
          <w:rFonts w:ascii="宋体" w:eastAsia="宋体" w:hAnsi="宋体" w:cs="Times New Roman" w:hint="eastAsia"/>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eastAsia="宋体" w:hAnsi="宋体" w:cs="Times New Roman"/>
          <w:b/>
          <w:bCs/>
          <w:color w:val="auto"/>
          <w:kern w:val="2"/>
          <w:sz w:val="24"/>
          <w:szCs w:val="24"/>
          <w:highlight w:val="none"/>
          <w:lang w:val="en-US" w:eastAsia="zh-CN" w:bidi="ar-SA"/>
        </w:rPr>
      </w:pPr>
      <w:r>
        <w:rPr>
          <w:rFonts w:ascii="宋体" w:eastAsia="宋体" w:hAnsi="宋体" w:cs="Times New Roman" w:hint="eastAsia"/>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3</w:t>
      </w:r>
      <w:r>
        <w:rPr>
          <w:rFonts w:ascii="宋体" w:eastAsia="宋体" w:hAnsi="宋体" w:hint="eastAsia"/>
          <w:color w:val="auto"/>
          <w:szCs w:val="21"/>
          <w:highlight w:val="none"/>
        </w:rPr>
        <w:t xml:space="preserve">.1 </w:t>
      </w:r>
      <w:r>
        <w:rPr>
          <w:rFonts w:ascii="宋体" w:eastAsia="宋体" w:hAnsi="宋体" w:cs="宋体" w:hint="eastAsia"/>
          <w:szCs w:val="15"/>
        </w:rPr>
        <w:t>乙方应当以支票、汇票、本票或者金融机构、担保机构出具的保函等非现金形式提交。</w:t>
      </w:r>
    </w:p>
    <w:p>
      <w:pPr>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3</w:t>
      </w:r>
      <w:r>
        <w:rPr>
          <w:rFonts w:ascii="宋体" w:eastAsia="宋体" w:hAnsi="宋体" w:hint="eastAsia"/>
          <w:color w:val="auto"/>
          <w:szCs w:val="21"/>
          <w:highlight w:val="none"/>
        </w:rPr>
        <w:t>.2 如果乙方</w:t>
      </w:r>
      <w:r>
        <w:rPr>
          <w:rFonts w:ascii="宋体" w:eastAsia="宋体" w:hAnsi="宋体" w:hint="eastAsia"/>
          <w:color w:val="auto"/>
          <w:szCs w:val="21"/>
          <w:highlight w:val="none"/>
          <w:lang w:eastAsia="zh-CN"/>
        </w:rPr>
        <w:t>出现</w:t>
      </w:r>
      <w:r>
        <w:rPr>
          <w:rFonts w:ascii="宋体" w:eastAsia="宋体" w:hAnsi="宋体" w:cs="宋体" w:hint="eastAsia"/>
          <w:b/>
          <w:bCs/>
          <w:szCs w:val="15"/>
          <w:highlight w:val="none"/>
        </w:rPr>
        <w:t>【政府采购合同专用条款】</w:t>
      </w:r>
      <w:r>
        <w:rPr>
          <w:rFonts w:ascii="宋体" w:eastAsia="宋体" w:hAnsi="宋体" w:cs="宋体" w:hint="eastAsia"/>
          <w:b w:val="0"/>
          <w:bCs w:val="0"/>
          <w:szCs w:val="15"/>
          <w:highlight w:val="none"/>
          <w:lang w:eastAsia="zh-CN"/>
        </w:rPr>
        <w:t>约定</w:t>
      </w:r>
      <w:r>
        <w:rPr>
          <w:rFonts w:ascii="宋体" w:eastAsia="宋体" w:hAnsi="宋体" w:cs="宋体" w:hint="eastAsia"/>
          <w:b w:val="0"/>
          <w:bCs w:val="0"/>
          <w:szCs w:val="15"/>
          <w:lang w:eastAsia="zh-CN"/>
        </w:rPr>
        <w:t>情形的</w:t>
      </w:r>
      <w:r>
        <w:rPr>
          <w:rFonts w:ascii="宋体" w:eastAsia="宋体" w:hAnsi="宋体" w:hint="eastAsia"/>
          <w:color w:val="auto"/>
          <w:szCs w:val="21"/>
          <w:highlight w:val="none"/>
        </w:rPr>
        <w:t>，履约保证金不予退还；如果乙方未能按合同约定全面履行义务，甲方有权从履约保证金中取得补偿或赔偿，</w:t>
      </w:r>
      <w:r>
        <w:rPr>
          <w:rFonts w:ascii="宋体" w:eastAsia="宋体" w:hAnsi="宋体" w:hint="eastAsia"/>
          <w:color w:val="auto"/>
          <w:szCs w:val="21"/>
          <w:highlight w:val="none"/>
          <w:lang w:eastAsia="zh-CN"/>
        </w:rPr>
        <w:t>且</w:t>
      </w:r>
      <w:r>
        <w:rPr>
          <w:rFonts w:ascii="宋体" w:eastAsia="宋体" w:hAnsi="宋体" w:hint="eastAsia"/>
          <w:color w:val="auto"/>
          <w:szCs w:val="21"/>
          <w:highlight w:val="none"/>
        </w:rPr>
        <w:t>不影响甲方要求乙方承担合同约定的超过履约保证金的违约责任的权利。</w:t>
      </w:r>
    </w:p>
    <w:p>
      <w:pPr>
        <w:spacing w:line="400" w:lineRule="exact"/>
        <w:ind w:firstLine="420"/>
        <w:outlineLvl w:val="9"/>
        <w:rPr>
          <w:rFonts w:eastAsia="宋体"/>
          <w:color w:val="auto"/>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3</w:t>
      </w:r>
      <w:r>
        <w:rPr>
          <w:rFonts w:ascii="宋体" w:eastAsia="宋体" w:hAnsi="宋体" w:hint="eastAsia"/>
          <w:color w:val="auto"/>
          <w:szCs w:val="21"/>
          <w:highlight w:val="none"/>
        </w:rPr>
        <w:t>.3 甲方在项目通过验收后按照</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规定的时间内将履约保证金退还乙方；逾期退还的，乙方可要求甲方支付违约金，违约金按照</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规定支付。</w:t>
      </w:r>
    </w:p>
    <w:p>
      <w:pPr>
        <w:autoSpaceDE w:val="0"/>
        <w:autoSpaceDN w:val="0"/>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4</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eastAsia="宋体" w:hint="eastAsia"/>
          <w:b/>
          <w:color w:val="auto"/>
          <w:sz w:val="24"/>
          <w:highlight w:val="none"/>
        </w:rPr>
        <w:t>售后</w:t>
      </w:r>
      <w:r>
        <w:rPr>
          <w:rFonts w:ascii="宋体" w:eastAsia="宋体" w:hAnsi="宋体" w:hint="eastAsia"/>
          <w:b/>
          <w:color w:val="auto"/>
          <w:sz w:val="24"/>
          <w:highlight w:val="none"/>
        </w:rPr>
        <w:t>服务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4</w:t>
      </w:r>
      <w:r>
        <w:rPr>
          <w:rFonts w:ascii="宋体" w:eastAsia="宋体" w:hAnsi="宋体" w:hint="eastAsia"/>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（3）在</w:t>
      </w:r>
      <w:r>
        <w:rPr>
          <w:rFonts w:ascii="宋体" w:eastAsia="宋体" w:hAnsi="宋体" w:cs="宋体" w:hint="eastAsia"/>
          <w:b/>
          <w:bCs/>
          <w:szCs w:val="15"/>
          <w:highlight w:val="none"/>
        </w:rPr>
        <w:t>【政府采购合同专用条款】</w:t>
      </w:r>
      <w:r>
        <w:rPr>
          <w:rFonts w:ascii="宋体" w:eastAsia="宋体" w:hAnsi="宋体" w:hint="eastAsia"/>
          <w:color w:val="auto"/>
          <w:szCs w:val="21"/>
          <w:highlight w:val="none"/>
          <w:lang w:eastAsia="zh-CN"/>
        </w:rPr>
        <w:t>约定</w:t>
      </w:r>
      <w:r>
        <w:rPr>
          <w:rFonts w:ascii="宋体" w:eastAsia="宋体" w:hAnsi="宋体" w:hint="eastAsia"/>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（4）在制造商</w:t>
      </w:r>
      <w:r>
        <w:rPr>
          <w:rFonts w:ascii="宋体" w:eastAsia="宋体" w:hAnsi="宋体" w:hint="eastAsia"/>
          <w:color w:val="auto"/>
          <w:szCs w:val="21"/>
          <w:highlight w:val="none"/>
          <w:lang w:eastAsia="zh-CN"/>
        </w:rPr>
        <w:t>所在地</w:t>
      </w:r>
      <w:r>
        <w:rPr>
          <w:rFonts w:ascii="宋体" w:eastAsia="宋体" w:hAnsi="宋体" w:hint="eastAsia"/>
          <w:color w:val="auto"/>
          <w:szCs w:val="21"/>
          <w:highlight w:val="none"/>
        </w:rPr>
        <w:t>或</w:t>
      </w:r>
      <w:r>
        <w:rPr>
          <w:rFonts w:ascii="宋体" w:eastAsia="宋体" w:hAnsi="宋体" w:hint="eastAsia"/>
          <w:color w:val="auto"/>
          <w:szCs w:val="21"/>
          <w:highlight w:val="none"/>
          <w:lang w:eastAsia="zh-CN"/>
        </w:rPr>
        <w:t>指定</w:t>
      </w:r>
      <w:r>
        <w:rPr>
          <w:rFonts w:ascii="宋体" w:eastAsia="宋体" w:hAnsi="宋体" w:hint="eastAsia"/>
          <w:color w:val="auto"/>
          <w:szCs w:val="21"/>
          <w:highlight w:val="none"/>
        </w:rPr>
        <w:t>现场就货物的安装、启动、运营、维护</w:t>
      </w:r>
      <w:r>
        <w:rPr>
          <w:rFonts w:ascii="宋体" w:eastAsia="宋体" w:hAnsi="宋体" w:hint="eastAsia"/>
          <w:color w:val="auto"/>
          <w:szCs w:val="21"/>
          <w:highlight w:val="none"/>
          <w:lang w:eastAsia="zh-CN"/>
        </w:rPr>
        <w:t>、废弃处置等</w:t>
      </w:r>
      <w:r>
        <w:rPr>
          <w:rFonts w:ascii="宋体" w:eastAsia="宋体" w:hAnsi="宋体" w:hint="eastAsia"/>
          <w:color w:val="auto"/>
          <w:szCs w:val="21"/>
          <w:highlight w:val="none"/>
        </w:rPr>
        <w:t>对甲方操作人员进行培训</w:t>
      </w:r>
      <w:r>
        <w:rPr>
          <w:rFonts w:ascii="宋体" w:eastAsia="宋体" w:hAnsi="宋体" w:cs="宋体" w:hint="eastAsia"/>
          <w:szCs w:val="15"/>
          <w:lang w:eastAsia="zh-CN"/>
        </w:rPr>
        <w:t>；</w:t>
      </w:r>
    </w:p>
    <w:p>
      <w:pPr>
        <w:autoSpaceDE w:val="0"/>
        <w:autoSpaceDN w:val="0"/>
        <w:adjustRightInd w:val="0"/>
        <w:spacing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（5）依照法律、行政法规的规定或者按照</w:t>
      </w:r>
      <w:r>
        <w:rPr>
          <w:rFonts w:ascii="宋体" w:eastAsia="宋体" w:hAnsi="宋体" w:cs="宋体" w:hint="eastAsia"/>
          <w:b/>
          <w:bCs/>
          <w:sz w:val="21"/>
          <w:szCs w:val="21"/>
          <w:lang w:val="en-US" w:eastAsia="zh-CN" w:bidi="ar-SA"/>
        </w:rPr>
        <w:t>【政府采购合同专用条款】</w:t>
      </w:r>
      <w:r>
        <w:rPr>
          <w:rFonts w:ascii="宋体" w:eastAsia="宋体" w:hAnsi="宋体" w:cs="宋体" w:hint="eastAsia"/>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4</w:t>
      </w:r>
      <w:r>
        <w:rPr>
          <w:rFonts w:ascii="宋体" w:eastAsia="宋体" w:hAnsi="宋体" w:hint="eastAsia"/>
          <w:color w:val="auto"/>
          <w:szCs w:val="21"/>
          <w:highlight w:val="none"/>
        </w:rPr>
        <w:t>.2 乙方提供的</w:t>
      </w:r>
      <w:r>
        <w:rPr>
          <w:rFonts w:ascii="宋体" w:eastAsia="宋体" w:hAnsi="宋体" w:hint="eastAsia"/>
          <w:color w:val="auto"/>
          <w:szCs w:val="21"/>
          <w:highlight w:val="none"/>
          <w:lang w:eastAsia="zh-CN"/>
        </w:rPr>
        <w:t>售后</w:t>
      </w:r>
      <w:r>
        <w:rPr>
          <w:rFonts w:ascii="宋体" w:eastAsia="宋体" w:hAnsi="宋体" w:hint="eastAsia"/>
          <w:color w:val="auto"/>
          <w:szCs w:val="21"/>
          <w:highlight w:val="none"/>
        </w:rPr>
        <w:t>服务的费用</w:t>
      </w:r>
      <w:r>
        <w:rPr>
          <w:rFonts w:ascii="宋体" w:eastAsia="宋体" w:hAnsi="宋体" w:hint="eastAsia"/>
          <w:color w:val="auto"/>
          <w:szCs w:val="21"/>
          <w:highlight w:val="none"/>
          <w:lang w:val="en-US" w:eastAsia="zh-CN"/>
        </w:rPr>
        <w:t>已</w:t>
      </w:r>
      <w:r>
        <w:rPr>
          <w:rFonts w:ascii="宋体" w:eastAsia="宋体" w:hAnsi="宋体" w:hint="eastAsia"/>
          <w:color w:val="auto"/>
          <w:szCs w:val="21"/>
          <w:highlight w:val="none"/>
        </w:rPr>
        <w:t>包含在合同价款中，甲方不再另行支付。</w:t>
      </w:r>
    </w:p>
    <w:p>
      <w:pPr>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5</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违约责任</w:t>
      </w:r>
    </w:p>
    <w:p>
      <w:pPr>
        <w:adjustRightInd w:val="0"/>
        <w:snapToGrid w:val="0"/>
        <w:spacing w:before="0" w:line="400" w:lineRule="exact"/>
        <w:ind w:firstLine="420" w:firstLineChars="200"/>
        <w:jc w:val="left"/>
        <w:outlineLvl w:val="9"/>
        <w:rPr>
          <w:rFonts w:ascii="宋体" w:eastAsia="宋体" w:hAnsi="宋体" w:hint="eastAsia"/>
          <w:bCs/>
          <w:color w:val="auto"/>
          <w:szCs w:val="21"/>
          <w:highlight w:val="none"/>
        </w:rPr>
      </w:pPr>
      <w:r>
        <w:rPr>
          <w:rFonts w:ascii="宋体" w:eastAsia="宋体" w:hAnsi="宋体" w:hint="eastAsia"/>
          <w:bCs/>
          <w:color w:val="auto"/>
          <w:szCs w:val="21"/>
          <w:highlight w:val="none"/>
        </w:rPr>
        <w:t>1</w:t>
      </w:r>
      <w:r>
        <w:rPr>
          <w:rFonts w:ascii="宋体" w:eastAsia="宋体" w:hAnsi="宋体" w:hint="eastAsia"/>
          <w:bCs/>
          <w:color w:val="auto"/>
          <w:szCs w:val="21"/>
          <w:highlight w:val="none"/>
          <w:lang w:eastAsia="zh-CN"/>
        </w:rPr>
        <w:t>5</w:t>
      </w:r>
      <w:r>
        <w:rPr>
          <w:rFonts w:ascii="宋体" w:eastAsia="宋体" w:hAnsi="宋体" w:hint="eastAsia"/>
          <w:bCs/>
          <w:color w:val="auto"/>
          <w:szCs w:val="21"/>
          <w:highlight w:val="none"/>
        </w:rPr>
        <w:t>.1质量瑕疵的</w:t>
      </w:r>
      <w:r>
        <w:rPr>
          <w:rFonts w:ascii="宋体" w:eastAsia="宋体" w:hAnsi="宋体" w:hint="eastAsia"/>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乙方</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的产品不符合</w:t>
      </w:r>
      <w:r>
        <w:rPr>
          <w:rFonts w:ascii="宋体" w:eastAsia="宋体" w:hAnsi="宋体" w:hint="eastAsia"/>
          <w:color w:val="auto"/>
          <w:szCs w:val="21"/>
          <w:highlight w:val="none"/>
          <w:lang w:eastAsia="zh-CN"/>
        </w:rPr>
        <w:t>合同约定的</w:t>
      </w:r>
      <w:r>
        <w:rPr>
          <w:rFonts w:ascii="宋体" w:eastAsia="宋体" w:hAnsi="宋体" w:hint="eastAsia"/>
          <w:color w:val="auto"/>
          <w:szCs w:val="21"/>
          <w:highlight w:val="none"/>
        </w:rPr>
        <w:t>质量标准或存在产品质量缺陷，</w:t>
      </w:r>
      <w:r>
        <w:rPr>
          <w:rFonts w:ascii="宋体" w:eastAsia="宋体" w:hAnsi="宋体" w:hint="eastAsia"/>
          <w:color w:val="auto"/>
          <w:szCs w:val="21"/>
          <w:highlight w:val="none"/>
          <w:lang w:eastAsia="zh-CN"/>
        </w:rPr>
        <w:t>甲方有权要求乙方根据</w:t>
      </w:r>
      <w:r>
        <w:rPr>
          <w:rFonts w:ascii="宋体" w:eastAsia="宋体" w:hAnsi="宋体" w:hint="eastAsia"/>
          <w:b/>
          <w:color w:val="auto"/>
          <w:szCs w:val="21"/>
          <w:highlight w:val="none"/>
        </w:rPr>
        <w:t>【政府采购合同专用条款】</w:t>
      </w:r>
      <w:r>
        <w:rPr>
          <w:rFonts w:ascii="宋体" w:eastAsia="宋体" w:hAnsi="宋体" w:hint="eastAsia"/>
          <w:b w:val="0"/>
          <w:bCs/>
          <w:color w:val="auto"/>
          <w:szCs w:val="21"/>
          <w:highlight w:val="none"/>
          <w:lang w:eastAsia="zh-CN"/>
        </w:rPr>
        <w:t>要求</w:t>
      </w:r>
      <w:r>
        <w:rPr>
          <w:rFonts w:ascii="宋体" w:eastAsia="宋体" w:hAnsi="宋体" w:hint="eastAsia"/>
          <w:color w:val="auto"/>
          <w:szCs w:val="21"/>
          <w:highlight w:val="none"/>
          <w:lang w:eastAsia="zh-CN"/>
        </w:rPr>
        <w:t>及时修理、重作、更换，并承担由此给甲</w:t>
      </w:r>
      <w:r>
        <w:rPr>
          <w:rFonts w:ascii="宋体" w:eastAsia="宋体" w:hAnsi="宋体" w:hint="eastAsia"/>
          <w:color w:val="auto"/>
          <w:szCs w:val="21"/>
          <w:highlight w:val="none"/>
        </w:rPr>
        <w:t>方</w:t>
      </w:r>
      <w:r>
        <w:rPr>
          <w:rFonts w:ascii="宋体" w:eastAsia="宋体" w:hAnsi="宋体" w:hint="eastAsia"/>
          <w:color w:val="auto"/>
          <w:szCs w:val="21"/>
          <w:highlight w:val="none"/>
          <w:lang w:eastAsia="zh-CN"/>
        </w:rPr>
        <w:t>造成的损失</w:t>
      </w:r>
      <w:r>
        <w:rPr>
          <w:rFonts w:ascii="宋体" w:eastAsia="宋体" w:hAnsi="宋体" w:hint="eastAsia"/>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bCs/>
          <w:color w:val="auto"/>
          <w:szCs w:val="21"/>
          <w:highlight w:val="none"/>
        </w:rPr>
      </w:pPr>
      <w:r>
        <w:rPr>
          <w:rFonts w:ascii="宋体" w:eastAsia="宋体" w:hAnsi="宋体" w:hint="eastAsia"/>
          <w:bCs/>
          <w:color w:val="auto"/>
          <w:szCs w:val="21"/>
          <w:highlight w:val="none"/>
        </w:rPr>
        <w:t>1</w:t>
      </w:r>
      <w:r>
        <w:rPr>
          <w:rFonts w:ascii="宋体" w:eastAsia="宋体" w:hAnsi="宋体" w:hint="eastAsia"/>
          <w:bCs/>
          <w:color w:val="auto"/>
          <w:szCs w:val="21"/>
          <w:highlight w:val="none"/>
          <w:lang w:eastAsia="zh-CN"/>
        </w:rPr>
        <w:t>5</w:t>
      </w:r>
      <w:r>
        <w:rPr>
          <w:rFonts w:ascii="宋体" w:eastAsia="宋体" w:hAnsi="宋体" w:hint="eastAsia"/>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（1）乙方应按照本合同规定的时间、地点交货和提供</w:t>
      </w:r>
      <w:r>
        <w:rPr>
          <w:rFonts w:ascii="宋体" w:eastAsia="宋体" w:hAnsi="宋体" w:hint="eastAsia"/>
          <w:color w:val="auto"/>
          <w:szCs w:val="21"/>
          <w:highlight w:val="none"/>
          <w:lang w:eastAsia="zh-CN"/>
        </w:rPr>
        <w:t>相关</w:t>
      </w:r>
      <w:r>
        <w:rPr>
          <w:rFonts w:ascii="宋体" w:eastAsia="宋体" w:hAnsi="宋体" w:hint="eastAsia"/>
          <w:color w:val="auto"/>
          <w:szCs w:val="21"/>
          <w:highlight w:val="none"/>
        </w:rPr>
        <w:t>服务。在履行合同过程中，如果乙方遇到可能</w:t>
      </w:r>
      <w:r>
        <w:rPr>
          <w:rFonts w:ascii="宋体" w:eastAsia="宋体" w:hAnsi="宋体" w:hint="eastAsia"/>
          <w:color w:val="auto"/>
          <w:szCs w:val="21"/>
          <w:highlight w:val="none"/>
          <w:lang w:eastAsia="zh-CN"/>
        </w:rPr>
        <w:t>影响</w:t>
      </w:r>
      <w:r>
        <w:rPr>
          <w:rFonts w:ascii="宋体" w:eastAsia="宋体" w:hAnsi="宋体" w:hint="eastAsia"/>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hint="eastAsia"/>
          <w:color w:val="auto"/>
          <w:szCs w:val="21"/>
          <w:highlight w:val="none"/>
          <w:lang w:eastAsia="zh-CN"/>
        </w:rPr>
        <w:t>长</w:t>
      </w:r>
      <w:r>
        <w:rPr>
          <w:rFonts w:ascii="宋体" w:eastAsia="宋体" w:hAnsi="宋体" w:hint="eastAsia"/>
          <w:color w:val="auto"/>
          <w:szCs w:val="21"/>
          <w:highlight w:val="none"/>
        </w:rPr>
        <w:t>交货时间或延期提供服务。</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lang w:eastAsia="zh-CN"/>
        </w:rPr>
      </w:pPr>
      <w:r>
        <w:rPr>
          <w:rFonts w:ascii="宋体" w:eastAsia="宋体" w:hAnsi="宋体" w:hint="eastAsia"/>
          <w:color w:val="auto"/>
          <w:szCs w:val="21"/>
          <w:highlight w:val="none"/>
        </w:rPr>
        <w:t>（2）如果乙方没有按照合同规定的时间交货和提供</w:t>
      </w:r>
      <w:r>
        <w:rPr>
          <w:rFonts w:ascii="宋体" w:eastAsia="宋体" w:hAnsi="宋体" w:hint="eastAsia"/>
          <w:color w:val="auto"/>
          <w:szCs w:val="21"/>
          <w:highlight w:val="none"/>
          <w:lang w:eastAsia="zh-CN"/>
        </w:rPr>
        <w:t>相关</w:t>
      </w:r>
      <w:r>
        <w:rPr>
          <w:rFonts w:ascii="宋体" w:eastAsia="宋体" w:hAnsi="宋体" w:hint="eastAsia"/>
          <w:color w:val="auto"/>
          <w:szCs w:val="21"/>
          <w:highlight w:val="none"/>
        </w:rPr>
        <w:t>服务，甲方有权从货款中扣除误期赔偿费而不影响合同项下的其他补救方法，赔偿费按</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规定执行。如果涉及公共利益，且赔偿金额无法弥补公共利益损失，</w:t>
      </w:r>
      <w:r>
        <w:rPr>
          <w:rFonts w:ascii="宋体" w:eastAsia="宋体" w:hAnsi="宋体" w:hint="eastAsia"/>
          <w:color w:val="auto"/>
          <w:szCs w:val="21"/>
          <w:highlight w:val="none"/>
          <w:lang w:eastAsia="zh-CN"/>
        </w:rPr>
        <w:t>甲方</w:t>
      </w:r>
      <w:r>
        <w:rPr>
          <w:rFonts w:ascii="宋体" w:eastAsia="宋体" w:hAnsi="宋体" w:hint="eastAsia"/>
          <w:color w:val="auto"/>
          <w:szCs w:val="21"/>
          <w:highlight w:val="none"/>
        </w:rPr>
        <w:t>可要求继续履行或者</w:t>
      </w:r>
      <w:r>
        <w:rPr>
          <w:rFonts w:ascii="宋体" w:eastAsia="宋体" w:hAnsi="宋体" w:hint="eastAsia"/>
          <w:color w:val="auto"/>
          <w:szCs w:val="21"/>
          <w:highlight w:val="none"/>
          <w:lang w:eastAsia="zh-CN"/>
        </w:rPr>
        <w:t>采取其他补救措施</w:t>
      </w:r>
      <w:r>
        <w:rPr>
          <w:rFonts w:ascii="宋体" w:eastAsia="宋体" w:hAnsi="宋体" w:hint="eastAsia"/>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5</w:t>
      </w:r>
      <w:r>
        <w:rPr>
          <w:rFonts w:ascii="宋体" w:eastAsia="宋体" w:hAnsi="宋体" w:hint="eastAsia"/>
          <w:color w:val="auto"/>
          <w:szCs w:val="21"/>
          <w:highlight w:val="none"/>
        </w:rPr>
        <w:t>.3 迟延支付的违约责任</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甲方存在迟延支付乙方合同款项的，应当承担</w:t>
      </w:r>
      <w:r>
        <w:rPr>
          <w:rFonts w:ascii="宋体" w:eastAsia="宋体" w:hAnsi="宋体" w:hint="eastAsia"/>
          <w:b/>
          <w:bCs/>
          <w:color w:val="auto"/>
          <w:szCs w:val="21"/>
          <w:highlight w:val="none"/>
        </w:rPr>
        <w:t>【政府采购合同专用条款】</w:t>
      </w:r>
      <w:r>
        <w:rPr>
          <w:rFonts w:ascii="宋体" w:eastAsia="宋体" w:hAnsi="宋体" w:hint="eastAsia"/>
          <w:color w:val="auto"/>
          <w:szCs w:val="21"/>
          <w:highlight w:val="none"/>
        </w:rPr>
        <w:t>规定的逾期付款利息。</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bCs/>
          <w:color w:val="auto"/>
          <w:szCs w:val="21"/>
          <w:highlight w:val="none"/>
        </w:rPr>
        <w:t>1</w:t>
      </w:r>
      <w:r>
        <w:rPr>
          <w:rFonts w:ascii="宋体" w:eastAsia="宋体" w:hAnsi="宋体" w:hint="eastAsia"/>
          <w:bCs/>
          <w:color w:val="auto"/>
          <w:szCs w:val="21"/>
          <w:highlight w:val="none"/>
          <w:lang w:eastAsia="zh-CN"/>
        </w:rPr>
        <w:t>5</w:t>
      </w:r>
      <w:r>
        <w:rPr>
          <w:rFonts w:ascii="宋体" w:eastAsia="宋体" w:hAnsi="宋体" w:hint="eastAsia"/>
          <w:bCs/>
          <w:color w:val="auto"/>
          <w:szCs w:val="21"/>
          <w:highlight w:val="none"/>
        </w:rPr>
        <w:t>.4其他违约责任根据项目实际需要按</w:t>
      </w:r>
      <w:r>
        <w:rPr>
          <w:rFonts w:ascii="宋体" w:eastAsia="宋体" w:hAnsi="宋体" w:hint="eastAsia"/>
          <w:b/>
          <w:bCs/>
          <w:color w:val="auto"/>
          <w:szCs w:val="21"/>
          <w:highlight w:val="none"/>
        </w:rPr>
        <w:t>【政府采购合同专用条款】</w:t>
      </w:r>
      <w:r>
        <w:rPr>
          <w:rFonts w:ascii="宋体" w:eastAsia="宋体" w:hAnsi="宋体" w:hint="eastAsia"/>
          <w:color w:val="auto"/>
          <w:szCs w:val="21"/>
          <w:highlight w:val="none"/>
        </w:rPr>
        <w:t>规定执行。</w:t>
      </w:r>
    </w:p>
    <w:p>
      <w:pPr>
        <w:numPr>
          <w:ilvl w:val="0"/>
          <w:numId w:val="14"/>
        </w:numPr>
        <w:autoSpaceDE w:val="0"/>
        <w:autoSpaceDN w:val="0"/>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color w:val="auto"/>
          <w:sz w:val="24"/>
          <w:highlight w:val="none"/>
        </w:rPr>
        <w:t>合同变更</w:t>
      </w:r>
      <w:r>
        <w:rPr>
          <w:rFonts w:ascii="宋体" w:eastAsia="宋体" w:hAnsi="宋体" w:hint="eastAsia"/>
          <w:b/>
          <w:color w:val="auto"/>
          <w:sz w:val="24"/>
          <w:highlight w:val="none"/>
          <w:lang w:eastAsia="zh-CN"/>
        </w:rPr>
        <w:t>、中止与终止</w:t>
      </w:r>
    </w:p>
    <w:p>
      <w:pPr>
        <w:autoSpaceDE/>
        <w:autoSpaceDN/>
        <w:adjustRightInd w:val="0"/>
        <w:snapToGrid w:val="0"/>
        <w:spacing w:before="0" w:line="400" w:lineRule="exact"/>
        <w:ind w:firstLine="0" w:firstLineChars="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lang w:val="en-US" w:eastAsia="zh-CN"/>
        </w:rPr>
        <w:t xml:space="preserve">    </w:t>
      </w: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.1合同的</w:t>
      </w:r>
      <w:r>
        <w:rPr>
          <w:rFonts w:ascii="宋体" w:eastAsia="宋体" w:hAnsi="宋体" w:hint="eastAsia"/>
          <w:color w:val="auto"/>
          <w:szCs w:val="21"/>
          <w:highlight w:val="none"/>
          <w:lang w:eastAsia="zh-CN"/>
        </w:rPr>
        <w:t>变更</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政府采购合同履行中，</w:t>
      </w:r>
      <w:r>
        <w:rPr>
          <w:rFonts w:ascii="宋体" w:eastAsia="宋体" w:hAnsi="宋体" w:hint="eastAsia"/>
          <w:color w:val="auto"/>
          <w:szCs w:val="21"/>
          <w:highlight w:val="none"/>
        </w:rPr>
        <w:t>在不改变合同其他条款的前提下，甲方可以在合同价款10%的范围内追加与合同标的相同的货物，并就此与乙方协商</w:t>
      </w:r>
      <w:r>
        <w:rPr>
          <w:rFonts w:ascii="宋体" w:eastAsia="宋体" w:hAnsi="宋体" w:hint="eastAsia"/>
          <w:color w:val="auto"/>
          <w:szCs w:val="21"/>
          <w:highlight w:val="none"/>
          <w:lang w:eastAsia="zh-CN"/>
        </w:rPr>
        <w:t>一致后</w:t>
      </w:r>
      <w:r>
        <w:rPr>
          <w:rFonts w:ascii="宋体" w:eastAsia="宋体" w:hAnsi="宋体" w:hint="eastAsia"/>
          <w:color w:val="auto"/>
          <w:szCs w:val="21"/>
          <w:highlight w:val="none"/>
        </w:rPr>
        <w:t>签订补充协议。</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合同的中止</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（1）合同履行过程中因供应商就采购文件、采购过程或结果提起投诉的，甲方认为有必要的，</w:t>
      </w:r>
      <w:r>
        <w:rPr>
          <w:rFonts w:ascii="宋体" w:eastAsia="宋体" w:hAnsi="宋体" w:hint="eastAsia"/>
          <w:color w:val="auto"/>
          <w:szCs w:val="21"/>
          <w:highlight w:val="none"/>
          <w:lang w:eastAsia="zh-CN"/>
        </w:rPr>
        <w:t>可以</w:t>
      </w:r>
      <w:r>
        <w:rPr>
          <w:rFonts w:ascii="宋体" w:eastAsia="宋体" w:hAnsi="宋体" w:hint="eastAsia"/>
          <w:color w:val="auto"/>
          <w:szCs w:val="21"/>
          <w:highlight w:val="none"/>
        </w:rPr>
        <w:t>中止合同的履行。</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（2）</w:t>
      </w:r>
      <w:r>
        <w:rPr>
          <w:rFonts w:ascii="宋体" w:eastAsia="宋体" w:hAnsi="宋体" w:hint="eastAsia"/>
          <w:color w:val="auto"/>
          <w:szCs w:val="21"/>
          <w:highlight w:val="none"/>
          <w:lang w:val="en-US" w:eastAsia="zh-CN"/>
        </w:rPr>
        <w:t>合同履行过程中，</w:t>
      </w:r>
      <w:r>
        <w:rPr>
          <w:rFonts w:ascii="宋体" w:eastAsia="宋体" w:hAnsi="宋体" w:hint="eastAsia"/>
          <w:color w:val="auto"/>
          <w:szCs w:val="21"/>
          <w:highlight w:val="none"/>
        </w:rPr>
        <w:t>如果乙方出现以下情形之一的：1．经营状况严重恶化；2．转移财产、抽逃资金，以逃避债务；3．丧失商业信誉；4．有丧失或者可能丧失履约能力的其他情形</w:t>
      </w:r>
      <w:r>
        <w:rPr>
          <w:rFonts w:ascii="宋体" w:eastAsia="宋体" w:hAnsi="宋体" w:hint="eastAsia"/>
          <w:color w:val="auto"/>
          <w:szCs w:val="21"/>
          <w:highlight w:val="none"/>
          <w:lang w:eastAsia="zh-CN"/>
        </w:rPr>
        <w:t>，乙方有义务及时告知甲方</w:t>
      </w:r>
      <w:r>
        <w:rPr>
          <w:rFonts w:ascii="宋体" w:eastAsia="宋体" w:hAnsi="宋体" w:hint="eastAsia"/>
          <w:color w:val="auto"/>
          <w:szCs w:val="21"/>
          <w:highlight w:val="none"/>
        </w:rPr>
        <w:t>。甲方</w:t>
      </w:r>
      <w:r>
        <w:rPr>
          <w:rFonts w:ascii="宋体" w:eastAsia="宋体" w:hAnsi="宋体" w:hint="eastAsia"/>
          <w:color w:val="auto"/>
          <w:szCs w:val="21"/>
          <w:highlight w:val="none"/>
          <w:lang w:eastAsia="zh-CN"/>
        </w:rPr>
        <w:t>有权</w:t>
      </w:r>
      <w:r>
        <w:rPr>
          <w:rFonts w:ascii="宋体" w:eastAsia="宋体" w:hAnsi="宋体" w:hint="eastAsia"/>
          <w:color w:val="auto"/>
          <w:szCs w:val="21"/>
          <w:highlight w:val="none"/>
        </w:rPr>
        <w:t>以书面形式通知乙方中止合同</w:t>
      </w:r>
      <w:r>
        <w:rPr>
          <w:rFonts w:ascii="宋体" w:eastAsia="宋体" w:hAnsi="宋体" w:hint="eastAsia"/>
          <w:color w:val="auto"/>
          <w:szCs w:val="21"/>
          <w:highlight w:val="none"/>
          <w:lang w:eastAsia="zh-CN"/>
        </w:rPr>
        <w:t>并要求乙方在合理期限内消除相关情形或者提供适当担保。</w:t>
      </w:r>
      <w:r>
        <w:rPr>
          <w:rFonts w:ascii="宋体" w:eastAsia="宋体" w:hAnsi="宋体" w:hint="eastAsia"/>
          <w:color w:val="auto"/>
          <w:szCs w:val="21"/>
          <w:highlight w:val="none"/>
        </w:rPr>
        <w:t>乙方提供适当担保的，</w:t>
      </w:r>
      <w:r>
        <w:rPr>
          <w:rFonts w:ascii="宋体" w:eastAsia="宋体" w:hAnsi="宋体" w:hint="eastAsia"/>
          <w:color w:val="auto"/>
          <w:szCs w:val="21"/>
          <w:highlight w:val="none"/>
          <w:lang w:eastAsia="zh-CN"/>
        </w:rPr>
        <w:t>合同继续</w:t>
      </w:r>
      <w:r>
        <w:rPr>
          <w:rFonts w:ascii="宋体" w:eastAsia="宋体" w:hAnsi="宋体" w:hint="eastAsia"/>
          <w:color w:val="auto"/>
          <w:szCs w:val="21"/>
          <w:highlight w:val="none"/>
        </w:rPr>
        <w:t>履行</w:t>
      </w:r>
      <w:r>
        <w:rPr>
          <w:rFonts w:ascii="宋体" w:eastAsia="宋体" w:hAnsi="宋体" w:hint="eastAsia"/>
          <w:color w:val="auto"/>
          <w:szCs w:val="21"/>
          <w:highlight w:val="none"/>
          <w:lang w:eastAsia="zh-CN"/>
        </w:rPr>
        <w:t>；乙</w:t>
      </w:r>
      <w:r>
        <w:rPr>
          <w:rFonts w:ascii="宋体" w:eastAsia="宋体" w:hAnsi="宋体" w:hint="eastAsia"/>
          <w:color w:val="auto"/>
          <w:szCs w:val="21"/>
          <w:highlight w:val="none"/>
        </w:rPr>
        <w:t>方在合理期限内未恢复履约能力且未提供适当担保的，视为拒绝</w:t>
      </w:r>
      <w:r>
        <w:rPr>
          <w:rFonts w:ascii="宋体" w:eastAsia="宋体" w:hAnsi="宋体" w:hint="eastAsia"/>
          <w:color w:val="auto"/>
          <w:szCs w:val="21"/>
          <w:highlight w:val="none"/>
          <w:lang w:eastAsia="zh-CN"/>
        </w:rPr>
        <w:t>继续</w:t>
      </w:r>
      <w:r>
        <w:rPr>
          <w:rFonts w:ascii="宋体" w:eastAsia="宋体" w:hAnsi="宋体" w:hint="eastAsia"/>
          <w:color w:val="auto"/>
          <w:szCs w:val="21"/>
          <w:highlight w:val="none"/>
        </w:rPr>
        <w:t>履约，甲方</w:t>
      </w:r>
      <w:r>
        <w:rPr>
          <w:rFonts w:ascii="宋体" w:eastAsia="宋体" w:hAnsi="宋体" w:hint="eastAsia"/>
          <w:color w:val="auto"/>
          <w:szCs w:val="21"/>
          <w:highlight w:val="none"/>
          <w:lang w:eastAsia="zh-CN"/>
        </w:rPr>
        <w:t>有权</w:t>
      </w:r>
      <w:r>
        <w:rPr>
          <w:rFonts w:ascii="宋体" w:eastAsia="宋体" w:hAnsi="宋体" w:hint="eastAsia"/>
          <w:color w:val="auto"/>
          <w:szCs w:val="21"/>
          <w:highlight w:val="none"/>
        </w:rPr>
        <w:t>解除合同并要求乙方承担</w:t>
      </w:r>
      <w:r>
        <w:rPr>
          <w:rFonts w:ascii="宋体" w:eastAsia="宋体" w:hAnsi="宋体" w:hint="eastAsia"/>
          <w:color w:val="auto"/>
          <w:szCs w:val="21"/>
          <w:highlight w:val="none"/>
          <w:lang w:eastAsia="zh-CN"/>
        </w:rPr>
        <w:t>由此给甲方造成的损失</w:t>
      </w:r>
      <w:r>
        <w:rPr>
          <w:rFonts w:ascii="宋体" w:eastAsia="宋体" w:hAnsi="宋体" w:hint="eastAsia"/>
          <w:color w:val="auto"/>
          <w:szCs w:val="21"/>
          <w:highlight w:val="none"/>
        </w:rPr>
        <w:t>。</w:t>
      </w:r>
    </w:p>
    <w:p>
      <w:pPr>
        <w:autoSpaceDE w:val="0"/>
        <w:autoSpaceDN w:val="0"/>
        <w:adjustRightInd w:val="0"/>
        <w:spacing w:line="400" w:lineRule="exact"/>
        <w:ind w:firstLine="420" w:firstLineChars="200"/>
        <w:jc w:val="both"/>
        <w:outlineLvl w:val="9"/>
        <w:rPr>
          <w:rFonts w:ascii="华文楷体" w:eastAsia="华文楷体" w:hAnsi="华文楷体" w:cs="华文楷体"/>
          <w:sz w:val="21"/>
          <w:szCs w:val="21"/>
          <w:lang w:val="en-US" w:eastAsia="zh-CN" w:bidi="ar-SA"/>
        </w:rPr>
      </w:pPr>
      <w:r>
        <w:rPr>
          <w:rFonts w:ascii="宋体" w:eastAsia="宋体" w:hAnsi="宋体" w:cs="宋体" w:hint="eastAsia"/>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outlineLvl w:val="9"/>
        <w:rPr>
          <w:rFonts w:eastAsia="宋体"/>
          <w:sz w:val="21"/>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4</w:t>
      </w:r>
      <w:r>
        <w:rPr>
          <w:rFonts w:ascii="宋体" w:eastAsia="宋体" w:hAnsi="宋体" w:hint="eastAsia"/>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3</w:t>
      </w:r>
      <w:r>
        <w:rPr>
          <w:rFonts w:ascii="宋体" w:eastAsia="宋体" w:hAnsi="宋体" w:hint="eastAsia"/>
          <w:color w:val="auto"/>
          <w:szCs w:val="21"/>
          <w:highlight w:val="none"/>
        </w:rPr>
        <w:t>合同的终止</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（1）合同因有效期限届满而终止；</w:t>
      </w:r>
    </w:p>
    <w:p>
      <w:pPr>
        <w:snapToGrid w:val="0"/>
        <w:spacing w:line="400" w:lineRule="exact"/>
        <w:ind w:firstLine="420" w:firstLineChars="200"/>
        <w:outlineLvl w:val="9"/>
        <w:rPr>
          <w:rFonts w:ascii="宋体" w:eastAsia="宋体" w:hAnsi="宋体" w:cs="宋体" w:hint="eastAsia"/>
          <w:szCs w:val="21"/>
          <w:lang w:eastAsia="zh-CN"/>
        </w:rPr>
      </w:pPr>
      <w:r>
        <w:rPr>
          <w:rFonts w:ascii="宋体" w:eastAsia="宋体" w:hAnsi="宋体" w:hint="eastAsia"/>
          <w:color w:val="auto"/>
          <w:szCs w:val="21"/>
          <w:highlight w:val="none"/>
        </w:rPr>
        <w:t>（2）乙方未</w:t>
      </w:r>
      <w:r>
        <w:rPr>
          <w:rFonts w:ascii="宋体" w:eastAsia="宋体" w:hAnsi="宋体" w:hint="eastAsia"/>
          <w:color w:val="auto"/>
          <w:szCs w:val="21"/>
          <w:highlight w:val="none"/>
          <w:lang w:eastAsia="zh-CN"/>
        </w:rPr>
        <w:t>按</w:t>
      </w:r>
      <w:r>
        <w:rPr>
          <w:rFonts w:ascii="宋体" w:eastAsia="宋体" w:hAnsi="宋体" w:hint="eastAsia"/>
          <w:color w:val="auto"/>
          <w:szCs w:val="21"/>
          <w:highlight w:val="none"/>
        </w:rPr>
        <w:t>合同约定履行，构成根本性违约的，甲方有权终止合同</w:t>
      </w:r>
      <w:r>
        <w:rPr>
          <w:rFonts w:ascii="宋体" w:eastAsia="宋体" w:hAnsi="宋体" w:hint="eastAsia"/>
          <w:color w:val="auto"/>
          <w:szCs w:val="21"/>
          <w:highlight w:val="none"/>
          <w:lang w:eastAsia="zh-CN"/>
        </w:rPr>
        <w:t>，</w:t>
      </w:r>
      <w:r>
        <w:rPr>
          <w:rFonts w:ascii="宋体" w:eastAsia="宋体" w:hAnsi="宋体" w:cs="宋体" w:hint="eastAsia"/>
          <w:szCs w:val="21"/>
        </w:rPr>
        <w:t>并追究乙方的违约责</w:t>
      </w:r>
      <w:r>
        <w:rPr>
          <w:rFonts w:ascii="宋体" w:eastAsia="宋体" w:hAnsi="宋体" w:cs="宋体" w:hint="eastAsia"/>
          <w:szCs w:val="21"/>
          <w:lang w:val="en-US" w:eastAsia="zh-CN"/>
        </w:rPr>
        <w:t>任</w:t>
      </w:r>
      <w:r>
        <w:rPr>
          <w:rFonts w:ascii="宋体" w:eastAsia="宋体" w:hAnsi="宋体" w:hint="eastAsia"/>
          <w:color w:val="auto"/>
          <w:szCs w:val="21"/>
          <w:highlight w:val="none"/>
        </w:rPr>
        <w:t>。</w:t>
      </w:r>
    </w:p>
    <w:p>
      <w:pPr>
        <w:autoSpaceDE w:val="0"/>
        <w:autoSpaceDN w:val="0"/>
        <w:adjustRightInd w:val="0"/>
        <w:spacing w:line="400" w:lineRule="exact"/>
        <w:ind w:firstLine="420" w:firstLineChars="200"/>
        <w:outlineLvl w:val="9"/>
        <w:rPr>
          <w:rFonts w:ascii="宋体" w:eastAsia="华文楷体" w:hAnsi="宋体" w:cs="华文楷体" w:hint="eastAsia"/>
          <w:color w:val="auto"/>
          <w:sz w:val="22"/>
          <w:szCs w:val="21"/>
          <w:highlight w:val="none"/>
          <w:lang w:val="en-US" w:eastAsia="zh-CN" w:bidi="ar-SA"/>
        </w:rPr>
      </w:pPr>
      <w:r>
        <w:rPr>
          <w:rFonts w:ascii="宋体" w:eastAsia="华文楷体" w:hAnsi="宋体" w:cs="华文楷体" w:hint="eastAsia"/>
          <w:color w:val="auto"/>
          <w:sz w:val="22"/>
          <w:szCs w:val="21"/>
          <w:highlight w:val="none"/>
          <w:lang w:val="en-US" w:eastAsia="zh-CN" w:bidi="ar-SA"/>
        </w:rPr>
        <w:t xml:space="preserve">16.4 </w:t>
      </w:r>
      <w:r>
        <w:rPr>
          <w:rFonts w:ascii="宋体" w:eastAsia="宋体" w:hAnsi="宋体" w:cs="Times New Roman" w:hint="eastAsia"/>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outlineLvl w:val="9"/>
        <w:rPr>
          <w:rFonts w:ascii="华文楷体" w:eastAsia="华文楷体" w:hAnsi="华文楷体" w:cs="华文楷体"/>
          <w:sz w:val="21"/>
          <w:szCs w:val="21"/>
          <w:lang w:val="en-US" w:eastAsia="zh-CN" w:bidi="ar-SA"/>
        </w:rPr>
      </w:pPr>
      <w:r>
        <w:rPr>
          <w:rFonts w:ascii="宋体" w:eastAsia="宋体" w:hAnsi="宋体" w:cs="宋体" w:hint="eastAsia"/>
          <w:sz w:val="21"/>
          <w:szCs w:val="21"/>
          <w:lang w:val="en-US" w:eastAsia="zh-CN" w:bidi="ar-SA"/>
        </w:rPr>
        <w:t>政府采购合同继续履行将损害国家利益和社会公共利益的，双方当事人</w:t>
      </w:r>
      <w:r>
        <w:rPr>
          <w:rFonts w:ascii="宋体" w:eastAsia="宋体" w:hAnsi="宋体" w:cs="宋体" w:hint="eastAsia"/>
          <w:sz w:val="21"/>
          <w:szCs w:val="21"/>
          <w:highlight w:val="none"/>
          <w:lang w:val="en-US" w:eastAsia="zh-CN" w:bidi="ar-SA"/>
        </w:rPr>
        <w:t>应当变更、</w:t>
      </w:r>
      <w:r>
        <w:rPr>
          <w:rFonts w:ascii="宋体" w:eastAsia="宋体" w:hAnsi="宋体" w:cs="宋体" w:hint="eastAsia"/>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val="en-US" w:eastAsia="zh-CN"/>
        </w:rPr>
        <w:t>7</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合同分包</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7</w:t>
      </w:r>
      <w:r>
        <w:rPr>
          <w:rFonts w:ascii="宋体" w:eastAsia="宋体" w:hAnsi="宋体" w:hint="eastAsia"/>
          <w:color w:val="auto"/>
          <w:szCs w:val="21"/>
          <w:highlight w:val="none"/>
        </w:rPr>
        <w:t>.1 乙方不得</w:t>
      </w:r>
      <w:r>
        <w:rPr>
          <w:rFonts w:ascii="宋体" w:eastAsia="宋体" w:hAnsi="宋体" w:hint="eastAsia"/>
          <w:color w:val="auto"/>
          <w:szCs w:val="21"/>
          <w:highlight w:val="none"/>
          <w:lang w:eastAsia="zh-CN"/>
        </w:rPr>
        <w:t>将合同转包给其他供应商。涉及合同分包的，乙方</w:t>
      </w:r>
      <w:r>
        <w:rPr>
          <w:rFonts w:ascii="宋体" w:eastAsia="宋体" w:hAnsi="宋体" w:hint="eastAsia"/>
          <w:color w:val="auto"/>
          <w:szCs w:val="21"/>
          <w:highlight w:val="none"/>
          <w:lang w:val="en-US" w:eastAsia="zh-CN"/>
        </w:rPr>
        <w:t>应</w:t>
      </w:r>
      <w:r>
        <w:rPr>
          <w:rFonts w:ascii="宋体" w:eastAsia="宋体" w:hAnsi="宋体" w:hint="eastAsia"/>
          <w:color w:val="auto"/>
          <w:szCs w:val="21"/>
          <w:highlight w:val="none"/>
          <w:lang w:eastAsia="zh-CN"/>
        </w:rPr>
        <w:t>根据采购文件和投标（响应）文件规定进行</w:t>
      </w:r>
      <w:r>
        <w:rPr>
          <w:rFonts w:ascii="宋体" w:eastAsia="宋体" w:hAnsi="宋体" w:hint="eastAsia"/>
          <w:color w:val="auto"/>
          <w:szCs w:val="21"/>
          <w:highlight w:val="none"/>
        </w:rPr>
        <w:t>合同分包。</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7</w:t>
      </w:r>
      <w:r>
        <w:rPr>
          <w:rFonts w:ascii="宋体" w:eastAsia="宋体" w:hAnsi="宋体" w:hint="eastAsia"/>
          <w:color w:val="auto"/>
          <w:szCs w:val="21"/>
          <w:highlight w:val="none"/>
        </w:rPr>
        <w:t>.2 乙方执行政府采购政策向中小企业依法分包的</w:t>
      </w:r>
      <w:r>
        <w:rPr>
          <w:rFonts w:ascii="宋体" w:eastAsia="宋体" w:hAnsi="宋体" w:hint="eastAsia"/>
          <w:color w:val="auto"/>
          <w:szCs w:val="21"/>
          <w:highlight w:val="none"/>
          <w:lang w:eastAsia="zh-CN"/>
        </w:rPr>
        <w:t>，</w:t>
      </w:r>
      <w:r>
        <w:rPr>
          <w:rFonts w:ascii="宋体" w:eastAsia="宋体" w:hAnsi="宋体" w:hint="eastAsia"/>
          <w:color w:val="auto"/>
          <w:szCs w:val="21"/>
          <w:highlight w:val="none"/>
        </w:rPr>
        <w:t>乙方应当按采购文件</w:t>
      </w:r>
      <w:r>
        <w:rPr>
          <w:rFonts w:ascii="宋体" w:eastAsia="宋体" w:hAnsi="宋体" w:hint="eastAsia"/>
          <w:color w:val="auto"/>
          <w:szCs w:val="21"/>
          <w:highlight w:val="none"/>
          <w:lang w:eastAsia="zh-CN"/>
        </w:rPr>
        <w:t>和</w:t>
      </w:r>
      <w:r>
        <w:rPr>
          <w:rFonts w:ascii="宋体" w:eastAsia="宋体" w:hAnsi="宋体" w:hint="eastAsia"/>
          <w:color w:val="auto"/>
          <w:szCs w:val="21"/>
          <w:highlight w:val="none"/>
        </w:rPr>
        <w:t>投标（响应）文件签订分包</w:t>
      </w:r>
      <w:r>
        <w:rPr>
          <w:rFonts w:ascii="宋体" w:eastAsia="宋体" w:hAnsi="宋体" w:hint="eastAsia"/>
          <w:color w:val="auto"/>
          <w:szCs w:val="21"/>
          <w:highlight w:val="none"/>
          <w:lang w:eastAsia="zh-CN"/>
        </w:rPr>
        <w:t>意向</w:t>
      </w:r>
      <w:r>
        <w:rPr>
          <w:rFonts w:ascii="宋体" w:eastAsia="宋体" w:hAnsi="宋体" w:hint="eastAsia"/>
          <w:color w:val="auto"/>
          <w:szCs w:val="21"/>
          <w:highlight w:val="none"/>
        </w:rPr>
        <w:t>协议，分包</w:t>
      </w:r>
      <w:r>
        <w:rPr>
          <w:rFonts w:ascii="宋体" w:eastAsia="宋体" w:hAnsi="宋体" w:hint="eastAsia"/>
          <w:color w:val="auto"/>
          <w:szCs w:val="21"/>
          <w:highlight w:val="none"/>
          <w:lang w:eastAsia="zh-CN"/>
        </w:rPr>
        <w:t>意向</w:t>
      </w:r>
      <w:r>
        <w:rPr>
          <w:rFonts w:ascii="宋体" w:eastAsia="宋体" w:hAnsi="宋体" w:hint="eastAsia"/>
          <w:color w:val="auto"/>
          <w:szCs w:val="21"/>
          <w:highlight w:val="none"/>
        </w:rPr>
        <w:t>协议属于本合同组成部分。</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lang w:eastAsia="zh-CN"/>
        </w:rPr>
        <w:t>1</w:t>
      </w:r>
      <w:r>
        <w:rPr>
          <w:rFonts w:ascii="宋体" w:eastAsia="宋体" w:hAnsi="宋体" w:hint="eastAsia"/>
          <w:b/>
          <w:bCs/>
          <w:color w:val="auto"/>
          <w:sz w:val="24"/>
          <w:highlight w:val="none"/>
          <w:lang w:val="en-US" w:eastAsia="zh-CN"/>
        </w:rPr>
        <w:t>8</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不可抗力</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1</w:t>
      </w:r>
      <w:r>
        <w:rPr>
          <w:rFonts w:ascii="宋体" w:eastAsia="宋体" w:hAnsi="宋体" w:hint="eastAsia"/>
          <w:color w:val="auto"/>
          <w:szCs w:val="21"/>
          <w:highlight w:val="none"/>
          <w:lang w:val="en-US" w:eastAsia="zh-CN"/>
        </w:rPr>
        <w:t>8</w:t>
      </w:r>
      <w:r>
        <w:rPr>
          <w:rFonts w:ascii="宋体" w:eastAsia="宋体" w:hAnsi="宋体" w:hint="eastAsia"/>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1</w:t>
      </w:r>
      <w:r>
        <w:rPr>
          <w:rFonts w:ascii="宋体" w:eastAsia="宋体" w:hAnsi="宋体" w:hint="eastAsia"/>
          <w:color w:val="auto"/>
          <w:szCs w:val="21"/>
          <w:highlight w:val="none"/>
          <w:lang w:val="en-US" w:eastAsia="zh-CN"/>
        </w:rPr>
        <w:t>8</w:t>
      </w:r>
      <w:r>
        <w:rPr>
          <w:rFonts w:ascii="宋体" w:eastAsia="宋体" w:hAnsi="宋体" w:hint="eastAsia"/>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1</w:t>
      </w:r>
      <w:r>
        <w:rPr>
          <w:rFonts w:ascii="宋体" w:eastAsia="宋体" w:hAnsi="宋体" w:hint="eastAsia"/>
          <w:color w:val="auto"/>
          <w:szCs w:val="21"/>
          <w:highlight w:val="none"/>
          <w:lang w:val="en-US" w:eastAsia="zh-CN"/>
        </w:rPr>
        <w:t>8</w:t>
      </w:r>
      <w:r>
        <w:rPr>
          <w:rFonts w:ascii="宋体" w:eastAsia="宋体" w:hAnsi="宋体" w:hint="eastAsia"/>
          <w:color w:val="auto"/>
          <w:szCs w:val="21"/>
          <w:highlight w:val="none"/>
        </w:rPr>
        <w:t>.3 遇有不可抗力的一方，应及时将事件情况以书面形式</w:t>
      </w:r>
      <w:r>
        <w:rPr>
          <w:rFonts w:ascii="宋体" w:eastAsia="宋体" w:hAnsi="宋体" w:hint="eastAsia"/>
          <w:color w:val="auto"/>
          <w:szCs w:val="21"/>
          <w:highlight w:val="none"/>
          <w:lang w:eastAsia="zh-CN"/>
        </w:rPr>
        <w:t>告</w:t>
      </w:r>
      <w:r>
        <w:rPr>
          <w:rFonts w:ascii="宋体" w:eastAsia="宋体" w:hAnsi="宋体" w:hint="eastAsia"/>
          <w:color w:val="auto"/>
          <w:szCs w:val="21"/>
          <w:highlight w:val="none"/>
        </w:rPr>
        <w:t>知另一方，并在事件发生后及时向另一方提交合同不能履行或部分不能履行或需要延期履行</w:t>
      </w:r>
      <w:r>
        <w:rPr>
          <w:rFonts w:ascii="宋体" w:eastAsia="宋体" w:hAnsi="宋体" w:hint="eastAsia"/>
          <w:color w:val="auto"/>
          <w:szCs w:val="21"/>
          <w:highlight w:val="none"/>
          <w:lang w:eastAsia="zh-CN"/>
        </w:rPr>
        <w:t>的详细</w:t>
      </w:r>
      <w:r>
        <w:rPr>
          <w:rFonts w:ascii="宋体" w:eastAsia="宋体" w:hAnsi="宋体" w:hint="eastAsia"/>
          <w:color w:val="auto"/>
          <w:szCs w:val="21"/>
          <w:highlight w:val="none"/>
        </w:rPr>
        <w:t>报告</w:t>
      </w:r>
      <w:r>
        <w:rPr>
          <w:rFonts w:ascii="宋体" w:eastAsia="宋体" w:hAnsi="宋体" w:hint="eastAsia"/>
          <w:color w:val="auto"/>
          <w:szCs w:val="21"/>
          <w:highlight w:val="none"/>
          <w:lang w:eastAsia="zh-CN"/>
        </w:rPr>
        <w:t>，以</w:t>
      </w:r>
      <w:r>
        <w:rPr>
          <w:rFonts w:ascii="宋体" w:eastAsia="宋体" w:hAnsi="宋体" w:hint="eastAsia"/>
          <w:color w:val="auto"/>
          <w:szCs w:val="21"/>
          <w:highlight w:val="none"/>
          <w:lang w:val="en-US" w:eastAsia="zh-CN"/>
        </w:rPr>
        <w:t>及证明不可抗力发生及其持续时间的证据</w:t>
      </w:r>
      <w:r>
        <w:rPr>
          <w:rFonts w:ascii="宋体" w:eastAsia="宋体" w:hAnsi="宋体" w:hint="eastAsia"/>
          <w:color w:val="auto"/>
          <w:szCs w:val="21"/>
          <w:highlight w:val="none"/>
        </w:rPr>
        <w:t>。</w:t>
      </w:r>
    </w:p>
    <w:p>
      <w:pPr>
        <w:autoSpaceDE w:val="0"/>
        <w:autoSpaceDN w:val="0"/>
        <w:adjustRightInd w:val="0"/>
        <w:snapToGrid w:val="0"/>
        <w:spacing w:before="0" w:line="400" w:lineRule="exact"/>
        <w:jc w:val="left"/>
        <w:outlineLvl w:val="9"/>
        <w:rPr>
          <w:rFonts w:ascii="宋体" w:eastAsia="宋体" w:hAnsi="宋体" w:hint="eastAsia"/>
          <w:b/>
          <w:bCs/>
          <w:color w:val="auto"/>
          <w:sz w:val="24"/>
          <w:highlight w:val="none"/>
        </w:rPr>
      </w:pPr>
      <w:r>
        <w:rPr>
          <w:rFonts w:ascii="宋体" w:eastAsia="宋体" w:hAnsi="宋体" w:hint="eastAsia"/>
          <w:b/>
          <w:bCs/>
          <w:color w:val="auto"/>
          <w:sz w:val="24"/>
          <w:highlight w:val="none"/>
          <w:lang w:val="en-US" w:eastAsia="zh-CN"/>
        </w:rPr>
        <w:t>19</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解决争议的方法</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19.2 选择仲裁的，应在</w:t>
      </w:r>
      <w:r>
        <w:rPr>
          <w:rFonts w:ascii="宋体" w:eastAsia="宋体" w:hAnsi="宋体" w:cs="宋体" w:hint="eastAsia"/>
          <w:b/>
          <w:bCs/>
          <w:color w:val="auto"/>
          <w:sz w:val="21"/>
          <w:szCs w:val="21"/>
          <w:highlight w:val="none"/>
          <w:lang w:val="en-US" w:eastAsia="zh-CN" w:bidi="ar-SA"/>
        </w:rPr>
        <w:t>【政府采购合同专用条款】</w:t>
      </w:r>
      <w:r>
        <w:rPr>
          <w:rFonts w:ascii="宋体" w:eastAsia="宋体" w:hAnsi="宋体" w:cs="宋体" w:hint="eastAsia"/>
          <w:sz w:val="21"/>
          <w:szCs w:val="21"/>
          <w:lang w:val="en-US" w:eastAsia="zh-CN" w:bidi="ar-SA"/>
        </w:rPr>
        <w:t>中明确仲裁机构及仲裁地；通过诉讼方式解决的，可以在</w:t>
      </w:r>
      <w:r>
        <w:rPr>
          <w:rFonts w:ascii="宋体" w:eastAsia="宋体" w:hAnsi="宋体" w:cs="宋体" w:hint="eastAsia"/>
          <w:b/>
          <w:bCs/>
          <w:color w:val="auto"/>
          <w:sz w:val="21"/>
          <w:szCs w:val="21"/>
          <w:highlight w:val="none"/>
          <w:lang w:val="en-US" w:eastAsia="zh-CN" w:bidi="ar-SA"/>
        </w:rPr>
        <w:t>【政府采购合同专用条款】</w:t>
      </w:r>
      <w:r>
        <w:rPr>
          <w:rFonts w:ascii="宋体" w:eastAsia="宋体" w:hAnsi="宋体" w:cs="宋体" w:hint="eastAsia"/>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outlineLvl w:val="9"/>
        <w:rPr>
          <w:rFonts w:ascii="宋体" w:eastAsia="宋体" w:hAnsi="宋体"/>
          <w:color w:val="auto"/>
          <w:sz w:val="24"/>
          <w:highlight w:val="none"/>
        </w:rPr>
      </w:pPr>
      <w:r>
        <w:rPr>
          <w:rFonts w:ascii="宋体" w:eastAsia="宋体" w:hAnsi="宋体" w:hint="eastAsia"/>
          <w:b/>
          <w:color w:val="auto"/>
          <w:sz w:val="24"/>
          <w:highlight w:val="none"/>
          <w:lang w:val="en-US" w:eastAsia="zh-CN"/>
        </w:rPr>
        <w:t>20</w:t>
      </w:r>
      <w:r>
        <w:rPr>
          <w:rFonts w:ascii="宋体" w:eastAsia="宋体" w:hAnsi="宋体" w:hint="eastAsia"/>
          <w:b/>
          <w:color w:val="auto"/>
          <w:sz w:val="24"/>
          <w:highlight w:val="none"/>
        </w:rPr>
        <w:t>.</w:t>
      </w:r>
      <w:r>
        <w:rPr>
          <w:rFonts w:ascii="宋体" w:eastAsia="宋体" w:hAnsi="宋体" w:hint="eastAsia"/>
          <w:b/>
          <w:color w:val="auto"/>
          <w:sz w:val="24"/>
          <w:highlight w:val="none"/>
          <w:lang w:val="en-US" w:eastAsia="zh-CN"/>
        </w:rPr>
        <w:t xml:space="preserve"> </w:t>
      </w:r>
      <w:r>
        <w:rPr>
          <w:rFonts w:ascii="宋体" w:eastAsia="宋体" w:hAnsi="宋体" w:hint="eastAsia"/>
          <w:b/>
          <w:color w:val="auto"/>
          <w:sz w:val="24"/>
          <w:highlight w:val="none"/>
        </w:rPr>
        <w:t>政府采购政策</w:t>
      </w:r>
    </w:p>
    <w:p>
      <w:pPr>
        <w:autoSpaceDE w:val="0"/>
        <w:autoSpaceDN w:val="0"/>
        <w:adjustRightInd w:val="0"/>
        <w:snapToGrid w:val="0"/>
        <w:spacing w:before="0" w:line="400" w:lineRule="exact"/>
        <w:ind w:firstLine="420" w:firstLineChars="200"/>
        <w:jc w:val="left"/>
        <w:outlineLvl w:val="9"/>
        <w:rPr>
          <w:rFonts w:ascii="宋体" w:eastAsia="宋体" w:hAnsi="宋体" w:hint="default"/>
          <w:color w:val="auto"/>
          <w:szCs w:val="21"/>
          <w:highlight w:val="none"/>
          <w:lang w:val="en-US" w:eastAsia="zh-CN"/>
        </w:rPr>
      </w:pPr>
      <w:r>
        <w:rPr>
          <w:rFonts w:ascii="宋体" w:eastAsia="宋体" w:hAnsi="宋体" w:hint="eastAsia"/>
          <w:color w:val="auto"/>
          <w:szCs w:val="21"/>
          <w:highlight w:val="none"/>
          <w:lang w:val="en-US" w:eastAsia="zh-CN"/>
        </w:rPr>
        <w:t xml:space="preserve">20.1 </w:t>
      </w:r>
      <w:r>
        <w:rPr>
          <w:rFonts w:ascii="宋体" w:eastAsia="宋体" w:hAnsi="宋体" w:cs="宋体" w:hint="eastAsia"/>
          <w:lang w:val="en-GB"/>
        </w:rPr>
        <w:t>本合同应当按照规定执行政府采购政策。</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color w:val="auto"/>
          <w:szCs w:val="21"/>
          <w:highlight w:val="none"/>
        </w:rPr>
        <w:t>2</w:t>
      </w:r>
      <w:r>
        <w:rPr>
          <w:rFonts w:ascii="宋体" w:eastAsia="宋体" w:hAnsi="宋体" w:hint="eastAsia"/>
          <w:color w:val="auto"/>
          <w:szCs w:val="21"/>
          <w:highlight w:val="none"/>
          <w:lang w:val="en-US" w:eastAsia="zh-CN"/>
        </w:rPr>
        <w:t>0</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 xml:space="preserve"> 本合同依法执行政府采购政策的方式和内容，属于合同履约验收的范围。</w:t>
      </w:r>
      <w:r>
        <w:rPr>
          <w:rFonts w:ascii="宋体" w:eastAsia="宋体" w:hAnsi="宋体" w:cs="宋体" w:hint="eastAsia"/>
          <w:sz w:val="21"/>
          <w:lang w:eastAsia="zh-CN"/>
        </w:rPr>
        <w:t>甲乙双方</w:t>
      </w:r>
      <w:r>
        <w:rPr>
          <w:rFonts w:ascii="宋体" w:eastAsia="宋体" w:hAnsi="宋体" w:cs="宋体" w:hint="eastAsia"/>
          <w:lang w:val="en-GB"/>
        </w:rPr>
        <w:t>未按规定要求执行政府采购政策造成损失的</w:t>
      </w:r>
      <w:r>
        <w:rPr>
          <w:rFonts w:ascii="宋体" w:eastAsia="宋体" w:hAnsi="宋体" w:hint="eastAsia"/>
          <w:color w:val="auto"/>
          <w:szCs w:val="21"/>
          <w:highlight w:val="none"/>
        </w:rPr>
        <w:t>，有过错的一方应当承担赔偿责任，双方都有过错的，各自承担相应的责任。</w:t>
      </w:r>
    </w:p>
    <w:p>
      <w:pPr>
        <w:widowControl w:val="0"/>
        <w:spacing w:after="0" w:line="400" w:lineRule="exact"/>
        <w:ind w:firstLine="420" w:firstLineChars="200"/>
        <w:jc w:val="both"/>
        <w:outlineLvl w:val="9"/>
        <w:rPr>
          <w:rFonts w:ascii="Calibri" w:eastAsia="宋体" w:hAnsi="Calibri" w:cs="Times New Roman"/>
          <w:color w:val="auto"/>
          <w:kern w:val="2"/>
          <w:sz w:val="21"/>
          <w:szCs w:val="22"/>
          <w:highlight w:val="none"/>
          <w:lang w:val="en-US" w:eastAsia="zh-CN" w:bidi="ar-SA"/>
        </w:rPr>
      </w:pPr>
      <w:r>
        <w:rPr>
          <w:rFonts w:ascii="宋体" w:eastAsia="宋体" w:hAnsi="宋体" w:cs="Times New Roman"/>
          <w:color w:val="auto"/>
          <w:kern w:val="2"/>
          <w:sz w:val="21"/>
          <w:szCs w:val="21"/>
          <w:highlight w:val="none"/>
          <w:lang w:val="en-US" w:eastAsia="zh-CN" w:bidi="ar-SA"/>
        </w:rPr>
        <w:t>2</w:t>
      </w:r>
      <w:r>
        <w:rPr>
          <w:rFonts w:ascii="宋体" w:eastAsia="宋体" w:hAnsi="宋体" w:cs="Times New Roman" w:hint="eastAsia"/>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outlineLvl w:val="9"/>
        <w:rPr>
          <w:rFonts w:ascii="宋体" w:eastAsia="宋体" w:hAnsi="宋体" w:hint="eastAsia"/>
          <w:b/>
          <w:color w:val="auto"/>
          <w:sz w:val="24"/>
          <w:highlight w:val="none"/>
        </w:rPr>
      </w:pPr>
      <w:r>
        <w:rPr>
          <w:rFonts w:ascii="宋体" w:eastAsia="宋体" w:hAnsi="宋体" w:hint="eastAsia"/>
          <w:b/>
          <w:color w:val="auto"/>
          <w:sz w:val="24"/>
          <w:highlight w:val="none"/>
        </w:rPr>
        <w:t>2</w:t>
      </w:r>
      <w:r>
        <w:rPr>
          <w:rFonts w:ascii="宋体" w:eastAsia="宋体" w:hAnsi="宋体" w:hint="eastAsia"/>
          <w:b/>
          <w:color w:val="auto"/>
          <w:sz w:val="24"/>
          <w:highlight w:val="none"/>
          <w:lang w:val="en-US" w:eastAsia="zh-CN"/>
        </w:rPr>
        <w:t>1</w:t>
      </w:r>
      <w:r>
        <w:rPr>
          <w:rFonts w:ascii="宋体" w:eastAsia="宋体" w:hAnsi="宋体" w:hint="eastAsia"/>
          <w:b/>
          <w:color w:val="auto"/>
          <w:sz w:val="24"/>
          <w:highlight w:val="none"/>
        </w:rPr>
        <w:t>.</w:t>
      </w:r>
      <w:r>
        <w:rPr>
          <w:rFonts w:ascii="宋体" w:eastAsia="宋体" w:hAnsi="宋体" w:hint="eastAsia"/>
          <w:b/>
          <w:color w:val="auto"/>
          <w:sz w:val="24"/>
          <w:highlight w:val="none"/>
          <w:lang w:val="en-US" w:eastAsia="zh-CN"/>
        </w:rPr>
        <w:t xml:space="preserve"> </w:t>
      </w:r>
      <w:r>
        <w:rPr>
          <w:rFonts w:ascii="宋体" w:eastAsia="宋体" w:hAnsi="宋体" w:hint="eastAsia"/>
          <w:b/>
          <w:color w:val="auto"/>
          <w:sz w:val="24"/>
          <w:highlight w:val="none"/>
        </w:rPr>
        <w:t>法律适用</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color w:val="auto"/>
          <w:sz w:val="24"/>
          <w:highlight w:val="none"/>
          <w:lang w:val="en-US" w:eastAsia="zh-CN"/>
        </w:rPr>
        <w:t xml:space="preserve">22. </w:t>
      </w:r>
      <w:r>
        <w:rPr>
          <w:rFonts w:ascii="宋体" w:eastAsia="宋体" w:hAnsi="宋体" w:hint="eastAsia"/>
          <w:b/>
          <w:color w:val="auto"/>
          <w:sz w:val="24"/>
          <w:highlight w:val="none"/>
        </w:rPr>
        <w:t>通知</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outlineLvl w:val="9"/>
        <w:rPr>
          <w:rFonts w:ascii="华文楷体" w:eastAsia="华文楷体" w:hAnsi="华文楷体" w:cs="华文楷体"/>
          <w:sz w:val="21"/>
          <w:szCs w:val="21"/>
          <w:lang w:val="en-US" w:eastAsia="zh-CN" w:bidi="ar-SA"/>
        </w:rPr>
      </w:pPr>
      <w:r>
        <w:rPr>
          <w:rFonts w:ascii="宋体" w:eastAsia="宋体" w:hAnsi="宋体" w:cs="宋体" w:hint="eastAsia"/>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3</w:t>
      </w:r>
      <w:r>
        <w:rPr>
          <w:rFonts w:ascii="宋体" w:eastAsia="宋体" w:hAnsi="宋体" w:hint="eastAsia"/>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4</w:t>
      </w:r>
      <w:r>
        <w:rPr>
          <w:rFonts w:ascii="宋体" w:eastAsia="宋体" w:hAnsi="宋体" w:hint="eastAsia"/>
          <w:color w:val="auto"/>
          <w:szCs w:val="21"/>
          <w:highlight w:val="none"/>
        </w:rPr>
        <w:t>通知以送达之日或通知书中规定的生效之日起生效，两者中以较迟之日为准。</w:t>
      </w:r>
    </w:p>
    <w:p>
      <w:pPr>
        <w:numPr>
          <w:ilvl w:val="0"/>
          <w:numId w:val="15"/>
        </w:numPr>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合同未尽事项</w:t>
      </w:r>
    </w:p>
    <w:p>
      <w:pPr>
        <w:adjustRightInd w:val="0"/>
        <w:snapToGrid w:val="0"/>
        <w:spacing w:before="0" w:line="400" w:lineRule="exact"/>
        <w:ind w:firstLine="420" w:firstLineChars="200"/>
        <w:jc w:val="left"/>
        <w:outlineLvl w:val="9"/>
        <w:rPr>
          <w:rFonts w:ascii="宋体" w:eastAsia="宋体" w:hAnsi="宋体" w:hint="eastAsia"/>
          <w:bCs/>
          <w:color w:val="auto"/>
          <w:szCs w:val="21"/>
          <w:highlight w:val="none"/>
        </w:rPr>
      </w:pPr>
      <w:r>
        <w:rPr>
          <w:rFonts w:ascii="宋体" w:eastAsia="宋体" w:hAnsi="宋体" w:hint="eastAsia"/>
          <w:bCs/>
          <w:color w:val="auto"/>
          <w:szCs w:val="21"/>
          <w:highlight w:val="none"/>
        </w:rPr>
        <w:t>2</w:t>
      </w:r>
      <w:r>
        <w:rPr>
          <w:rFonts w:ascii="宋体" w:eastAsia="宋体" w:hAnsi="宋体" w:hint="eastAsia"/>
          <w:bCs/>
          <w:color w:val="auto"/>
          <w:szCs w:val="21"/>
          <w:highlight w:val="none"/>
          <w:lang w:val="en-US" w:eastAsia="zh-CN"/>
        </w:rPr>
        <w:t>3</w:t>
      </w:r>
      <w:r>
        <w:rPr>
          <w:rFonts w:ascii="宋体" w:eastAsia="宋体" w:hAnsi="宋体" w:hint="eastAsia"/>
          <w:bCs/>
          <w:color w:val="auto"/>
          <w:szCs w:val="21"/>
          <w:highlight w:val="none"/>
        </w:rPr>
        <w:t>.1合同未尽事项见</w:t>
      </w:r>
      <w:r>
        <w:rPr>
          <w:rFonts w:ascii="宋体" w:eastAsia="宋体" w:hAnsi="宋体" w:hint="eastAsia"/>
          <w:b/>
          <w:color w:val="auto"/>
          <w:szCs w:val="21"/>
          <w:highlight w:val="none"/>
        </w:rPr>
        <w:t>【政府采购合同专用条款】</w:t>
      </w:r>
      <w:r>
        <w:rPr>
          <w:rFonts w:ascii="宋体" w:eastAsia="宋体" w:hAnsi="宋体" w:hint="eastAsia"/>
          <w:bCs/>
          <w:color w:val="auto"/>
          <w:szCs w:val="21"/>
          <w:highlight w:val="none"/>
        </w:rPr>
        <w:t>。</w:t>
      </w:r>
    </w:p>
    <w:p>
      <w:pPr>
        <w:adjustRightInd w:val="0"/>
        <w:snapToGrid w:val="0"/>
        <w:spacing w:line="400" w:lineRule="exact"/>
        <w:ind w:firstLine="0" w:firstLineChars="0"/>
        <w:jc w:val="left"/>
        <w:outlineLvl w:val="9"/>
        <w:rPr>
          <w:rFonts w:ascii="黑体" w:eastAsia="黑体" w:hAnsi="华文中宋"/>
          <w:color w:val="auto"/>
          <w:sz w:val="28"/>
          <w:szCs w:val="28"/>
        </w:rPr>
      </w:pPr>
      <w:r>
        <w:rPr>
          <w:rFonts w:ascii="宋体" w:eastAsia="宋体" w:hAnsi="宋体" w:hint="eastAsia"/>
          <w:bCs/>
          <w:color w:val="auto"/>
          <w:szCs w:val="21"/>
          <w:highlight w:val="none"/>
          <w:lang w:val="en-US" w:eastAsia="zh-CN"/>
        </w:rPr>
        <w:t xml:space="preserve">    23.2 合同附件与合同正文具有同等的法律效力。</w:t>
      </w:r>
      <w:bookmarkStart w:id="89" w:name="_Toc20313"/>
    </w:p>
    <w:p>
      <w:pPr>
        <w:adjustRightInd w:val="0"/>
        <w:snapToGrid w:val="0"/>
        <w:jc w:val="center"/>
        <w:outlineLvl w:val="9"/>
        <w:rPr>
          <w:rFonts w:ascii="黑体" w:eastAsia="黑体" w:hAnsi="华文中宋" w:hint="eastAsia"/>
          <w:b w:val="0"/>
          <w:bCs w:val="0"/>
          <w:sz w:val="28"/>
          <w:szCs w:val="28"/>
        </w:rPr>
      </w:pPr>
      <w:r>
        <w:rPr>
          <w:rFonts w:ascii="黑体" w:eastAsia="黑体" w:hAnsi="华文中宋" w:hint="eastAsia"/>
          <w:b w:val="0"/>
          <w:bCs w:val="0"/>
          <w:sz w:val="28"/>
          <w:szCs w:val="28"/>
        </w:rPr>
        <w:br w:type="page"/>
      </w:r>
    </w:p>
    <w:p>
      <w:pPr>
        <w:keepNext/>
        <w:keepLines/>
        <w:widowControl w:val="0"/>
        <w:adjustRightInd w:val="0"/>
        <w:snapToGrid w:val="0"/>
        <w:spacing w:line="360" w:lineRule="auto"/>
        <w:jc w:val="center"/>
        <w:outlineLvl w:val="9"/>
        <w:rPr>
          <w:rFonts w:ascii="黑体" w:eastAsia="黑体" w:hAnsi="华文中宋" w:cs="Times New Roman"/>
          <w:b w:val="0"/>
          <w:bCs w:val="0"/>
          <w:kern w:val="2"/>
          <w:sz w:val="28"/>
          <w:szCs w:val="28"/>
          <w:lang w:val="en-US" w:eastAsia="zh-CN" w:bidi="ar-SA"/>
        </w:rPr>
      </w:pPr>
      <w:r>
        <w:rPr>
          <w:rFonts w:ascii="黑体" w:eastAsia="黑体" w:hAnsi="华文中宋" w:cs="Times New Roman" w:hint="eastAsia"/>
          <w:b w:val="0"/>
          <w:bCs w:val="0"/>
          <w:kern w:val="2"/>
          <w:sz w:val="28"/>
          <w:szCs w:val="28"/>
          <w:lang w:val="en-US" w:eastAsia="zh-CN" w:bidi="ar-SA"/>
        </w:rPr>
        <w:t>第三节 政府采购合同专用条款</w:t>
      </w:r>
      <w:bookmarkEnd w:id="89"/>
    </w:p>
    <w:tbl>
      <w:tblPr>
        <w:tblStyle w:val="TableNormal"/>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7"/>
        <w:gridCol w:w="1742"/>
        <w:gridCol w:w="5170"/>
      </w:tblGrid>
      <w:tr>
        <w:tblPrEx>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第1.2（</w:t>
            </w:r>
            <w:r>
              <w:rPr>
                <w:rFonts w:ascii="宋体" w:eastAsia="宋体" w:hAnsi="宋体" w:hint="eastAsia"/>
                <w:szCs w:val="21"/>
                <w:lang w:val="en-US" w:eastAsia="zh-CN"/>
              </w:rPr>
              <w:t>6</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lang w:eastAsia="zh-CN"/>
              </w:rPr>
              <w:t>联合体具体要求</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604"/>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cs="Times New Roman" w:hint="eastAsia"/>
                <w:kern w:val="2"/>
                <w:sz w:val="21"/>
                <w:szCs w:val="21"/>
                <w:lang w:val="en-US" w:eastAsia="zh-CN" w:bidi="ar-SA"/>
              </w:rPr>
            </w:pPr>
            <w:r>
              <w:rPr>
                <w:rFonts w:ascii="宋体" w:eastAsia="宋体" w:hAnsi="宋体" w:hint="eastAsia"/>
                <w:szCs w:val="21"/>
              </w:rPr>
              <w:t>第1.2（</w:t>
            </w:r>
            <w:r>
              <w:rPr>
                <w:rFonts w:ascii="宋体" w:eastAsia="宋体" w:hAnsi="宋体" w:hint="eastAsia"/>
                <w:szCs w:val="21"/>
                <w:lang w:val="en-US" w:eastAsia="zh-CN"/>
              </w:rPr>
              <w:t>7</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cs="Times New Roman" w:hint="eastAsia"/>
                <w:kern w:val="2"/>
                <w:sz w:val="21"/>
                <w:szCs w:val="21"/>
                <w:lang w:val="en-US" w:eastAsia="zh-CN" w:bidi="ar-SA"/>
              </w:rPr>
            </w:pPr>
            <w:r>
              <w:rPr>
                <w:rFonts w:ascii="宋体" w:eastAsia="宋体" w:hAnsi="宋体" w:hint="eastAsia"/>
                <w:szCs w:val="21"/>
              </w:rPr>
              <w:t>其他术语解释</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default"/>
                <w:szCs w:val="21"/>
                <w:lang w:val="en-US" w:eastAsia="zh-CN"/>
              </w:rPr>
            </w:pPr>
            <w:r>
              <w:rPr>
                <w:rFonts w:ascii="宋体" w:eastAsia="宋体" w:hAnsi="宋体" w:hint="eastAsia"/>
                <w:szCs w:val="21"/>
                <w:lang w:eastAsia="zh-CN"/>
              </w:rPr>
              <w:t>第</w:t>
            </w:r>
            <w:r>
              <w:rPr>
                <w:rFonts w:ascii="宋体" w:eastAsia="宋体" w:hAnsi="宋体" w:hint="eastAsia"/>
                <w:szCs w:val="21"/>
                <w:lang w:val="en-US" w:eastAsia="zh-CN"/>
              </w:rPr>
              <w:t>4.4款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履约验收中甲方提出异议或作出说明的期限</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lang w:eastAsia="zh-CN"/>
              </w:rPr>
              <w:t>第</w:t>
            </w:r>
            <w:r>
              <w:rPr>
                <w:rFonts w:ascii="宋体" w:eastAsia="宋体" w:hAnsi="宋体" w:hint="eastAsia"/>
                <w:szCs w:val="21"/>
                <w:lang w:val="en-US" w:eastAsia="zh-CN"/>
              </w:rPr>
              <w:t>4.6款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约定甲方承担的其他义务和责任</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hint="eastAsia"/>
                <w:szCs w:val="21"/>
                <w:lang w:eastAsia="zh-CN"/>
              </w:rPr>
            </w:pPr>
            <w:r>
              <w:rPr>
                <w:rFonts w:ascii="宋体" w:eastAsia="宋体" w:hAnsi="宋体" w:hint="eastAsia"/>
                <w:szCs w:val="21"/>
                <w:lang w:eastAsia="zh-CN"/>
              </w:rPr>
              <w:t>第二节</w:t>
            </w:r>
          </w:p>
          <w:p>
            <w:pPr>
              <w:snapToGrid w:val="0"/>
              <w:jc w:val="center"/>
              <w:outlineLvl w:val="9"/>
              <w:rPr>
                <w:rFonts w:eastAsia="宋体" w:hint="default"/>
                <w:lang w:val="en-US" w:eastAsia="zh-CN"/>
              </w:rPr>
            </w:pPr>
            <w:r>
              <w:rPr>
                <w:rFonts w:ascii="宋体" w:eastAsia="宋体" w:hAnsi="宋体" w:hint="eastAsia"/>
                <w:szCs w:val="21"/>
                <w:lang w:eastAsia="zh-CN"/>
              </w:rPr>
              <w:t>第</w:t>
            </w:r>
            <w:r>
              <w:rPr>
                <w:rFonts w:ascii="宋体" w:eastAsia="宋体" w:hAnsi="宋体" w:hint="eastAsia"/>
                <w:szCs w:val="21"/>
                <w:lang w:val="en-US" w:eastAsia="zh-CN"/>
              </w:rPr>
              <w:t>5.4款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约定乙方承担的其他义务和责任</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hint="eastAsia"/>
                <w:szCs w:val="21"/>
                <w:lang w:eastAsia="zh-CN"/>
              </w:rPr>
            </w:pPr>
            <w:r>
              <w:rPr>
                <w:rFonts w:ascii="宋体" w:eastAsia="宋体" w:hAnsi="宋体" w:hint="eastAsia"/>
                <w:szCs w:val="21"/>
                <w:lang w:eastAsia="zh-CN"/>
              </w:rPr>
              <w:t>第二节</w:t>
            </w:r>
          </w:p>
          <w:p>
            <w:pPr>
              <w:snapToGrid w:val="0"/>
              <w:jc w:val="center"/>
              <w:outlineLvl w:val="9"/>
              <w:rPr>
                <w:rFonts w:ascii="宋体" w:eastAsia="宋体" w:hAnsi="宋体" w:hint="eastAsia"/>
                <w:szCs w:val="21"/>
                <w:lang w:eastAsia="zh-CN"/>
              </w:rPr>
            </w:pPr>
            <w:r>
              <w:rPr>
                <w:rFonts w:ascii="宋体" w:eastAsia="宋体" w:hAnsi="宋体" w:hint="eastAsia"/>
                <w:szCs w:val="21"/>
                <w:lang w:eastAsia="zh-CN"/>
              </w:rPr>
              <w:t>第</w:t>
            </w:r>
            <w:r>
              <w:rPr>
                <w:rFonts w:ascii="宋体" w:eastAsia="宋体" w:hAnsi="宋体" w:hint="eastAsia"/>
                <w:szCs w:val="21"/>
                <w:lang w:val="en-US" w:eastAsia="zh-CN"/>
              </w:rPr>
              <w:t>6.1款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履行合同义务的顺序</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667"/>
        </w:trPr>
        <w:tc>
          <w:tcPr>
            <w:tcW w:w="1607" w:type="dxa"/>
            <w:vMerge w:val="restart"/>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7</w:t>
            </w:r>
            <w:r>
              <w:rPr>
                <w:rFonts w:ascii="宋体" w:eastAsia="宋体" w:hAnsi="宋体" w:hint="eastAsia"/>
                <w:szCs w:val="21"/>
              </w:rPr>
              <w:t>.1</w:t>
            </w:r>
            <w:r>
              <w:rPr>
                <w:rFonts w:ascii="宋体" w:eastAsia="宋体" w:hAnsi="宋体" w:hint="eastAsia"/>
                <w:szCs w:val="21"/>
                <w:lang w:val="en-US" w:eastAsia="zh-CN"/>
              </w:rPr>
              <w:t>款</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包装</w:t>
            </w:r>
            <w:r>
              <w:rPr>
                <w:rFonts w:ascii="宋体" w:eastAsia="宋体" w:hAnsi="宋体" w:hint="eastAsia"/>
                <w:szCs w:val="21"/>
                <w:lang w:eastAsia="zh-CN"/>
              </w:rPr>
              <w:t>特殊要求</w:t>
            </w:r>
          </w:p>
        </w:tc>
        <w:tc>
          <w:tcPr>
            <w:tcW w:w="5170" w:type="dxa"/>
            <w:vAlign w:val="center"/>
          </w:tcPr>
          <w:p>
            <w:pPr>
              <w:outlineLvl w:val="9"/>
              <w:rPr>
                <w:rFonts w:eastAsia="宋体"/>
              </w:rPr>
            </w:pPr>
          </w:p>
        </w:tc>
      </w:tr>
      <w:tr>
        <w:tblPrEx>
          <w:tblW w:w="8519" w:type="dxa"/>
          <w:tblInd w:w="108" w:type="dxa"/>
          <w:tblLayout w:type="fixed"/>
          <w:tblCellMar>
            <w:top w:w="0" w:type="dxa"/>
            <w:left w:w="108" w:type="dxa"/>
            <w:bottom w:w="0" w:type="dxa"/>
            <w:right w:w="108" w:type="dxa"/>
          </w:tblCellMar>
        </w:tblPrEx>
        <w:trPr>
          <w:trHeight w:val="667"/>
        </w:trPr>
        <w:tc>
          <w:tcPr>
            <w:tcW w:w="1607" w:type="dxa"/>
            <w:vMerge/>
            <w:vAlign w:val="center"/>
          </w:tcPr>
          <w:p>
            <w:pPr>
              <w:adjustRightInd w:val="0"/>
              <w:snapToGrid w:val="0"/>
              <w:jc w:val="center"/>
              <w:outlineLvl w:val="9"/>
              <w:rPr>
                <w:rFonts w:ascii="宋体" w:eastAsia="宋体" w:hAnsi="宋体" w:hint="eastAsia"/>
                <w:szCs w:val="21"/>
              </w:rPr>
            </w:pP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指定现场</w:t>
            </w:r>
          </w:p>
        </w:tc>
        <w:tc>
          <w:tcPr>
            <w:tcW w:w="5170" w:type="dxa"/>
            <w:vAlign w:val="center"/>
          </w:tcPr>
          <w:p>
            <w:pPr>
              <w:outlineLvl w:val="9"/>
              <w:rPr>
                <w:rFonts w:eastAsia="宋体" w:hint="eastAsia"/>
              </w:rPr>
            </w:pPr>
          </w:p>
        </w:tc>
      </w:tr>
      <w:tr>
        <w:tblPrEx>
          <w:tblW w:w="8519" w:type="dxa"/>
          <w:tblInd w:w="108" w:type="dxa"/>
          <w:tblLayout w:type="fixed"/>
          <w:tblCellMar>
            <w:top w:w="0" w:type="dxa"/>
            <w:left w:w="108" w:type="dxa"/>
            <w:bottom w:w="0" w:type="dxa"/>
            <w:right w:w="108" w:type="dxa"/>
          </w:tblCellMar>
        </w:tblPrEx>
        <w:trPr>
          <w:trHeight w:val="772"/>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7</w:t>
            </w:r>
            <w:r>
              <w:rPr>
                <w:rFonts w:ascii="宋体" w:eastAsia="宋体" w:hAnsi="宋体" w:hint="eastAsia"/>
                <w:szCs w:val="21"/>
              </w:rPr>
              <w:t>.2</w:t>
            </w:r>
            <w:r>
              <w:rPr>
                <w:rFonts w:ascii="宋体" w:eastAsia="宋体" w:hAnsi="宋体" w:hint="eastAsia"/>
                <w:szCs w:val="21"/>
                <w:lang w:val="en-US" w:eastAsia="zh-CN"/>
              </w:rPr>
              <w:t>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运输特殊要求</w:t>
            </w:r>
          </w:p>
        </w:tc>
        <w:tc>
          <w:tcPr>
            <w:tcW w:w="5170" w:type="dxa"/>
            <w:vAlign w:val="center"/>
          </w:tcPr>
          <w:p>
            <w:pPr>
              <w:outlineLvl w:val="9"/>
              <w:rPr>
                <w:rFonts w:eastAsia="宋体" w:hint="eastAsia"/>
              </w:rPr>
            </w:pPr>
          </w:p>
        </w:tc>
      </w:tr>
      <w:tr>
        <w:tblPrEx>
          <w:tblW w:w="8519" w:type="dxa"/>
          <w:tblInd w:w="108" w:type="dxa"/>
          <w:tblLayout w:type="fixed"/>
          <w:tblCellMar>
            <w:top w:w="0" w:type="dxa"/>
            <w:left w:w="108" w:type="dxa"/>
            <w:bottom w:w="0" w:type="dxa"/>
            <w:right w:w="108" w:type="dxa"/>
          </w:tblCellMar>
        </w:tblPrEx>
        <w:trPr>
          <w:trHeight w:val="667"/>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7</w:t>
            </w:r>
            <w:r>
              <w:rPr>
                <w:rFonts w:ascii="宋体" w:eastAsia="宋体" w:hAnsi="宋体" w:hint="eastAsia"/>
                <w:szCs w:val="21"/>
              </w:rPr>
              <w:t>.3</w:t>
            </w:r>
            <w:r>
              <w:rPr>
                <w:rFonts w:ascii="宋体" w:eastAsia="宋体" w:hAnsi="宋体" w:hint="eastAsia"/>
                <w:szCs w:val="21"/>
                <w:lang w:val="en-US" w:eastAsia="zh-CN"/>
              </w:rPr>
              <w:t>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保险要求</w:t>
            </w:r>
          </w:p>
        </w:tc>
        <w:tc>
          <w:tcPr>
            <w:tcW w:w="5170" w:type="dxa"/>
            <w:vAlign w:val="center"/>
          </w:tcPr>
          <w:p>
            <w:pPr>
              <w:outlineLvl w:val="9"/>
              <w:rPr>
                <w:rFonts w:eastAsia="宋体" w:hint="eastAsi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8</w:t>
            </w:r>
            <w:r>
              <w:rPr>
                <w:rFonts w:ascii="宋体" w:eastAsia="宋体" w:hAnsi="宋体" w:hint="eastAsia"/>
                <w:szCs w:val="21"/>
              </w:rPr>
              <w:t>.2（1）项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质量保证期</w:t>
            </w:r>
          </w:p>
        </w:tc>
        <w:tc>
          <w:tcPr>
            <w:tcW w:w="5170" w:type="dxa"/>
            <w:vAlign w:val="center"/>
          </w:tcPr>
          <w:p>
            <w:pPr>
              <w:autoSpaceDE w:val="0"/>
              <w:autoSpaceDN w:val="0"/>
              <w:adjustRightInd w:val="0"/>
              <w:snapToGrid w:val="0"/>
              <w:ind w:firstLine="420" w:firstLineChars="20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8</w:t>
            </w:r>
            <w:r>
              <w:rPr>
                <w:rFonts w:ascii="宋体" w:eastAsia="宋体" w:hAnsi="宋体" w:hint="eastAsia"/>
                <w:szCs w:val="21"/>
              </w:rPr>
              <w:t>.2（3）项</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货物质量缺陷</w:t>
            </w:r>
          </w:p>
          <w:p>
            <w:pPr>
              <w:adjustRightInd w:val="0"/>
              <w:snapToGrid w:val="0"/>
              <w:jc w:val="left"/>
              <w:outlineLvl w:val="9"/>
              <w:rPr>
                <w:rFonts w:ascii="宋体" w:eastAsia="宋体" w:hAnsi="宋体"/>
                <w:szCs w:val="21"/>
              </w:rPr>
            </w:pPr>
            <w:r>
              <w:rPr>
                <w:rFonts w:ascii="宋体" w:eastAsia="宋体" w:hAnsi="宋体" w:hint="eastAsia"/>
                <w:szCs w:val="21"/>
              </w:rPr>
              <w:t>响应时间</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snapToGrid w:val="0"/>
              <w:jc w:val="center"/>
              <w:outlineLvl w:val="9"/>
              <w:rPr>
                <w:rFonts w:ascii="宋体" w:eastAsia="宋体" w:hAnsi="宋体" w:cs="宋体" w:hint="eastAsia"/>
                <w:szCs w:val="21"/>
                <w:lang w:val="en-US" w:eastAsia="zh-CN"/>
              </w:rPr>
            </w:pPr>
            <w:r>
              <w:rPr>
                <w:rFonts w:ascii="宋体" w:eastAsia="宋体" w:hAnsi="宋体" w:cs="宋体" w:hint="eastAsia"/>
                <w:szCs w:val="21"/>
                <w:lang w:val="en-US" w:eastAsia="zh-CN"/>
              </w:rPr>
              <w:t>第二节</w:t>
            </w:r>
          </w:p>
          <w:p>
            <w:pPr>
              <w:autoSpaceDE w:val="0"/>
              <w:autoSpaceDN w:val="0"/>
              <w:adjustRightInd w:val="0"/>
              <w:spacing w:line="400" w:lineRule="exact"/>
              <w:ind w:firstLine="0" w:firstLineChars="0"/>
              <w:jc w:val="center"/>
              <w:outlineLvl w:val="9"/>
              <w:rPr>
                <w:rFonts w:ascii="华文楷体" w:eastAsia="华文楷体" w:hAnsi="华文楷体" w:cs="华文楷体" w:hint="default"/>
                <w:sz w:val="22"/>
                <w:szCs w:val="21"/>
                <w:lang w:val="en-US" w:eastAsia="zh-CN" w:bidi="ar-SA"/>
              </w:rPr>
            </w:pPr>
            <w:r>
              <w:rPr>
                <w:rFonts w:ascii="宋体" w:eastAsia="宋体" w:hAnsi="宋体" w:cs="宋体" w:hint="eastAsia"/>
                <w:sz w:val="22"/>
                <w:szCs w:val="21"/>
                <w:lang w:val="en-US" w:eastAsia="zh-CN" w:bidi="ar-SA"/>
              </w:rPr>
              <w:t>第11.1款</w:t>
            </w:r>
          </w:p>
        </w:tc>
        <w:tc>
          <w:tcPr>
            <w:tcW w:w="1742" w:type="dxa"/>
            <w:vAlign w:val="center"/>
          </w:tcPr>
          <w:p>
            <w:pPr>
              <w:adjustRightInd w:val="0"/>
              <w:snapToGrid w:val="0"/>
              <w:jc w:val="both"/>
              <w:outlineLvl w:val="9"/>
              <w:rPr>
                <w:rFonts w:ascii="宋体" w:eastAsia="宋体" w:hAnsi="宋体" w:hint="default"/>
                <w:szCs w:val="21"/>
                <w:lang w:val="en-US" w:eastAsia="zh-CN"/>
              </w:rPr>
            </w:pPr>
            <w:r>
              <w:rPr>
                <w:rFonts w:ascii="宋体" w:eastAsia="宋体" w:hAnsi="宋体" w:hint="eastAsia"/>
                <w:szCs w:val="21"/>
                <w:lang w:val="en-US" w:eastAsia="zh-CN"/>
              </w:rPr>
              <w:t>其他应当保密的信息</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697"/>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2</w:t>
            </w:r>
            <w:r>
              <w:rPr>
                <w:rFonts w:ascii="宋体" w:eastAsia="宋体" w:hAnsi="宋体" w:hint="eastAsia"/>
                <w:szCs w:val="21"/>
              </w:rPr>
              <w:t>.2款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rPr>
              <w:t>合同价款支付</w:t>
            </w:r>
            <w:r>
              <w:rPr>
                <w:rFonts w:ascii="宋体" w:eastAsia="宋体" w:hAnsi="宋体" w:hint="eastAsia"/>
                <w:szCs w:val="21"/>
                <w:lang w:eastAsia="zh-CN"/>
              </w:rPr>
              <w:t>时间</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697"/>
        </w:trPr>
        <w:tc>
          <w:tcPr>
            <w:tcW w:w="1607" w:type="dxa"/>
            <w:vAlign w:val="center"/>
          </w:tcPr>
          <w:p>
            <w:pPr>
              <w:adjustRightInd w:val="0"/>
              <w:snapToGrid w:val="0"/>
              <w:jc w:val="center"/>
              <w:outlineLvl w:val="9"/>
              <w:rPr>
                <w:rFonts w:ascii="宋体" w:eastAsia="宋体" w:hAnsi="宋体" w:hint="eastAsia"/>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13.2</w:t>
            </w:r>
            <w:r>
              <w:rPr>
                <w:rFonts w:ascii="宋体" w:eastAsia="宋体" w:hAnsi="宋体" w:hint="eastAsia"/>
                <w:szCs w:val="21"/>
              </w:rPr>
              <w:t>款</w:t>
            </w:r>
          </w:p>
        </w:tc>
        <w:tc>
          <w:tcPr>
            <w:tcW w:w="1742" w:type="dxa"/>
            <w:vAlign w:val="center"/>
          </w:tcPr>
          <w:p>
            <w:pPr>
              <w:adjustRightInd w:val="0"/>
              <w:snapToGrid w:val="0"/>
              <w:jc w:val="left"/>
              <w:outlineLvl w:val="9"/>
              <w:rPr>
                <w:rFonts w:ascii="宋体" w:eastAsia="宋体" w:hAnsi="宋体" w:hint="default"/>
                <w:szCs w:val="21"/>
                <w:lang w:val="en-US" w:eastAsia="zh-CN"/>
              </w:rPr>
            </w:pPr>
            <w:r>
              <w:rPr>
                <w:rFonts w:ascii="宋体" w:eastAsia="宋体" w:hAnsi="宋体" w:hint="eastAsia"/>
                <w:szCs w:val="21"/>
                <w:lang w:val="en-US" w:eastAsia="zh-CN"/>
              </w:rPr>
              <w:t>履约保证金不予退还的情形</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hint="eastAsia"/>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13.3</w:t>
            </w:r>
            <w:r>
              <w:rPr>
                <w:rFonts w:ascii="宋体" w:eastAsia="宋体" w:hAnsi="宋体" w:hint="eastAsia"/>
                <w:szCs w:val="21"/>
              </w:rPr>
              <w:t>款</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履约保证金退还时间及</w:t>
            </w:r>
            <w:r>
              <w:rPr>
                <w:rFonts w:ascii="宋体" w:eastAsia="宋体" w:hAnsi="宋体" w:hint="eastAsia"/>
                <w:szCs w:val="21"/>
                <w:lang w:eastAsia="zh-CN"/>
              </w:rPr>
              <w:t>逾期退还的</w:t>
            </w:r>
            <w:r>
              <w:rPr>
                <w:rFonts w:ascii="宋体" w:eastAsia="宋体" w:hAnsi="宋体" w:hint="eastAsia"/>
                <w:szCs w:val="21"/>
              </w:rPr>
              <w:t>违约金</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84"/>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第1</w:t>
            </w:r>
            <w:r>
              <w:rPr>
                <w:rFonts w:ascii="宋体" w:eastAsia="宋体" w:hAnsi="宋体" w:hint="eastAsia"/>
                <w:szCs w:val="21"/>
                <w:lang w:val="en-US" w:eastAsia="zh-CN"/>
              </w:rPr>
              <w:t>4</w:t>
            </w:r>
            <w:r>
              <w:rPr>
                <w:rFonts w:ascii="宋体" w:eastAsia="宋体" w:hAnsi="宋体" w:hint="eastAsia"/>
                <w:szCs w:val="21"/>
              </w:rPr>
              <w:t>.1（</w:t>
            </w:r>
            <w:r>
              <w:rPr>
                <w:rFonts w:ascii="宋体" w:eastAsia="宋体" w:hAnsi="宋体" w:hint="eastAsia"/>
                <w:szCs w:val="21"/>
                <w:lang w:val="en-US" w:eastAsia="zh-CN"/>
              </w:rPr>
              <w:t>3</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hint="eastAsia"/>
                <w:szCs w:val="21"/>
                <w:lang w:val="en-US" w:eastAsia="zh-CN"/>
              </w:rPr>
            </w:pPr>
            <w:r>
              <w:rPr>
                <w:rFonts w:ascii="宋体" w:eastAsia="宋体" w:hAnsi="宋体" w:hint="eastAsia"/>
                <w:szCs w:val="21"/>
                <w:lang w:val="en-US" w:eastAsia="zh-CN"/>
              </w:rPr>
              <w:t>运行监督、维修期限</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84"/>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第1</w:t>
            </w:r>
            <w:r>
              <w:rPr>
                <w:rFonts w:ascii="宋体" w:eastAsia="宋体" w:hAnsi="宋体" w:hint="eastAsia"/>
                <w:szCs w:val="21"/>
                <w:lang w:val="en-US" w:eastAsia="zh-CN"/>
              </w:rPr>
              <w:t>4</w:t>
            </w:r>
            <w:r>
              <w:rPr>
                <w:rFonts w:ascii="宋体" w:eastAsia="宋体" w:hAnsi="宋体" w:hint="eastAsia"/>
                <w:szCs w:val="21"/>
              </w:rPr>
              <w:t>.1（</w:t>
            </w:r>
            <w:r>
              <w:rPr>
                <w:rFonts w:ascii="宋体" w:eastAsia="宋体" w:hAnsi="宋体" w:hint="eastAsia"/>
                <w:szCs w:val="21"/>
                <w:lang w:val="en-US" w:eastAsia="zh-CN"/>
              </w:rPr>
              <w:t>5</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hint="default"/>
                <w:szCs w:val="21"/>
                <w:lang w:val="en-US" w:eastAsia="zh-CN"/>
              </w:rPr>
            </w:pPr>
            <w:r>
              <w:rPr>
                <w:rFonts w:ascii="宋体" w:eastAsia="宋体" w:hAnsi="宋体" w:hint="eastAsia"/>
                <w:szCs w:val="21"/>
                <w:lang w:val="en-US" w:eastAsia="zh-CN"/>
              </w:rPr>
              <w:t>货物回收的约定</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4</w:t>
            </w:r>
            <w:r>
              <w:rPr>
                <w:rFonts w:ascii="宋体" w:eastAsia="宋体" w:hAnsi="宋体" w:hint="eastAsia"/>
                <w:szCs w:val="21"/>
              </w:rPr>
              <w:t>.1（</w:t>
            </w:r>
            <w:r>
              <w:rPr>
                <w:rFonts w:ascii="宋体" w:eastAsia="宋体" w:hAnsi="宋体" w:hint="eastAsia"/>
                <w:szCs w:val="21"/>
                <w:lang w:val="en-US" w:eastAsia="zh-CN"/>
              </w:rPr>
              <w:t>6</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乙方提供的其他服务</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default"/>
                <w:szCs w:val="21"/>
                <w:lang w:val="en-US" w:eastAsia="zh-CN"/>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w:t>
            </w:r>
            <w:r>
              <w:rPr>
                <w:rFonts w:ascii="宋体" w:eastAsia="宋体" w:hAnsi="宋体" w:hint="eastAsia"/>
                <w:szCs w:val="21"/>
                <w:lang w:val="en-US" w:eastAsia="zh-CN"/>
              </w:rPr>
              <w:t>1款</w:t>
            </w:r>
          </w:p>
        </w:tc>
        <w:tc>
          <w:tcPr>
            <w:tcW w:w="1742" w:type="dxa"/>
            <w:vAlign w:val="center"/>
          </w:tcPr>
          <w:p>
            <w:pPr>
              <w:adjustRightInd w:val="0"/>
              <w:snapToGrid w:val="0"/>
              <w:jc w:val="left"/>
              <w:outlineLvl w:val="9"/>
              <w:rPr>
                <w:rFonts w:ascii="宋体" w:eastAsia="宋体" w:hAnsi="宋体" w:hint="eastAsia"/>
                <w:szCs w:val="21"/>
              </w:rPr>
            </w:pPr>
            <w:r>
              <w:rPr>
                <w:rFonts w:ascii="宋体" w:eastAsia="宋体" w:hAnsi="宋体" w:hint="eastAsia"/>
                <w:color w:val="auto"/>
                <w:szCs w:val="21"/>
                <w:highlight w:val="none"/>
                <w:lang w:eastAsia="zh-CN"/>
              </w:rPr>
              <w:t>修理、重作、更换相关具体规定</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.2（2）项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迟延交货赔偿费</w:t>
            </w:r>
          </w:p>
        </w:tc>
        <w:tc>
          <w:tcPr>
            <w:tcW w:w="5170" w:type="dxa"/>
            <w:vAlign w:val="center"/>
          </w:tcPr>
          <w:p>
            <w:pPr>
              <w:adjustRightInd w:val="0"/>
              <w:snapToGrid w:val="0"/>
              <w:jc w:val="left"/>
              <w:outlineLvl w:val="9"/>
              <w:rPr>
                <w:rFonts w:ascii="宋体" w:eastAsia="宋体" w:hAnsi="宋体"/>
                <w:szCs w:val="21"/>
                <w:u w:val="single"/>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w:t>
            </w:r>
            <w:r>
              <w:rPr>
                <w:rFonts w:ascii="宋体" w:eastAsia="宋体" w:hAnsi="宋体" w:hint="eastAsia"/>
                <w:szCs w:val="21"/>
                <w:lang w:val="en-US" w:eastAsia="zh-CN"/>
              </w:rPr>
              <w:t>3款</w:t>
            </w:r>
          </w:p>
        </w:tc>
        <w:tc>
          <w:tcPr>
            <w:tcW w:w="1742" w:type="dxa"/>
            <w:vAlign w:val="center"/>
          </w:tcPr>
          <w:p>
            <w:pPr>
              <w:adjustRightInd w:val="0"/>
              <w:snapToGrid w:val="0"/>
              <w:jc w:val="left"/>
              <w:outlineLvl w:val="9"/>
              <w:rPr>
                <w:rFonts w:ascii="宋体" w:eastAsia="宋体" w:hAnsi="宋体" w:hint="eastAsia"/>
                <w:szCs w:val="21"/>
              </w:rPr>
            </w:pPr>
            <w:r>
              <w:rPr>
                <w:rFonts w:ascii="宋体" w:eastAsia="宋体" w:hAnsi="宋体" w:hint="eastAsia"/>
                <w:szCs w:val="21"/>
              </w:rPr>
              <w:t>逾期付款利息</w:t>
            </w:r>
          </w:p>
        </w:tc>
        <w:tc>
          <w:tcPr>
            <w:tcW w:w="5170" w:type="dxa"/>
            <w:vAlign w:val="center"/>
          </w:tcPr>
          <w:p>
            <w:pPr>
              <w:adjustRightInd w:val="0"/>
              <w:snapToGrid w:val="0"/>
              <w:jc w:val="left"/>
              <w:outlineLvl w:val="9"/>
              <w:rPr>
                <w:rFonts w:ascii="宋体" w:eastAsia="宋体" w:hAnsi="宋体"/>
                <w:szCs w:val="21"/>
                <w:u w:val="single"/>
              </w:rPr>
            </w:pPr>
          </w:p>
        </w:tc>
      </w:tr>
      <w:tr>
        <w:tblPrEx>
          <w:tblW w:w="8519" w:type="dxa"/>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.4</w:t>
            </w:r>
            <w:r>
              <w:rPr>
                <w:rFonts w:ascii="宋体" w:eastAsia="宋体" w:hAnsi="宋体" w:hint="eastAsia"/>
                <w:szCs w:val="21"/>
                <w:lang w:val="en-US" w:eastAsia="zh-CN"/>
              </w:rPr>
              <w:t>款</w:t>
            </w:r>
          </w:p>
        </w:tc>
        <w:tc>
          <w:tcPr>
            <w:tcW w:w="1742" w:type="dxa"/>
            <w:tcBorders>
              <w:left w:val="single" w:sz="2" w:space="0" w:color="auto"/>
              <w:bottom w:val="single" w:sz="2" w:space="0" w:color="auto"/>
              <w:right w:val="single" w:sz="2" w:space="0" w:color="auto"/>
            </w:tcBorders>
            <w:vAlign w:val="center"/>
          </w:tcPr>
          <w:p>
            <w:pPr>
              <w:adjustRightInd w:val="0"/>
              <w:snapToGrid w:val="0"/>
              <w:jc w:val="left"/>
              <w:outlineLvl w:val="9"/>
              <w:rPr>
                <w:rFonts w:ascii="宋体" w:eastAsia="宋体" w:hAnsi="宋体"/>
                <w:szCs w:val="21"/>
              </w:rPr>
            </w:pPr>
            <w:r>
              <w:rPr>
                <w:rFonts w:ascii="宋体" w:eastAsia="宋体" w:hAnsi="宋体" w:hint="eastAsia"/>
                <w:szCs w:val="21"/>
              </w:rPr>
              <w:t>其他违约责任</w:t>
            </w:r>
          </w:p>
        </w:tc>
        <w:tc>
          <w:tcPr>
            <w:tcW w:w="5170" w:type="dxa"/>
            <w:tcBorders>
              <w:left w:val="single" w:sz="2" w:space="0" w:color="auto"/>
              <w:bottom w:val="single" w:sz="2" w:space="0" w:color="auto"/>
            </w:tcBorders>
            <w:vAlign w:val="center"/>
          </w:tcPr>
          <w:p>
            <w:pPr>
              <w:adjustRightInd w:val="0"/>
              <w:snapToGrid w:val="0"/>
              <w:jc w:val="left"/>
              <w:outlineLvl w:val="9"/>
              <w:rPr>
                <w:rFonts w:ascii="宋体" w:eastAsia="宋体" w:hAnsi="宋体"/>
                <w:szCs w:val="21"/>
                <w:u w:val="single"/>
              </w:rPr>
            </w:pPr>
          </w:p>
        </w:tc>
      </w:tr>
      <w:tr>
        <w:tblPrEx>
          <w:tblW w:w="8519" w:type="dxa"/>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19</w:t>
            </w:r>
            <w:r>
              <w:rPr>
                <w:rFonts w:ascii="宋体" w:eastAsia="宋体" w:hAnsi="宋体" w:hint="eastAsia"/>
                <w:szCs w:val="21"/>
              </w:rPr>
              <w:t>.2</w:t>
            </w:r>
            <w:r>
              <w:rPr>
                <w:rFonts w:ascii="宋体" w:eastAsia="宋体" w:hAnsi="宋体" w:hint="eastAsia"/>
                <w:szCs w:val="21"/>
                <w:lang w:val="en-US" w:eastAsia="zh-CN"/>
              </w:rPr>
              <w:t>款</w:t>
            </w:r>
          </w:p>
        </w:tc>
        <w:tc>
          <w:tcPr>
            <w:tcW w:w="1742" w:type="dxa"/>
            <w:tcBorders>
              <w:top w:val="single" w:sz="2" w:space="0" w:color="auto"/>
              <w:left w:val="single" w:sz="2" w:space="0" w:color="auto"/>
              <w:right w:val="single" w:sz="2" w:space="0" w:color="auto"/>
            </w:tcBorders>
            <w:vAlign w:val="center"/>
          </w:tcPr>
          <w:p>
            <w:pPr>
              <w:adjustRightInd w:val="0"/>
              <w:snapToGrid w:val="0"/>
              <w:jc w:val="left"/>
              <w:outlineLvl w:val="9"/>
              <w:rPr>
                <w:rFonts w:ascii="宋体" w:eastAsia="宋体" w:hAnsi="宋体"/>
                <w:szCs w:val="21"/>
              </w:rPr>
            </w:pPr>
            <w:r>
              <w:rPr>
                <w:rFonts w:ascii="宋体" w:eastAsia="宋体" w:hAnsi="宋体" w:hint="eastAsia"/>
                <w:szCs w:val="21"/>
                <w:lang w:val="en-US" w:eastAsia="zh-CN"/>
              </w:rPr>
              <w:t>解决争议的方法</w:t>
            </w:r>
          </w:p>
        </w:tc>
        <w:tc>
          <w:tcPr>
            <w:tcW w:w="5170" w:type="dxa"/>
            <w:tcBorders>
              <w:top w:val="single" w:sz="2" w:space="0" w:color="auto"/>
              <w:left w:val="single" w:sz="2" w:space="0" w:color="auto"/>
            </w:tcBorders>
            <w:vAlign w:val="center"/>
          </w:tcPr>
          <w:p>
            <w:pPr>
              <w:autoSpaceDE w:val="0"/>
              <w:autoSpaceDN w:val="0"/>
              <w:adjustRightInd w:val="0"/>
              <w:snapToGrid w:val="0"/>
              <w:spacing w:line="400" w:lineRule="exact"/>
              <w:jc w:val="left"/>
              <w:outlineLvl w:val="9"/>
              <w:rPr>
                <w:rFonts w:ascii="宋体" w:eastAsia="宋体" w:hAnsi="宋体" w:cs="宋体" w:hint="eastAsia"/>
                <w:b w:val="0"/>
                <w:bCs w:val="0"/>
                <w:iCs/>
                <w:szCs w:val="21"/>
              </w:rPr>
            </w:pPr>
            <w:r>
              <w:rPr>
                <w:rFonts w:ascii="宋体" w:eastAsia="宋体" w:hAnsi="宋体" w:cs="宋体" w:hint="eastAsia"/>
                <w:b w:val="0"/>
                <w:bCs w:val="0"/>
                <w:iCs/>
                <w:szCs w:val="21"/>
              </w:rPr>
              <w:t>因本合同及合同有关事项发生的争议，按下列第</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种方式解决：</w:t>
            </w:r>
          </w:p>
          <w:p>
            <w:pPr>
              <w:autoSpaceDE w:val="0"/>
              <w:autoSpaceDN w:val="0"/>
              <w:adjustRightInd w:val="0"/>
              <w:snapToGrid w:val="0"/>
              <w:spacing w:line="400" w:lineRule="exact"/>
              <w:jc w:val="left"/>
              <w:outlineLvl w:val="9"/>
              <w:rPr>
                <w:rFonts w:ascii="宋体" w:eastAsia="宋体" w:hAnsi="宋体" w:cs="宋体" w:hint="eastAsia"/>
                <w:b w:val="0"/>
                <w:bCs w:val="0"/>
                <w:iCs/>
                <w:szCs w:val="21"/>
              </w:rPr>
            </w:pPr>
            <w:r>
              <w:rPr>
                <w:rFonts w:ascii="宋体" w:eastAsia="宋体" w:hAnsi="宋体" w:cs="宋体" w:hint="eastAsia"/>
                <w:b w:val="0"/>
                <w:bCs w:val="0"/>
                <w:iCs/>
                <w:szCs w:val="21"/>
              </w:rPr>
              <w:t>（1）向</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仲裁委员会申请仲裁，仲裁地点为</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w:t>
            </w:r>
          </w:p>
          <w:p>
            <w:pPr>
              <w:adjustRightInd w:val="0"/>
              <w:snapToGrid w:val="0"/>
              <w:ind w:firstLine="0" w:firstLineChars="0"/>
              <w:jc w:val="left"/>
              <w:outlineLvl w:val="9"/>
              <w:rPr>
                <w:rFonts w:ascii="宋体" w:eastAsia="宋体" w:hAnsi="宋体"/>
                <w:szCs w:val="21"/>
                <w:u w:val="single"/>
              </w:rPr>
            </w:pPr>
            <w:r>
              <w:rPr>
                <w:rFonts w:ascii="宋体" w:eastAsia="宋体" w:hAnsi="宋体" w:cs="宋体" w:hint="eastAsia"/>
                <w:b w:val="0"/>
                <w:bCs w:val="0"/>
                <w:iCs/>
                <w:szCs w:val="21"/>
              </w:rPr>
              <w:t>（2）向</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人民法院起诉。</w:t>
            </w:r>
          </w:p>
        </w:tc>
      </w:tr>
      <w:tr>
        <w:tblPrEx>
          <w:tblW w:w="8519" w:type="dxa"/>
          <w:tblInd w:w="108" w:type="dxa"/>
          <w:tblLayout w:type="fixed"/>
          <w:tblCellMar>
            <w:top w:w="0" w:type="dxa"/>
            <w:left w:w="108" w:type="dxa"/>
            <w:bottom w:w="0" w:type="dxa"/>
            <w:right w:w="108" w:type="dxa"/>
          </w:tblCellMar>
        </w:tblPrEx>
        <w:trPr>
          <w:trHeight w:val="770"/>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第2</w:t>
            </w:r>
            <w:r>
              <w:rPr>
                <w:rFonts w:ascii="宋体" w:eastAsia="宋体" w:hAnsi="宋体" w:hint="eastAsia"/>
                <w:szCs w:val="21"/>
                <w:lang w:val="en-US" w:eastAsia="zh-CN"/>
              </w:rPr>
              <w:t>3.1</w:t>
            </w:r>
            <w:r>
              <w:rPr>
                <w:rFonts w:ascii="宋体" w:eastAsia="宋体" w:hAnsi="宋体" w:hint="eastAsia"/>
                <w:szCs w:val="21"/>
                <w:lang w:eastAsia="zh-CN"/>
              </w:rPr>
              <w:t>款</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bCs/>
                <w:color w:val="auto"/>
                <w:szCs w:val="21"/>
                <w:highlight w:val="none"/>
                <w:lang w:eastAsia="zh-CN"/>
              </w:rPr>
              <w:t>其他专用条款</w:t>
            </w:r>
          </w:p>
        </w:tc>
        <w:tc>
          <w:tcPr>
            <w:tcW w:w="5170" w:type="dxa"/>
            <w:vAlign w:val="center"/>
          </w:tcPr>
          <w:p>
            <w:pPr>
              <w:adjustRightInd w:val="0"/>
              <w:snapToGrid w:val="0"/>
              <w:jc w:val="left"/>
              <w:outlineLvl w:val="9"/>
              <w:rPr>
                <w:rFonts w:ascii="宋体" w:eastAsia="宋体" w:hAnsi="宋体" w:hint="default"/>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pStyle w:val="Heading1"/>
        <w:spacing w:before="120" w:beforeLines="50" w:after="120" w:afterLines="50"/>
        <w:ind w:left="562"/>
        <w:outlineLvl w:val="0"/>
        <w:rPr>
          <w:sz w:val="28"/>
          <w:szCs w:val="28"/>
        </w:rPr>
      </w:pPr>
      <w:r>
        <w:rPr>
          <w:rFonts w:hint="eastAsia"/>
          <w:sz w:val="28"/>
          <w:szCs w:val="28"/>
        </w:rPr>
        <w:t>第二册  通用条款（公开招标）</w:t>
      </w:r>
    </w:p>
    <w:p>
      <w:pPr>
        <w:pStyle w:val="Heading2"/>
        <w:numPr>
          <w:ilvl w:val="0"/>
          <w:numId w:val="16"/>
        </w:numPr>
        <w:spacing w:before="120" w:beforeLines="50" w:after="120" w:afterLines="50"/>
        <w:ind w:left="562" w:hanging="562"/>
        <w:rPr>
          <w:sz w:val="28"/>
          <w:szCs w:val="28"/>
        </w:rPr>
      </w:pPr>
      <w:bookmarkStart w:id="90" w:name="_Hlk72399513"/>
      <w:r>
        <w:rPr>
          <w:rFonts w:hint="eastAsia"/>
          <w:sz w:val="28"/>
          <w:szCs w:val="28"/>
        </w:rPr>
        <w:t>总则</w:t>
      </w:r>
    </w:p>
    <w:p>
      <w:pPr>
        <w:rPr>
          <w:rFonts w:ascii="黑体" w:eastAsia="黑体" w:hAnsi="宋体"/>
          <w:sz w:val="24"/>
        </w:rPr>
      </w:pPr>
      <w:bookmarkEnd w:id="90"/>
      <w:r>
        <w:rPr>
          <w:rFonts w:ascii="黑体" w:eastAsia="黑体" w:hAnsi="宋体" w:hint="eastAsia"/>
          <w:sz w:val="24"/>
        </w:rPr>
        <w:t>1. 通用条款说明</w:t>
      </w:r>
    </w:p>
    <w:p>
      <w:pPr>
        <w:ind w:firstLine="412" w:firstLineChars="196"/>
        <w:rPr>
          <w:rFonts w:ascii="宋体" w:hAnsi="宋体"/>
          <w:szCs w:val="21"/>
        </w:rPr>
      </w:pPr>
      <w:r>
        <w:rPr>
          <w:rFonts w:ascii="宋体" w:hAnsi="宋体" w:hint="eastAsia"/>
          <w:szCs w:val="21"/>
        </w:rPr>
        <w:t>1.1政府集中采购机构发出招标文件通用条款版本，列出深圳市政府采购项目进行招标采购所适用的通用条款内容。</w:t>
      </w:r>
      <w:bookmarkStart w:id="91" w:name="_Hlk72399729"/>
      <w:r>
        <w:rPr>
          <w:rFonts w:ascii="宋体" w:hAnsi="宋体" w:hint="eastAsia"/>
          <w:szCs w:val="21"/>
        </w:rPr>
        <w:t>如有需要，政府集中采购机构可以对通用条款的内容进行补充。</w:t>
      </w:r>
      <w:bookmarkEnd w:id="91"/>
    </w:p>
    <w:p>
      <w:pPr>
        <w:ind w:firstLine="412" w:firstLineChars="196"/>
        <w:rPr>
          <w:rFonts w:ascii="宋体" w:hAnsi="宋体"/>
          <w:szCs w:val="21"/>
        </w:rPr>
      </w:pPr>
      <w:r>
        <w:rPr>
          <w:rFonts w:ascii="宋体" w:hAnsi="宋体" w:hint="eastAsia"/>
          <w:szCs w:val="21"/>
        </w:rPr>
        <w:t>1.2招标文件分为第一册“专用条款”和第二册“通用条款”。</w:t>
      </w:r>
    </w:p>
    <w:p>
      <w:pPr>
        <w:ind w:firstLine="412" w:firstLineChars="196"/>
        <w:rPr>
          <w:rFonts w:ascii="宋体" w:hAnsi="宋体"/>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pPr>
        <w:ind w:firstLine="412" w:firstLineChars="196"/>
        <w:rPr>
          <w:rFonts w:ascii="宋体" w:hAnsi="宋体"/>
          <w:szCs w:val="21"/>
        </w:rPr>
      </w:pPr>
      <w:r>
        <w:rPr>
          <w:rFonts w:ascii="宋体" w:hAnsi="宋体" w:hint="eastAsia"/>
          <w:szCs w:val="21"/>
        </w:rPr>
        <w:t>1.4“通用条款”是适用于政府采购公开招标项目的基础性条款，具有普遍性和通用性。</w:t>
      </w:r>
    </w:p>
    <w:p>
      <w:pPr>
        <w:ind w:firstLine="412" w:firstLineChars="196"/>
        <w:rPr>
          <w:rFonts w:ascii="宋体" w:hAnsi="宋体"/>
          <w:szCs w:val="21"/>
        </w:rPr>
      </w:pPr>
      <w:r>
        <w:rPr>
          <w:rFonts w:ascii="宋体" w:hAnsi="宋体" w:hint="eastAsia"/>
          <w:szCs w:val="21"/>
        </w:rPr>
        <w:t>1.5 “专用条款”和“通用条款”表述不一致或有冲突时，以“专用条款”为准。</w:t>
      </w:r>
    </w:p>
    <w:p>
      <w:pPr>
        <w:rPr>
          <w:rFonts w:ascii="黑体" w:eastAsia="黑体" w:hAnsi="宋体"/>
          <w:sz w:val="24"/>
        </w:rPr>
      </w:pPr>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p>
    <w:p>
      <w:pPr>
        <w:ind w:firstLine="412" w:firstLineChars="196"/>
        <w:rPr>
          <w:rFonts w:ascii="宋体" w:hAnsi="宋体"/>
          <w:szCs w:val="21"/>
        </w:rPr>
      </w:pPr>
      <w:r>
        <w:rPr>
          <w:rFonts w:ascii="宋体" w:hAnsi="宋体" w:hint="eastAsia"/>
          <w:szCs w:val="21"/>
        </w:rPr>
        <w:t>本项目按照《深圳经济特区政府采购条例》、《深圳经济特区政府采购条例实施细则》及政府采购其他法律法规，通过公开招标方式确定中标供应商。</w:t>
      </w:r>
    </w:p>
    <w:p>
      <w:pPr>
        <w:rPr>
          <w:rFonts w:ascii="黑体" w:eastAsia="黑体" w:hAnsi="宋体"/>
          <w:sz w:val="24"/>
        </w:rPr>
      </w:pPr>
      <w:r>
        <w:rPr>
          <w:rFonts w:ascii="黑体" w:eastAsia="黑体" w:hAnsi="宋体" w:hint="eastAsia"/>
          <w:sz w:val="24"/>
        </w:rPr>
        <w:t>3．定义</w:t>
      </w:r>
    </w:p>
    <w:p>
      <w:pPr>
        <w:ind w:firstLine="420" w:firstLineChars="200"/>
        <w:rPr>
          <w:rFonts w:ascii="宋体" w:hAnsi="宋体"/>
          <w:szCs w:val="21"/>
        </w:rPr>
      </w:pPr>
      <w:r>
        <w:rPr>
          <w:rFonts w:ascii="宋体" w:hAnsi="宋体"/>
          <w:szCs w:val="21"/>
        </w:rPr>
        <w:t>招标文件中下列术语应解释为：</w:t>
      </w:r>
    </w:p>
    <w:p>
      <w:pPr>
        <w:ind w:firstLine="412" w:firstLineChars="196"/>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“采购人”：指利用财政性资金依法进行政府采购的国家机关、事业单位、团体组织；</w:t>
      </w:r>
      <w:r>
        <w:rPr>
          <w:rFonts w:ascii="宋体" w:hAnsi="宋体"/>
          <w:szCs w:val="21"/>
        </w:rPr>
        <w:t xml:space="preserve"> </w:t>
      </w:r>
    </w:p>
    <w:p>
      <w:pPr>
        <w:ind w:firstLine="412" w:firstLineChars="196"/>
        <w:rPr>
          <w:rFonts w:ascii="宋体" w:hAnsi="宋体"/>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是指市政府设立的，组织实施政府采购项目，并对政府采购活动提供服务的专门机构；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pPr>
        <w:ind w:firstLine="412" w:firstLineChars="196"/>
        <w:rPr>
          <w:rFonts w:ascii="宋体" w:hAnsi="宋体"/>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pPr>
        <w:ind w:firstLine="412" w:firstLineChars="196"/>
        <w:rPr>
          <w:rFonts w:ascii="宋体" w:hAnsi="宋体"/>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pPr>
        <w:ind w:firstLine="412" w:firstLineChars="196"/>
        <w:rPr>
          <w:rFonts w:ascii="宋体" w:hAnsi="宋体"/>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pPr>
        <w:ind w:firstLine="412" w:firstLineChars="196"/>
        <w:rPr>
          <w:rFonts w:ascii="宋体" w:hAnsi="宋体"/>
          <w:szCs w:val="21"/>
        </w:rPr>
      </w:pPr>
      <w:r>
        <w:rPr>
          <w:rFonts w:ascii="宋体" w:hAnsi="宋体" w:hint="eastAsia"/>
          <w:szCs w:val="21"/>
        </w:rPr>
        <w:t>3.6“合同”指由本次招标所产生的合同或合约文件；</w:t>
      </w:r>
    </w:p>
    <w:p>
      <w:pPr>
        <w:ind w:firstLine="412" w:firstLineChars="196"/>
        <w:rPr>
          <w:rFonts w:ascii="宋体" w:hAnsi="宋体"/>
          <w:szCs w:val="21"/>
        </w:rPr>
      </w:pPr>
      <w:r>
        <w:rPr>
          <w:rFonts w:ascii="宋体" w:hAnsi="宋体" w:hint="eastAsia"/>
          <w:szCs w:val="21"/>
        </w:rPr>
        <w:t>3.7“电子投标文件”指利用</w:t>
      </w:r>
      <w:r>
        <w:rPr>
          <w:rFonts w:ascii="宋体" w:hAnsi="宋体" w:hint="eastAsia"/>
          <w:b/>
          <w:bCs/>
          <w:color w:val="FF0000"/>
          <w:szCs w:val="21"/>
          <w:lang w:eastAsia="zh-CN"/>
        </w:rPr>
        <w:t>深圳公共资源交易中心（深圳交易集团有限公司大鹏分公司）</w:t>
      </w:r>
      <w:r>
        <w:rPr>
          <w:rFonts w:ascii="宋体" w:hAnsi="宋体" w:hint="eastAsia"/>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2" w:firstLineChars="196"/>
        <w:rPr>
          <w:rFonts w:ascii="宋体" w:hAnsi="宋体"/>
          <w:szCs w:val="21"/>
        </w:rPr>
      </w:pPr>
      <w:r>
        <w:rPr>
          <w:rFonts w:ascii="宋体" w:hAnsi="宋体" w:hint="eastAsia"/>
          <w:szCs w:val="21"/>
        </w:rPr>
        <w:t>3.8“网上投标”指通过</w:t>
      </w:r>
      <w:r>
        <w:rPr>
          <w:rFonts w:ascii="宋体" w:hAnsi="宋体" w:hint="eastAsia"/>
          <w:b/>
          <w:bCs/>
          <w:color w:val="FF0000"/>
          <w:szCs w:val="21"/>
          <w:lang w:eastAsia="zh-CN"/>
        </w:rPr>
        <w:t>深圳公共资源交易中心（深圳交易集团有限公司大鹏分公司）</w:t>
      </w:r>
      <w:r>
        <w:rPr>
          <w:rFonts w:ascii="宋体" w:hAnsi="宋体" w:hint="eastAsia"/>
          <w:szCs w:val="21"/>
        </w:rPr>
        <w:t>网站上传电子投标文件；</w:t>
      </w:r>
    </w:p>
    <w:p>
      <w:pPr>
        <w:ind w:firstLine="412" w:firstLineChars="196"/>
        <w:rPr>
          <w:rFonts w:ascii="宋体" w:hAnsi="宋体"/>
          <w:szCs w:val="21"/>
        </w:rPr>
      </w:pPr>
      <w:r>
        <w:rPr>
          <w:rFonts w:ascii="宋体" w:hAnsi="宋体" w:hint="eastAsia"/>
          <w:szCs w:val="21"/>
        </w:rPr>
        <w:t>3.9招标文件中的标题或题名仅起引导作用，而不应视为对招标文件内容的理解和解释。</w:t>
      </w:r>
    </w:p>
    <w:p>
      <w:pPr>
        <w:rPr>
          <w:rFonts w:ascii="黑体" w:eastAsia="黑体" w:hAnsi="宋体"/>
          <w:sz w:val="24"/>
        </w:rPr>
      </w:pPr>
      <w:r>
        <w:rPr>
          <w:rFonts w:ascii="黑体" w:eastAsia="黑体" w:hAnsi="宋体" w:hint="eastAsia"/>
          <w:sz w:val="24"/>
        </w:rPr>
        <w:t xml:space="preserve">4. </w:t>
      </w:r>
      <w:bookmarkStart w:id="92" w:name="_Hlk72398643"/>
      <w:r>
        <w:rPr>
          <w:rFonts w:ascii="黑体" w:eastAsia="黑体" w:hAnsi="宋体" w:hint="eastAsia"/>
          <w:sz w:val="24"/>
        </w:rPr>
        <w:t>政府采购供应商责任</w:t>
      </w:r>
    </w:p>
    <w:p>
      <w:pPr>
        <w:ind w:firstLine="412" w:firstLineChars="196"/>
        <w:rPr>
          <w:rFonts w:ascii="宋体" w:hAnsi="宋体"/>
          <w:szCs w:val="21"/>
        </w:rPr>
      </w:pPr>
      <w:r>
        <w:rPr>
          <w:rFonts w:ascii="宋体" w:hAnsi="宋体" w:hint="eastAsia"/>
          <w:szCs w:val="21"/>
        </w:rPr>
        <w:t>4.1欢迎诚信、有实力和有社会责任心的供应商参与政府采购事业。</w:t>
      </w:r>
    </w:p>
    <w:p>
      <w:pPr>
        <w:ind w:firstLine="412" w:firstLineChars="196"/>
        <w:rPr>
          <w:rFonts w:ascii="宋体" w:hAnsi="宋体"/>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eastAsia="黑体" w:hAnsi="宋体"/>
          <w:sz w:val="24"/>
        </w:rPr>
      </w:pPr>
      <w:r>
        <w:rPr>
          <w:rFonts w:ascii="黑体" w:eastAsia="黑体" w:hAnsi="宋体" w:hint="eastAsia"/>
          <w:sz w:val="24"/>
        </w:rPr>
        <w:t>5．投标人参加政府采购的条件</w:t>
      </w:r>
    </w:p>
    <w:p>
      <w:pPr>
        <w:ind w:firstLine="412" w:firstLineChars="196"/>
        <w:jc w:val="left"/>
        <w:rPr>
          <w:rFonts w:ascii="宋体" w:hAnsi="宋体"/>
          <w:szCs w:val="21"/>
        </w:rPr>
      </w:pPr>
      <w:r>
        <w:rPr>
          <w:rFonts w:ascii="宋体" w:hAnsi="宋体" w:hint="eastAsia"/>
          <w:szCs w:val="21"/>
        </w:rPr>
        <w:t>5.1投标人应在投标前到</w:t>
      </w:r>
      <w:r>
        <w:rPr>
          <w:rFonts w:ascii="宋体" w:hAnsi="宋体" w:hint="eastAsia"/>
          <w:b/>
          <w:bCs/>
          <w:szCs w:val="21"/>
        </w:rPr>
        <w:t>深圳公共资源交易中心（具体在深圳交易集团有限公司政府采购业务分公司进行办理）</w:t>
      </w:r>
      <w:r>
        <w:rPr>
          <w:rFonts w:ascii="宋体" w:hAnsi="宋体" w:hint="eastAsia"/>
          <w:szCs w:val="21"/>
        </w:rPr>
        <w:t>进行注册并办理电子密钥。《供应商注册及信息变更指引》详见www.szggzy.com网站“交易服务指南-政府采购”。</w:t>
      </w:r>
    </w:p>
    <w:p>
      <w:pPr>
        <w:ind w:firstLine="412" w:firstLineChars="196"/>
        <w:rPr>
          <w:rFonts w:ascii="宋体" w:hAnsi="宋体"/>
          <w:szCs w:val="21"/>
        </w:rPr>
      </w:pPr>
      <w:r>
        <w:rPr>
          <w:rFonts w:ascii="宋体" w:hAnsi="宋体" w:hint="eastAsia"/>
          <w:szCs w:val="21"/>
        </w:rPr>
        <w:t>5.2投标人资格要求</w:t>
      </w:r>
    </w:p>
    <w:p>
      <w:pPr>
        <w:ind w:firstLine="412" w:firstLineChars="196"/>
        <w:rPr>
          <w:rFonts w:ascii="宋体" w:hAnsi="宋体"/>
          <w:szCs w:val="21"/>
        </w:rPr>
      </w:pPr>
      <w:r>
        <w:rPr>
          <w:rFonts w:ascii="宋体" w:hAnsi="宋体" w:hint="eastAsia"/>
          <w:szCs w:val="21"/>
        </w:rPr>
        <w:t>参加本项目的投标人应具备的资格条件详见本项目招标公告中“投标人资格要求”（即申请人的资格要求）的内容。</w:t>
      </w:r>
    </w:p>
    <w:p>
      <w:pPr>
        <w:ind w:firstLine="412" w:firstLineChars="196"/>
        <w:rPr>
          <w:rFonts w:ascii="宋体" w:hAnsi="宋体"/>
          <w:szCs w:val="21"/>
        </w:rPr>
      </w:pPr>
      <w:r>
        <w:rPr>
          <w:rFonts w:ascii="宋体" w:hAnsi="宋体" w:hint="eastAsia"/>
          <w:szCs w:val="21"/>
        </w:rPr>
        <w:t>5.3联合体投标</w:t>
      </w:r>
    </w:p>
    <w:p>
      <w:pPr>
        <w:ind w:firstLine="412" w:firstLineChars="196"/>
        <w:rPr>
          <w:rFonts w:ascii="宋体" w:hAnsi="宋体"/>
          <w:szCs w:val="21"/>
        </w:rPr>
      </w:pPr>
      <w:r>
        <w:rPr>
          <w:rFonts w:ascii="宋体" w:hAnsi="宋体" w:hint="eastAsia"/>
          <w:szCs w:val="21"/>
        </w:rPr>
        <w:t>5.3.1　以下有关联合体投标的条款仅适用于允许投标人组成联合体投标的项目。</w:t>
      </w:r>
    </w:p>
    <w:p>
      <w:pPr>
        <w:ind w:firstLine="412" w:firstLineChars="196"/>
        <w:rPr>
          <w:rFonts w:ascii="宋体" w:hAnsi="宋体"/>
          <w:szCs w:val="21"/>
        </w:rPr>
      </w:pPr>
      <w:r>
        <w:rPr>
          <w:rFonts w:ascii="宋体" w:hAnsi="宋体" w:hint="eastAsia"/>
          <w:szCs w:val="21"/>
        </w:rPr>
        <w:t>5.3.2  由两个或两个以上的自然人、法人或者其他组织可以组成一个联合体，以一个供应商的身份共同投标时，应符合以下原则：</w:t>
      </w:r>
    </w:p>
    <w:p>
      <w:pPr>
        <w:ind w:firstLine="412" w:firstLineChars="196"/>
        <w:rPr>
          <w:rFonts w:ascii="宋体" w:hAnsi="宋体"/>
        </w:rPr>
      </w:pPr>
      <w:r>
        <w:rPr>
          <w:rFonts w:ascii="宋体" w:hAnsi="宋体" w:hint="eastAsia"/>
        </w:rPr>
        <w:t>（1）投标联合体各方参加政府采购活动应当具备下列条件：</w:t>
      </w:r>
      <w:r>
        <w:rPr>
          <w:rFonts w:ascii="宋体" w:hAnsi="宋体"/>
        </w:rPr>
        <w:t xml:space="preserve"> </w:t>
      </w:r>
    </w:p>
    <w:p>
      <w:pPr>
        <w:ind w:left="420" w:firstLine="412" w:leftChars="200" w:firstLineChars="196"/>
        <w:rPr>
          <w:rFonts w:ascii="宋体" w:hAnsi="宋体"/>
        </w:rPr>
      </w:pPr>
      <w:r>
        <w:rPr>
          <w:rFonts w:ascii="宋体" w:hAnsi="宋体" w:hint="eastAsia"/>
        </w:rPr>
        <w:t>1、具有独立承担民事责任的能力；</w:t>
      </w:r>
      <w:r>
        <w:rPr>
          <w:rFonts w:ascii="宋体" w:hAnsi="宋体"/>
        </w:rPr>
        <w:t xml:space="preserve"> </w:t>
      </w:r>
    </w:p>
    <w:p>
      <w:pPr>
        <w:ind w:left="420" w:firstLine="412" w:firstLineChars="196"/>
        <w:rPr>
          <w:rFonts w:ascii="宋体" w:hAnsi="宋体"/>
        </w:rPr>
      </w:pPr>
      <w:r>
        <w:rPr>
          <w:rFonts w:ascii="宋体" w:hAnsi="宋体" w:hint="eastAsia"/>
        </w:rPr>
        <w:t>2、有良好的商业信誉和健全的财务会计制度；</w:t>
      </w:r>
      <w:r>
        <w:rPr>
          <w:rFonts w:ascii="宋体" w:hAnsi="宋体"/>
        </w:rPr>
        <w:t xml:space="preserve"> </w:t>
      </w:r>
    </w:p>
    <w:p>
      <w:pPr>
        <w:ind w:left="420" w:firstLine="412" w:leftChars="200" w:firstLineChars="196"/>
        <w:rPr>
          <w:rFonts w:ascii="宋体" w:hAnsi="宋体"/>
        </w:rPr>
      </w:pPr>
      <w:r>
        <w:rPr>
          <w:rFonts w:ascii="宋体" w:hAnsi="宋体" w:hint="eastAsia"/>
        </w:rPr>
        <w:t>3、具有履行合同所必需的设备和专业技术能力；</w:t>
      </w:r>
      <w:r>
        <w:rPr>
          <w:rFonts w:ascii="宋体" w:hAnsi="宋体"/>
        </w:rPr>
        <w:t xml:space="preserve"> </w:t>
      </w:r>
    </w:p>
    <w:p>
      <w:pPr>
        <w:ind w:left="420" w:firstLine="412" w:leftChars="200" w:firstLineChars="196"/>
        <w:rPr>
          <w:rFonts w:ascii="宋体" w:hAnsi="宋体"/>
        </w:rPr>
      </w:pPr>
      <w:r>
        <w:rPr>
          <w:rFonts w:ascii="宋体" w:hAnsi="宋体" w:hint="eastAsia"/>
        </w:rPr>
        <w:t>4、有依法缴纳税收和社会保障资金的良好记录；</w:t>
      </w:r>
      <w:r>
        <w:rPr>
          <w:rFonts w:ascii="宋体" w:hAnsi="宋体"/>
        </w:rPr>
        <w:t xml:space="preserve"> </w:t>
      </w:r>
    </w:p>
    <w:p>
      <w:pPr>
        <w:ind w:left="420" w:firstLine="412" w:leftChars="200" w:firstLineChars="196"/>
        <w:rPr>
          <w:rFonts w:ascii="宋体" w:hAnsi="宋体"/>
        </w:rPr>
      </w:pPr>
      <w:r>
        <w:rPr>
          <w:rFonts w:ascii="宋体" w:hAnsi="宋体" w:hint="eastAsia"/>
        </w:rPr>
        <w:t>5、参加政府采购活动前三年内，在经营活动中没有重大违法记录；</w:t>
      </w:r>
      <w:r>
        <w:rPr>
          <w:rFonts w:ascii="宋体" w:hAnsi="宋体"/>
        </w:rPr>
        <w:t xml:space="preserve"> </w:t>
      </w:r>
    </w:p>
    <w:p>
      <w:pPr>
        <w:ind w:left="420" w:firstLine="412" w:leftChars="200" w:firstLineChars="196"/>
        <w:rPr>
          <w:rFonts w:ascii="宋体" w:hAnsi="宋体"/>
        </w:rPr>
      </w:pPr>
      <w:r>
        <w:rPr>
          <w:rFonts w:ascii="宋体" w:hAnsi="宋体" w:hint="eastAsia"/>
        </w:rPr>
        <w:t>6、法律、行政法规规定的其他条件。</w:t>
      </w:r>
      <w:r>
        <w:rPr>
          <w:rFonts w:ascii="宋体" w:hAnsi="宋体"/>
        </w:rPr>
        <w:t xml:space="preserve"> </w:t>
      </w:r>
    </w:p>
    <w:p>
      <w:pPr>
        <w:ind w:firstLine="412" w:firstLineChars="196"/>
        <w:rPr>
          <w:rFonts w:ascii="宋体" w:hAnsi="宋体"/>
        </w:rPr>
      </w:pPr>
      <w:r>
        <w:rPr>
          <w:rFonts w:ascii="宋体" w:hAnsi="宋体" w:hint="eastAsia"/>
        </w:rPr>
        <w:t>（2）在投标截止前，投标联合体各方均应注册成政府集中采购机构供应商；</w:t>
      </w:r>
    </w:p>
    <w:p>
      <w:pPr>
        <w:ind w:firstLine="412" w:firstLineChars="196"/>
        <w:rPr>
          <w:rFonts w:ascii="宋体" w:hAnsi="宋体"/>
        </w:rPr>
      </w:pPr>
      <w:r>
        <w:rPr>
          <w:rFonts w:ascii="宋体" w:hAnsi="宋体" w:hint="eastAsia"/>
        </w:rPr>
        <w:t>（3）联合体中有同类资质的供应商按照联合体分工承担相同工作的，应当按照资质等级较低的供应商确定资质等级；</w:t>
      </w:r>
    </w:p>
    <w:p>
      <w:pPr>
        <w:ind w:firstLine="412"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2" w:firstLineChars="196"/>
        <w:rPr>
          <w:rFonts w:ascii="宋体" w:hAnsi="宋体"/>
        </w:rPr>
      </w:pPr>
      <w:r>
        <w:rPr>
          <w:rFonts w:ascii="宋体" w:hAnsi="宋体" w:hint="eastAsia"/>
        </w:rPr>
        <w:t>（5）投标人的投标文件及中标后签署的合同协议对联合体各方均具法律约束力；</w:t>
      </w:r>
    </w:p>
    <w:p>
      <w:pPr>
        <w:ind w:firstLine="412" w:firstLineChars="196"/>
        <w:rPr>
          <w:rFonts w:ascii="宋体" w:hAnsi="宋体"/>
        </w:rPr>
      </w:pPr>
      <w:r>
        <w:rPr>
          <w:rFonts w:ascii="宋体" w:hAnsi="宋体" w:hint="eastAsia"/>
        </w:rPr>
        <w:t>（6）联合体各方应当签订联合体投标协议，明确约定各方拟承担的工作和责任，并将该协议随投标文件一并递交给政府集中采购机构；</w:t>
      </w:r>
    </w:p>
    <w:p>
      <w:pPr>
        <w:ind w:firstLine="412" w:firstLineChars="196"/>
        <w:rPr>
          <w:rFonts w:ascii="宋体" w:hAnsi="宋体"/>
        </w:rPr>
      </w:pPr>
      <w:r>
        <w:rPr>
          <w:rFonts w:ascii="宋体" w:hAnsi="宋体" w:hint="eastAsia"/>
        </w:rPr>
        <w:t>（7）联合体中标后，联合体各方应当共同与采购人签订合同，就中标项目向采购人承担连带责任；</w:t>
      </w:r>
    </w:p>
    <w:p>
      <w:pPr>
        <w:ind w:firstLine="412" w:firstLineChars="196"/>
        <w:rPr>
          <w:rFonts w:ascii="宋体" w:hAnsi="宋体"/>
        </w:rPr>
      </w:pPr>
      <w:r>
        <w:rPr>
          <w:rFonts w:ascii="宋体" w:hAnsi="宋体" w:hint="eastAsia"/>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2" w:firstLineChars="196"/>
        <w:rPr>
          <w:rFonts w:ascii="宋体" w:hAnsi="宋体"/>
          <w:szCs w:val="21"/>
        </w:rPr>
      </w:pPr>
      <w:r>
        <w:rPr>
          <w:rFonts w:ascii="宋体" w:hAnsi="宋体" w:hint="eastAsia"/>
        </w:rPr>
        <w:t>（9）本通用条款中“投标人”一词亦指联合体各方，专用条款另有规定或说明的除外。</w:t>
      </w:r>
    </w:p>
    <w:p>
      <w:pPr>
        <w:rPr>
          <w:rFonts w:ascii="黑体" w:eastAsia="黑体" w:hAnsi="宋体"/>
          <w:sz w:val="24"/>
        </w:rPr>
      </w:pPr>
      <w:r>
        <w:rPr>
          <w:rFonts w:ascii="黑体" w:eastAsia="黑体" w:hAnsi="宋体" w:hint="eastAsia"/>
          <w:sz w:val="24"/>
        </w:rPr>
        <w:t>6．政策导向</w:t>
      </w:r>
    </w:p>
    <w:p>
      <w:pPr>
        <w:ind w:firstLine="412" w:firstLineChars="196"/>
        <w:rPr>
          <w:rFonts w:ascii="宋体" w:hAnsi="宋体"/>
        </w:rPr>
      </w:pPr>
      <w:r>
        <w:rPr>
          <w:rFonts w:ascii="宋体" w:hAnsi="宋体" w:hint="eastAsia"/>
        </w:rPr>
        <w:t>6.1</w:t>
      </w:r>
      <w:r>
        <w:rPr>
          <w:rFonts w:ascii="宋体" w:hAnsi="宋体"/>
        </w:rPr>
        <w:t xml:space="preserve">  </w:t>
      </w:r>
      <w:r>
        <w:rPr>
          <w:rFonts w:ascii="宋体" w:hAnsi="宋体" w:hint="eastAsia"/>
        </w:rPr>
        <w:t>政府采购支持本国产品、支持中小企业、监狱企业和残疾人福利性单位发展，支持乡村产业振兴，支持创新、节能减排、绿色环保等。</w:t>
      </w:r>
    </w:p>
    <w:p>
      <w:pPr>
        <w:ind w:firstLine="405"/>
        <w:rPr>
          <w:rFonts w:ascii="宋体" w:hAnsi="宋体" w:hint="eastAsia"/>
        </w:rPr>
      </w:pPr>
      <w:r>
        <w:rPr>
          <w:rFonts w:ascii="宋体" w:hAnsi="宋体" w:hint="eastAsia"/>
        </w:rPr>
        <w:t>6.2</w:t>
      </w:r>
      <w:r>
        <w:rPr>
          <w:rFonts w:ascii="宋体" w:hAnsi="宋体"/>
        </w:rPr>
        <w:t xml:space="preserve">  </w:t>
      </w:r>
      <w:r>
        <w:rPr>
          <w:rFonts w:ascii="宋体" w:hAnsi="宋体" w:hint="eastAsia"/>
        </w:rPr>
        <w:t>本项目落实深圳市政府采购供应商诚信管理政策要求。</w:t>
      </w:r>
    </w:p>
    <w:p>
      <w:pPr>
        <w:ind w:firstLine="405"/>
        <w:rPr>
          <w:rFonts w:eastAsia="宋体" w:hint="default"/>
          <w:lang w:val="en-US" w:eastAsia="zh-CN"/>
        </w:rPr>
      </w:pPr>
      <w:r>
        <w:rPr>
          <w:rFonts w:ascii="宋体" w:hAnsi="宋体" w:hint="eastAsia"/>
          <w:lang w:val="en-US" w:eastAsia="zh-CN"/>
        </w:rPr>
        <w:t>6.3  本项目支持投标人性别平等的相关政策。</w:t>
      </w:r>
    </w:p>
    <w:p>
      <w:pPr>
        <w:rPr>
          <w:rFonts w:ascii="黑体" w:eastAsia="黑体" w:hAnsi="宋体"/>
          <w:sz w:val="24"/>
        </w:rPr>
      </w:pPr>
      <w:r>
        <w:rPr>
          <w:rFonts w:ascii="黑体" w:eastAsia="黑体" w:hAnsi="宋体" w:hint="eastAsia"/>
          <w:sz w:val="24"/>
        </w:rPr>
        <w:t>7. 本项目若涉及采购货物，则合格的货物及相应服务应满足以下要求：</w:t>
      </w:r>
    </w:p>
    <w:p>
      <w:pPr>
        <w:ind w:firstLine="412" w:firstLineChars="196"/>
        <w:rPr>
          <w:rFonts w:ascii="宋体" w:hAnsi="宋体"/>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pPr>
        <w:ind w:firstLine="412" w:firstLineChars="196"/>
        <w:rPr>
          <w:rFonts w:ascii="宋体" w:hAnsi="宋体"/>
        </w:rPr>
      </w:pPr>
      <w:r>
        <w:rPr>
          <w:rFonts w:ascii="宋体" w:hAnsi="宋体" w:hint="eastAsia"/>
        </w:rPr>
        <w:t>7.2  国产的货物及其有关服务必须符合中华人民共和国的设计、制造生产标准及行业标准。招标公告有其他要求的，亦应符合其要求。</w:t>
      </w:r>
    </w:p>
    <w:p>
      <w:pPr>
        <w:ind w:firstLine="412" w:firstLineChars="196"/>
        <w:rPr>
          <w:rFonts w:ascii="宋体" w:hAnsi="宋体"/>
        </w:rPr>
      </w:pPr>
      <w:r>
        <w:rPr>
          <w:rFonts w:ascii="宋体" w:hAnsi="宋体" w:hint="eastAsia"/>
        </w:rPr>
        <w:t>7</w:t>
      </w:r>
      <w:r>
        <w:rPr>
          <w:rFonts w:ascii="宋体" w:hAnsi="宋体"/>
        </w:rPr>
        <w:t>.</w:t>
      </w:r>
      <w:r>
        <w:rPr>
          <w:rFonts w:ascii="宋体" w:hAnsi="宋体" w:hint="eastAsia"/>
        </w:rPr>
        <w:t>3</w:t>
      </w:r>
      <w:r>
        <w:rPr>
          <w:rFonts w:ascii="宋体" w:hAnsi="宋体"/>
        </w:rPr>
        <w:t xml:space="preserve">  </w:t>
      </w:r>
      <w:r>
        <w:rPr>
          <w:rFonts w:ascii="宋体" w:hAnsi="宋体" w:hint="eastAsia"/>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2" w:firstLineChars="196"/>
        <w:rPr>
          <w:rFonts w:ascii="宋体" w:hAnsi="宋体"/>
        </w:rPr>
      </w:pPr>
      <w:r>
        <w:rPr>
          <w:rFonts w:ascii="宋体" w:hAnsi="宋体" w:hint="eastAsia"/>
        </w:rPr>
        <w:t>7</w:t>
      </w:r>
      <w:r>
        <w:rPr>
          <w:rFonts w:ascii="宋体" w:hAnsi="宋体"/>
        </w:rPr>
        <w:t>.</w:t>
      </w:r>
      <w:r>
        <w:rPr>
          <w:rFonts w:ascii="宋体" w:hAnsi="宋体" w:hint="eastAsia"/>
        </w:rPr>
        <w:t>4</w:t>
      </w:r>
      <w:r>
        <w:rPr>
          <w:rFonts w:ascii="宋体" w:hAnsi="宋体"/>
        </w:rPr>
        <w:t xml:space="preserve">  </w:t>
      </w:r>
      <w:r>
        <w:rPr>
          <w:rFonts w:ascii="宋体" w:hAnsi="宋体" w:hint="eastAsia"/>
        </w:rPr>
        <w:t>投标人</w:t>
      </w:r>
      <w:bookmarkStart w:id="93" w:name="_Hlk72152753"/>
      <w:r>
        <w:rPr>
          <w:rFonts w:ascii="宋体" w:hAnsi="宋体" w:hint="eastAsia"/>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3"/>
    </w:p>
    <w:p>
      <w:pPr>
        <w:ind w:firstLine="412" w:firstLineChars="196"/>
        <w:rPr>
          <w:rFonts w:ascii="宋体" w:hAnsi="宋体"/>
        </w:rPr>
      </w:pPr>
      <w:r>
        <w:rPr>
          <w:rFonts w:ascii="宋体" w:hAnsi="宋体" w:hint="eastAsia"/>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2" w:firstLineChars="196"/>
        <w:rPr>
          <w:rFonts w:ascii="宋体" w:hAnsi="宋体"/>
        </w:rPr>
      </w:pPr>
      <w:r>
        <w:rPr>
          <w:rFonts w:ascii="宋体" w:hAnsi="宋体" w:hint="eastAsia"/>
        </w:rPr>
        <w:t>7.6  工期要求：投标人在投标时对其所投项目应提交交货进度、交货计划等，在合同规定的时间内完成项目实施工作。</w:t>
      </w:r>
    </w:p>
    <w:p>
      <w:pPr>
        <w:ind w:firstLine="412" w:firstLineChars="196"/>
        <w:rPr>
          <w:rFonts w:ascii="宋体" w:hAnsi="宋体"/>
        </w:rPr>
      </w:pPr>
      <w:r>
        <w:rPr>
          <w:rFonts w:ascii="宋体" w:hAnsi="宋体" w:hint="eastAsia"/>
        </w:rPr>
        <w:t>7.7  投标人必须承担的设备运输、安装调试、验收检测和提供设备操作说明书、图纸等其他相关及类似的义务。</w:t>
      </w:r>
    </w:p>
    <w:p>
      <w:pPr>
        <w:rPr>
          <w:rFonts w:ascii="黑体" w:eastAsia="黑体" w:hAnsi="宋体"/>
          <w:sz w:val="24"/>
        </w:rPr>
      </w:pPr>
      <w:r>
        <w:rPr>
          <w:rFonts w:ascii="黑体" w:eastAsia="黑体" w:hAnsi="宋体" w:hint="eastAsia"/>
          <w:sz w:val="24"/>
        </w:rPr>
        <w:t>8．投标费用</w:t>
      </w:r>
    </w:p>
    <w:p>
      <w:pPr>
        <w:ind w:firstLine="412" w:firstLineChars="196"/>
        <w:rPr>
          <w:rFonts w:ascii="宋体" w:hAnsi="宋体"/>
          <w:szCs w:val="21"/>
        </w:rPr>
      </w:pPr>
      <w:r>
        <w:rPr>
          <w:rFonts w:ascii="宋体" w:hAnsi="宋体" w:hint="eastAsia"/>
          <w:szCs w:val="21"/>
        </w:rPr>
        <w:t>不论投标结果如何，投标人应承担其编制投标文件与递交投标文件所涉及的一切费用。</w:t>
      </w:r>
    </w:p>
    <w:p>
      <w:pPr>
        <w:rPr>
          <w:rFonts w:ascii="黑体" w:eastAsia="黑体" w:hAnsi="宋体"/>
          <w:sz w:val="24"/>
        </w:rPr>
      </w:pPr>
      <w:r>
        <w:rPr>
          <w:rFonts w:ascii="黑体" w:eastAsia="黑体" w:hAnsi="宋体" w:hint="eastAsia"/>
          <w:sz w:val="24"/>
        </w:rPr>
        <w:t>9．踏勘现场</w:t>
      </w:r>
    </w:p>
    <w:p>
      <w:pPr>
        <w:ind w:firstLine="412" w:firstLineChars="196"/>
        <w:rPr>
          <w:rFonts w:ascii="宋体" w:hAnsi="宋体"/>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2" w:firstLineChars="196"/>
        <w:rPr>
          <w:rFonts w:ascii="宋体" w:hAnsi="宋体"/>
        </w:rPr>
      </w:pPr>
      <w:r>
        <w:rPr>
          <w:rFonts w:ascii="宋体" w:hAnsi="宋体" w:hint="eastAsia"/>
        </w:rPr>
        <w:t>9.2投标人及其人员经过采购人的允许，可以进入采购人的项目现场踏勘。若招标文件要求投标人于统一时间地点踏勘现场的，投标人应当按时前往。</w:t>
      </w:r>
    </w:p>
    <w:p>
      <w:pPr>
        <w:ind w:firstLine="412" w:firstLineChars="196"/>
        <w:rPr>
          <w:rFonts w:ascii="宋体" w:hAnsi="宋体"/>
        </w:rPr>
      </w:pPr>
      <w:r>
        <w:rPr>
          <w:rFonts w:ascii="宋体" w:hAnsi="宋体" w:hint="eastAsia"/>
        </w:rPr>
        <w:t>9.3采购人应当通过政府集中采购机构向投标人提供有关现场的书面资料和数据。</w:t>
      </w:r>
    </w:p>
    <w:p>
      <w:pPr>
        <w:ind w:firstLine="412" w:firstLineChars="196"/>
        <w:rPr>
          <w:rFonts w:ascii="宋体" w:hAnsi="宋体"/>
        </w:rPr>
      </w:pPr>
      <w:r>
        <w:rPr>
          <w:rFonts w:ascii="宋体" w:hAnsi="宋体" w:hint="eastAsia"/>
        </w:rPr>
        <w:t>9.4任何人或任何组织在踏勘现场时向投标人提供的任何书面资料或口头承诺，未经政府集中采购机构在网上发布或书面通知，均作无效处理。</w:t>
      </w:r>
    </w:p>
    <w:p>
      <w:pPr>
        <w:ind w:firstLine="412" w:firstLineChars="196"/>
        <w:rPr>
          <w:rFonts w:ascii="宋体" w:hAnsi="宋体"/>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pPr>
        <w:rPr>
          <w:rFonts w:ascii="宋体" w:hAnsi="宋体"/>
          <w:szCs w:val="21"/>
        </w:rPr>
      </w:pPr>
      <w:r>
        <w:rPr>
          <w:rFonts w:ascii="黑体" w:eastAsia="黑体" w:hAnsi="宋体" w:hint="eastAsia"/>
          <w:sz w:val="24"/>
        </w:rPr>
        <w:t>1</w:t>
      </w:r>
      <w:r>
        <w:rPr>
          <w:rFonts w:ascii="黑体" w:eastAsia="黑体" w:hAnsi="宋体"/>
          <w:sz w:val="24"/>
        </w:rPr>
        <w:t>0</w:t>
      </w:r>
      <w:r>
        <w:rPr>
          <w:rFonts w:ascii="黑体" w:eastAsia="黑体" w:hAnsi="宋体" w:hint="eastAsia"/>
          <w:sz w:val="24"/>
        </w:rPr>
        <w:t>．标前会议</w:t>
      </w:r>
    </w:p>
    <w:p>
      <w:pPr>
        <w:ind w:firstLine="412" w:firstLineChars="196"/>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2" w:firstLineChars="196"/>
        <w:rPr>
          <w:rFonts w:ascii="宋体" w:hAnsi="宋体"/>
          <w:szCs w:val="21"/>
        </w:rPr>
      </w:pPr>
      <w:r>
        <w:rPr>
          <w:rFonts w:ascii="宋体" w:hAnsi="宋体"/>
        </w:rPr>
        <w:t>10</w:t>
      </w:r>
      <w:r>
        <w:rPr>
          <w:rFonts w:ascii="宋体" w:hAnsi="宋体" w:hint="eastAsia"/>
        </w:rPr>
        <w:t>.</w:t>
      </w:r>
      <w:r>
        <w:rPr>
          <w:rFonts w:ascii="宋体" w:hAnsi="宋体"/>
        </w:rPr>
        <w:t>2</w:t>
      </w:r>
      <w:r>
        <w:rPr>
          <w:rFonts w:ascii="宋体" w:hAnsi="宋体" w:hint="eastAsia"/>
        </w:rPr>
        <w:t>任何人或任何组织在标前会议时向投标人提供的任何书面资料或口头承诺，未经政府集中采购机构在网上发布或书面通知，均作无效处理。</w:t>
      </w:r>
    </w:p>
    <w:p>
      <w:pPr>
        <w:ind w:firstLine="412" w:firstLineChars="196"/>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p>
      <w:pPr>
        <w:ind w:firstLine="412" w:firstLineChars="196"/>
        <w:rPr>
          <w:rFonts w:ascii="宋体" w:hAnsi="宋体"/>
        </w:rPr>
      </w:pPr>
      <w:bookmarkEnd w:id="92"/>
    </w:p>
    <w:p>
      <w:pPr>
        <w:pStyle w:val="Heading2"/>
        <w:numPr>
          <w:ilvl w:val="0"/>
          <w:numId w:val="16"/>
        </w:numPr>
        <w:spacing w:before="120" w:beforeLines="50" w:after="120" w:afterLines="50"/>
        <w:ind w:left="562" w:hanging="562"/>
        <w:rPr>
          <w:sz w:val="28"/>
          <w:szCs w:val="28"/>
        </w:rPr>
      </w:pPr>
      <w:r>
        <w:rPr>
          <w:rFonts w:hint="eastAsia"/>
          <w:sz w:val="28"/>
          <w:szCs w:val="28"/>
        </w:rPr>
        <w:t>招标文件</w:t>
      </w:r>
    </w:p>
    <w:p>
      <w:pPr>
        <w:rPr>
          <w:rFonts w:ascii="黑体" w:eastAsia="黑体" w:hAnsi="宋体"/>
          <w:sz w:val="24"/>
        </w:rPr>
      </w:pPr>
      <w:r>
        <w:rPr>
          <w:rFonts w:ascii="黑体" w:eastAsia="黑体" w:hAnsi="宋体" w:hint="eastAsia"/>
          <w:sz w:val="24"/>
        </w:rPr>
        <w:t>1</w:t>
      </w:r>
      <w:r>
        <w:rPr>
          <w:rFonts w:ascii="黑体" w:eastAsia="黑体" w:hAnsi="宋体"/>
          <w:sz w:val="24"/>
        </w:rPr>
        <w:t>1</w:t>
      </w:r>
      <w:r>
        <w:rPr>
          <w:rFonts w:ascii="黑体" w:eastAsia="黑体" w:hAnsi="宋体" w:hint="eastAsia"/>
          <w:sz w:val="24"/>
        </w:rPr>
        <w:t>．</w:t>
      </w:r>
      <w:bookmarkStart w:id="94" w:name="_Hlk72399819"/>
      <w:r>
        <w:rPr>
          <w:rFonts w:ascii="黑体" w:eastAsia="黑体" w:hAnsi="宋体" w:hint="eastAsia"/>
          <w:sz w:val="24"/>
        </w:rPr>
        <w:t>招标文件的编制与组成</w:t>
      </w:r>
    </w:p>
    <w:p>
      <w:pPr>
        <w:snapToGrid w:val="0"/>
        <w:ind w:firstLine="420" w:firstLineChars="20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pPr>
        <w:ind w:firstLine="412" w:firstLineChars="196"/>
        <w:rPr>
          <w:rFonts w:ascii="宋体" w:hAnsi="宋体"/>
          <w:szCs w:val="21"/>
        </w:rPr>
      </w:pPr>
      <w:r>
        <w:rPr>
          <w:rFonts w:ascii="宋体" w:hAnsi="宋体" w:hint="eastAsia"/>
          <w:szCs w:val="21"/>
        </w:rPr>
        <w:t>招标文件包括下列内容：</w:t>
      </w:r>
    </w:p>
    <w:p>
      <w:pPr>
        <w:ind w:left="420" w:firstLine="412" w:leftChars="200" w:firstLineChars="196"/>
        <w:rPr>
          <w:rFonts w:ascii="宋体" w:hAnsi="宋体"/>
          <w:b/>
          <w:szCs w:val="21"/>
        </w:rPr>
      </w:pPr>
      <w:r>
        <w:rPr>
          <w:rFonts w:ascii="宋体" w:hAnsi="宋体" w:hint="eastAsia"/>
          <w:b/>
          <w:szCs w:val="21"/>
        </w:rPr>
        <w:t>第一册  专用条款</w:t>
      </w:r>
    </w:p>
    <w:p>
      <w:pPr>
        <w:ind w:left="1079" w:leftChars="514"/>
        <w:rPr>
          <w:rFonts w:ascii="宋体" w:hAnsi="宋体"/>
          <w:b/>
          <w:szCs w:val="21"/>
        </w:rPr>
      </w:pPr>
      <w:r>
        <w:rPr>
          <w:rFonts w:ascii="宋体" w:hAnsi="宋体" w:hint="eastAsia"/>
          <w:b/>
          <w:szCs w:val="21"/>
        </w:rPr>
        <w:t>关键信息</w:t>
      </w:r>
    </w:p>
    <w:p>
      <w:pPr>
        <w:ind w:left="630" w:firstLine="412" w:leftChars="300" w:firstLineChars="196"/>
        <w:rPr>
          <w:rFonts w:ascii="宋体" w:hAnsi="宋体"/>
          <w:szCs w:val="21"/>
        </w:rPr>
      </w:pPr>
      <w:r>
        <w:rPr>
          <w:rFonts w:ascii="宋体" w:hAnsi="宋体" w:hint="eastAsia"/>
          <w:szCs w:val="21"/>
        </w:rPr>
        <w:t>第一章  招标公告</w:t>
      </w:r>
    </w:p>
    <w:p>
      <w:pPr>
        <w:ind w:left="630" w:firstLine="412" w:leftChars="300" w:firstLineChars="196"/>
        <w:rPr>
          <w:rFonts w:ascii="宋体" w:hAnsi="宋体"/>
          <w:szCs w:val="21"/>
        </w:rPr>
      </w:pPr>
      <w:r>
        <w:rPr>
          <w:rFonts w:ascii="宋体" w:hAnsi="宋体" w:hint="eastAsia"/>
          <w:szCs w:val="21"/>
        </w:rPr>
        <w:t>第二章  对通用条款的补充内容及其他关键信息</w:t>
      </w:r>
    </w:p>
    <w:p>
      <w:pPr>
        <w:ind w:left="630" w:firstLine="412" w:leftChars="300" w:firstLineChars="196"/>
        <w:rPr>
          <w:rFonts w:ascii="宋体" w:hAnsi="宋体"/>
          <w:szCs w:val="21"/>
        </w:rPr>
      </w:pPr>
      <w:r>
        <w:rPr>
          <w:rFonts w:ascii="宋体" w:hAnsi="宋体" w:hint="eastAsia"/>
          <w:szCs w:val="21"/>
        </w:rPr>
        <w:t>第三章  用户需求书</w:t>
      </w:r>
    </w:p>
    <w:p>
      <w:pPr>
        <w:ind w:left="630" w:firstLine="412" w:leftChars="300" w:firstLineChars="196"/>
        <w:rPr>
          <w:rFonts w:ascii="宋体" w:hAnsi="宋体"/>
          <w:szCs w:val="21"/>
        </w:rPr>
      </w:pPr>
      <w:r>
        <w:rPr>
          <w:rFonts w:hint="eastAsia"/>
        </w:rPr>
        <w:t xml:space="preserve">第四章 </w:t>
      </w:r>
      <w:r>
        <w:t xml:space="preserve"> </w:t>
      </w:r>
      <w:r>
        <w:rPr>
          <w:rFonts w:hint="eastAsia"/>
        </w:rPr>
        <w:t>投标文件格式及附件</w:t>
      </w:r>
    </w:p>
    <w:p>
      <w:pPr>
        <w:ind w:left="630" w:firstLine="412" w:leftChars="300" w:firstLineChars="196"/>
        <w:rPr>
          <w:rFonts w:ascii="宋体" w:hAnsi="宋体"/>
          <w:szCs w:val="21"/>
        </w:rPr>
      </w:pPr>
      <w:r>
        <w:rPr>
          <w:rFonts w:ascii="宋体" w:hAnsi="宋体" w:hint="eastAsia"/>
          <w:szCs w:val="21"/>
        </w:rPr>
        <w:t>第五章  合同条款及格式</w:t>
      </w:r>
    </w:p>
    <w:p>
      <w:pPr>
        <w:ind w:left="420" w:firstLine="412" w:leftChars="200" w:firstLineChars="196"/>
        <w:rPr>
          <w:rFonts w:ascii="宋体" w:hAnsi="宋体"/>
          <w:b/>
          <w:szCs w:val="21"/>
        </w:rPr>
      </w:pPr>
      <w:r>
        <w:rPr>
          <w:rFonts w:ascii="宋体" w:hAnsi="宋体" w:hint="eastAsia"/>
          <w:b/>
          <w:szCs w:val="21"/>
        </w:rPr>
        <w:t>第二册  通用条款</w:t>
      </w:r>
    </w:p>
    <w:p>
      <w:pPr>
        <w:ind w:left="630" w:firstLine="412" w:leftChars="300" w:firstLineChars="196"/>
        <w:rPr>
          <w:rFonts w:ascii="宋体" w:hAnsi="宋体"/>
          <w:szCs w:val="21"/>
        </w:rPr>
      </w:pPr>
      <w:r>
        <w:rPr>
          <w:rFonts w:ascii="宋体" w:hAnsi="宋体" w:hint="eastAsia"/>
          <w:szCs w:val="21"/>
        </w:rPr>
        <w:t>第一章  总则</w:t>
      </w:r>
    </w:p>
    <w:p>
      <w:pPr>
        <w:ind w:left="630" w:firstLine="412" w:leftChars="300" w:firstLineChars="196"/>
        <w:rPr>
          <w:rFonts w:ascii="宋体" w:hAnsi="宋体"/>
          <w:szCs w:val="21"/>
        </w:rPr>
      </w:pPr>
      <w:r>
        <w:rPr>
          <w:rFonts w:ascii="宋体" w:hAnsi="宋体" w:hint="eastAsia"/>
          <w:szCs w:val="21"/>
        </w:rPr>
        <w:t>第二章  招标文件</w:t>
      </w:r>
    </w:p>
    <w:p>
      <w:pPr>
        <w:ind w:left="630" w:firstLine="412" w:leftChars="300" w:firstLineChars="196"/>
        <w:rPr>
          <w:rFonts w:ascii="宋体" w:hAnsi="宋体"/>
          <w:szCs w:val="21"/>
        </w:rPr>
      </w:pPr>
      <w:r>
        <w:rPr>
          <w:rFonts w:ascii="宋体" w:hAnsi="宋体" w:hint="eastAsia"/>
          <w:szCs w:val="21"/>
        </w:rPr>
        <w:t>第三章  投标文件的编制</w:t>
      </w:r>
    </w:p>
    <w:p>
      <w:pPr>
        <w:ind w:left="630" w:firstLine="412" w:leftChars="300" w:firstLineChars="196"/>
        <w:rPr>
          <w:rFonts w:ascii="宋体" w:hAnsi="宋体"/>
          <w:szCs w:val="21"/>
        </w:rPr>
      </w:pPr>
      <w:r>
        <w:rPr>
          <w:rFonts w:ascii="宋体" w:hAnsi="宋体" w:hint="eastAsia"/>
          <w:szCs w:val="21"/>
        </w:rPr>
        <w:t>第四章  投标文件的递交</w:t>
      </w:r>
    </w:p>
    <w:p>
      <w:pPr>
        <w:ind w:left="630" w:firstLine="412" w:leftChars="300" w:firstLineChars="196"/>
        <w:rPr>
          <w:rFonts w:ascii="宋体" w:hAnsi="宋体"/>
          <w:szCs w:val="21"/>
        </w:rPr>
      </w:pPr>
      <w:r>
        <w:rPr>
          <w:rFonts w:ascii="宋体" w:hAnsi="宋体" w:hint="eastAsia"/>
          <w:szCs w:val="21"/>
        </w:rPr>
        <w:t>第五章  开标</w:t>
      </w:r>
    </w:p>
    <w:p>
      <w:pPr>
        <w:ind w:left="630" w:firstLine="412" w:leftChars="300" w:firstLineChars="196"/>
        <w:rPr>
          <w:rFonts w:ascii="宋体" w:hAnsi="宋体"/>
          <w:szCs w:val="21"/>
        </w:rPr>
      </w:pPr>
      <w:r>
        <w:rPr>
          <w:rFonts w:ascii="宋体" w:hAnsi="宋体" w:hint="eastAsia"/>
          <w:szCs w:val="21"/>
        </w:rPr>
        <w:t>第六章  评审要求</w:t>
      </w:r>
    </w:p>
    <w:p>
      <w:pPr>
        <w:ind w:left="630" w:firstLine="412" w:leftChars="300" w:firstLineChars="196"/>
        <w:rPr>
          <w:rFonts w:ascii="宋体" w:hAnsi="宋体"/>
          <w:szCs w:val="21"/>
        </w:rPr>
      </w:pPr>
      <w:r>
        <w:rPr>
          <w:rFonts w:ascii="宋体" w:hAnsi="宋体" w:hint="eastAsia"/>
          <w:szCs w:val="21"/>
        </w:rPr>
        <w:t>第七章  评审程序及评审方法</w:t>
      </w:r>
    </w:p>
    <w:p>
      <w:pPr>
        <w:ind w:left="630" w:firstLine="412" w:leftChars="300" w:firstLineChars="196"/>
        <w:rPr>
          <w:rFonts w:ascii="宋体" w:hAnsi="宋体"/>
          <w:szCs w:val="21"/>
        </w:rPr>
      </w:pPr>
      <w:r>
        <w:rPr>
          <w:rFonts w:ascii="宋体" w:hAnsi="宋体" w:hint="eastAsia"/>
          <w:szCs w:val="21"/>
        </w:rPr>
        <w:t>第八章  定标及公示</w:t>
      </w:r>
    </w:p>
    <w:p>
      <w:pPr>
        <w:ind w:left="630" w:firstLine="412" w:leftChars="300" w:firstLineChars="196"/>
        <w:rPr>
          <w:rFonts w:ascii="宋体" w:hAnsi="宋体"/>
          <w:szCs w:val="21"/>
        </w:rPr>
      </w:pPr>
      <w:r>
        <w:rPr>
          <w:rFonts w:ascii="宋体" w:hAnsi="宋体" w:hint="eastAsia"/>
          <w:szCs w:val="21"/>
        </w:rPr>
        <w:t>第九章  公开招标失败的后续处理</w:t>
      </w:r>
    </w:p>
    <w:p>
      <w:pPr>
        <w:ind w:left="630" w:firstLine="412" w:leftChars="300" w:firstLineChars="196"/>
        <w:rPr>
          <w:rFonts w:ascii="宋体" w:hAnsi="宋体"/>
          <w:szCs w:val="21"/>
        </w:rPr>
      </w:pPr>
      <w:r>
        <w:rPr>
          <w:rFonts w:ascii="宋体" w:hAnsi="宋体" w:hint="eastAsia"/>
          <w:szCs w:val="21"/>
        </w:rPr>
        <w:t>第十章  合同的授予与备案</w:t>
      </w:r>
    </w:p>
    <w:p>
      <w:pPr>
        <w:ind w:left="630" w:firstLine="412" w:leftChars="300" w:firstLineChars="196"/>
        <w:rPr>
          <w:rFonts w:ascii="宋体" w:hAnsi="宋体"/>
          <w:szCs w:val="21"/>
        </w:rPr>
      </w:pPr>
      <w:r>
        <w:rPr>
          <w:rFonts w:ascii="宋体" w:hAnsi="宋体" w:hint="eastAsia"/>
          <w:szCs w:val="21"/>
        </w:rPr>
        <w:t>第十一章  质疑处理</w:t>
      </w:r>
    </w:p>
    <w:p>
      <w:pPr>
        <w:ind w:firstLine="412" w:firstLineChars="196"/>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2" w:firstLineChars="196"/>
        <w:rPr>
          <w:rFonts w:ascii="宋体" w:hAnsi="宋体" w:hint="eastAsia"/>
        </w:rPr>
      </w:pPr>
      <w:r>
        <w:rPr>
          <w:rFonts w:ascii="宋体" w:hAnsi="宋体" w:hint="eastAsia"/>
          <w:szCs w:val="21"/>
        </w:rPr>
        <w:t>1</w:t>
      </w:r>
      <w:r>
        <w:rPr>
          <w:rFonts w:ascii="宋体" w:hAnsi="宋体"/>
          <w:szCs w:val="21"/>
        </w:rPr>
        <w:t>1</w:t>
      </w:r>
      <w:r>
        <w:rPr>
          <w:rFonts w:ascii="宋体" w:hAnsi="宋体" w:hint="eastAsia"/>
          <w:szCs w:val="21"/>
        </w:rPr>
        <w:t>.3</w:t>
      </w:r>
      <w:r>
        <w:rPr>
          <w:rFonts w:ascii="宋体" w:hAnsi="宋体" w:hint="eastAsia"/>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pStyle w:val="BodyText"/>
        <w:ind w:firstLine="420" w:firstLineChars="200"/>
        <w:rPr>
          <w:rFonts w:ascii="宋体" w:eastAsia="宋体" w:hAnsi="宋体" w:cs="Times New Roman" w:hint="default"/>
          <w:b w:val="0"/>
          <w:bCs w:val="0"/>
          <w:kern w:val="2"/>
          <w:sz w:val="21"/>
          <w:szCs w:val="24"/>
          <w:lang w:val="en-US" w:eastAsia="zh-CN" w:bidi="ar-SA"/>
        </w:rPr>
      </w:pPr>
      <w:r>
        <w:rPr>
          <w:rFonts w:ascii="宋体" w:eastAsia="宋体" w:hAnsi="宋体" w:cs="Times New Roman" w:hint="eastAsia"/>
          <w:b w:val="0"/>
          <w:bCs w:val="0"/>
          <w:kern w:val="2"/>
          <w:sz w:val="21"/>
          <w:szCs w:val="24"/>
          <w:lang w:val="en-US" w:eastAsia="zh-CN" w:bidi="ar-SA"/>
        </w:rPr>
        <w:t>11.4</w:t>
      </w:r>
      <w:r>
        <w:rPr>
          <w:rFonts w:ascii="宋体" w:hAnsi="宋体" w:cs="Times New Roman" w:hint="eastAsia"/>
          <w:b w:val="0"/>
          <w:bCs w:val="0"/>
          <w:kern w:val="2"/>
          <w:sz w:val="21"/>
          <w:szCs w:val="24"/>
          <w:lang w:val="en-US" w:eastAsia="zh-CN" w:bidi="ar-SA"/>
        </w:rPr>
        <w:t>招标文件所称“原件</w:t>
      </w:r>
      <w:r>
        <w:rPr>
          <w:rFonts w:ascii="宋体" w:eastAsia="宋体" w:hAnsi="宋体" w:cs="Times New Roman" w:hint="eastAsia"/>
          <w:b w:val="0"/>
          <w:bCs w:val="0"/>
          <w:kern w:val="2"/>
          <w:sz w:val="21"/>
          <w:szCs w:val="24"/>
          <w:lang w:val="en-US" w:eastAsia="zh-CN" w:bidi="ar-SA"/>
        </w:rPr>
        <w:t>备查</w:t>
      </w:r>
      <w:r>
        <w:rPr>
          <w:rFonts w:ascii="宋体" w:hAnsi="宋体" w:cs="Times New Roman" w:hint="eastAsia"/>
          <w:b w:val="0"/>
          <w:bCs w:val="0"/>
          <w:kern w:val="2"/>
          <w:sz w:val="21"/>
          <w:szCs w:val="24"/>
          <w:lang w:val="en-US" w:eastAsia="zh-CN" w:bidi="ar-SA"/>
        </w:rPr>
        <w:t>”，</w:t>
      </w:r>
      <w:r>
        <w:rPr>
          <w:rFonts w:ascii="宋体" w:eastAsia="宋体" w:hAnsi="宋体" w:cs="Times New Roman" w:hint="eastAsia"/>
          <w:b w:val="0"/>
          <w:bCs w:val="0"/>
          <w:kern w:val="2"/>
          <w:sz w:val="21"/>
          <w:szCs w:val="24"/>
          <w:lang w:val="en-US" w:eastAsia="zh-CN" w:bidi="ar-SA"/>
        </w:rPr>
        <w:t>是指在项目产生质疑、投诉等阶段，主管部门、采购人、代理机构、评审委员会等可以要求供应商提供原件进行核查。</w:t>
      </w:r>
    </w:p>
    <w:p>
      <w:pPr>
        <w:rPr>
          <w:rFonts w:ascii="黑体" w:eastAsia="黑体" w:hAnsi="宋体"/>
          <w:sz w:val="24"/>
        </w:rPr>
      </w:pPr>
      <w:r>
        <w:rPr>
          <w:rFonts w:ascii="黑体" w:eastAsia="黑体" w:hAnsi="宋体" w:hint="eastAsia"/>
          <w:sz w:val="24"/>
        </w:rPr>
        <w:t>1</w:t>
      </w:r>
      <w:r>
        <w:rPr>
          <w:rFonts w:ascii="黑体" w:eastAsia="黑体" w:hAnsi="宋体"/>
          <w:sz w:val="24"/>
        </w:rPr>
        <w:t>2</w:t>
      </w:r>
      <w:r>
        <w:rPr>
          <w:rFonts w:ascii="黑体" w:eastAsia="黑体" w:hAnsi="宋体" w:hint="eastAsia"/>
          <w:sz w:val="24"/>
        </w:rPr>
        <w:t>．招标文件的澄清</w:t>
      </w:r>
    </w:p>
    <w:p>
      <w:pPr>
        <w:ind w:firstLine="412" w:firstLineChars="196"/>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pPr>
        <w:ind w:firstLine="412" w:firstLineChars="196"/>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.2投标人如对招标文件内容有疑问，应当在招标公告规定的澄清（提问）截止时间前以网上提问的形式通过网上政府采购系统提交政府集中采购机构。</w:t>
      </w:r>
    </w:p>
    <w:p>
      <w:pPr>
        <w:ind w:firstLine="412" w:firstLineChars="196"/>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pPr>
        <w:rPr>
          <w:rFonts w:ascii="黑体" w:eastAsia="黑体" w:hAnsi="宋体"/>
          <w:sz w:val="24"/>
        </w:rPr>
      </w:pPr>
      <w:r>
        <w:rPr>
          <w:rFonts w:ascii="黑体" w:eastAsia="黑体" w:hAnsi="宋体"/>
          <w:sz w:val="24"/>
        </w:rPr>
        <w:t>1</w:t>
      </w:r>
      <w:r>
        <w:rPr>
          <w:rFonts w:ascii="黑体" w:eastAsia="黑体" w:hAnsi="宋体" w:hint="eastAsia"/>
          <w:sz w:val="24"/>
        </w:rPr>
        <w:t>3．招标文件的修改</w:t>
      </w:r>
    </w:p>
    <w:p>
      <w:pPr>
        <w:ind w:firstLine="412" w:firstLineChars="196"/>
        <w:rPr>
          <w:rFonts w:ascii="宋体" w:hAnsi="宋体"/>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pPr>
        <w:ind w:firstLine="412" w:firstLineChars="196"/>
        <w:rPr>
          <w:rFonts w:ascii="宋体" w:hAnsi="宋体"/>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pPr>
        <w:ind w:firstLine="412" w:firstLineChars="196"/>
        <w:rPr>
          <w:rFonts w:ascii="宋体" w:hAnsi="宋体"/>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2" w:firstLineChars="196"/>
        <w:rPr>
          <w:rFonts w:ascii="宋体" w:hAnsi="宋体"/>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94"/>
    </w:p>
    <w:p>
      <w:pPr>
        <w:rPr>
          <w:rFonts w:ascii="宋体" w:hAnsi="宋体"/>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投标文件的编制</w:t>
      </w:r>
    </w:p>
    <w:p>
      <w:pPr>
        <w:rPr>
          <w:rFonts w:ascii="黑体" w:eastAsia="黑体" w:hAnsi="宋体"/>
          <w:sz w:val="24"/>
        </w:rPr>
      </w:pPr>
      <w:r>
        <w:rPr>
          <w:rFonts w:ascii="黑体" w:eastAsia="黑体" w:hAnsi="宋体" w:hint="eastAsia"/>
          <w:sz w:val="24"/>
        </w:rPr>
        <w:t>14．</w:t>
      </w:r>
      <w:bookmarkStart w:id="95" w:name="_Hlk72400236"/>
      <w:r>
        <w:rPr>
          <w:rFonts w:ascii="黑体" w:eastAsia="黑体" w:hAnsi="宋体" w:hint="eastAsia"/>
          <w:sz w:val="24"/>
        </w:rPr>
        <w:t>投标文件的语言及度量单位</w:t>
      </w:r>
    </w:p>
    <w:p>
      <w:pPr>
        <w:ind w:firstLine="412" w:firstLineChars="196"/>
        <w:rPr>
          <w:rFonts w:ascii="宋体" w:hAnsi="宋体"/>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2" w:firstLineChars="196"/>
        <w:rPr>
          <w:rFonts w:ascii="宋体" w:hAnsi="宋体"/>
          <w:szCs w:val="21"/>
        </w:rPr>
      </w:pPr>
      <w:r>
        <w:rPr>
          <w:rFonts w:ascii="宋体" w:hAnsi="宋体" w:hint="eastAsia"/>
          <w:szCs w:val="21"/>
        </w:rPr>
        <w:t>14.2 除技术规范另有规定外，投标文件使用的度量单位，均采用中华人民共和国法定计量单位。</w:t>
      </w:r>
    </w:p>
    <w:p>
      <w:pPr>
        <w:rPr>
          <w:rFonts w:ascii="黑体" w:eastAsia="黑体" w:hAnsi="宋体"/>
          <w:sz w:val="24"/>
        </w:rPr>
      </w:pPr>
      <w:bookmarkEnd w:id="95"/>
      <w:r>
        <w:rPr>
          <w:rFonts w:ascii="黑体" w:eastAsia="黑体" w:hAnsi="宋体" w:hint="eastAsia"/>
          <w:sz w:val="24"/>
        </w:rPr>
        <w:t>15．</w:t>
      </w:r>
      <w:bookmarkStart w:id="96" w:name="_Hlk72401567"/>
      <w:r>
        <w:rPr>
          <w:rFonts w:ascii="黑体" w:eastAsia="黑体" w:hAnsi="宋体" w:hint="eastAsia"/>
          <w:sz w:val="24"/>
        </w:rPr>
        <w:t>投标文件的组成</w:t>
      </w:r>
    </w:p>
    <w:p>
      <w:pPr>
        <w:ind w:firstLine="412" w:firstLineChars="196"/>
        <w:rPr>
          <w:rFonts w:ascii="宋体" w:hAnsi="宋体"/>
          <w:szCs w:val="21"/>
        </w:rPr>
      </w:pPr>
      <w:r>
        <w:rPr>
          <w:rFonts w:ascii="宋体" w:hAnsi="宋体" w:hint="eastAsia"/>
          <w:szCs w:val="21"/>
        </w:rPr>
        <w:t>具体内容在招标文件专用条款中进行规定。</w:t>
      </w:r>
    </w:p>
    <w:p>
      <w:pPr>
        <w:rPr>
          <w:rFonts w:ascii="黑体" w:eastAsia="黑体" w:hAnsi="宋体"/>
          <w:sz w:val="24"/>
        </w:rPr>
      </w:pPr>
      <w:r>
        <w:rPr>
          <w:rFonts w:ascii="黑体" w:eastAsia="黑体" w:hAnsi="宋体"/>
          <w:sz w:val="24"/>
        </w:rPr>
        <w:t>16．投标文件格式</w:t>
      </w:r>
    </w:p>
    <w:p>
      <w:pPr>
        <w:ind w:firstLine="412" w:firstLineChars="196"/>
        <w:rPr>
          <w:rFonts w:ascii="宋体" w:hAnsi="宋体"/>
          <w:szCs w:val="21"/>
        </w:rPr>
      </w:pPr>
      <w:r>
        <w:rPr>
          <w:rFonts w:ascii="宋体" w:hAnsi="宋体" w:hint="eastAsia"/>
          <w:szCs w:val="21"/>
        </w:rPr>
        <w:t>投标文件包括本通用条款第</w:t>
      </w:r>
      <w:r>
        <w:rPr>
          <w:rFonts w:ascii="宋体" w:hAnsi="宋体"/>
          <w:szCs w:val="21"/>
        </w:rPr>
        <w:t>15条中规定的内容。如招标文件提供了投标文件格式，则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pPr>
        <w:rPr>
          <w:rFonts w:ascii="黑体" w:eastAsia="黑体" w:hAnsi="宋体"/>
          <w:sz w:val="24"/>
        </w:rPr>
      </w:pPr>
      <w:r>
        <w:rPr>
          <w:rFonts w:ascii="黑体" w:eastAsia="黑体" w:hAnsi="宋体" w:hint="eastAsia"/>
          <w:sz w:val="24"/>
        </w:rPr>
        <w:t>17．投标货币</w:t>
      </w:r>
    </w:p>
    <w:p>
      <w:pPr>
        <w:ind w:firstLine="412" w:firstLineChars="196"/>
        <w:rPr>
          <w:rFonts w:ascii="宋体" w:hAnsi="宋体"/>
          <w:szCs w:val="21"/>
        </w:rPr>
      </w:pPr>
      <w:r>
        <w:rPr>
          <w:rFonts w:ascii="宋体" w:hAnsi="宋体" w:hint="eastAsia"/>
          <w:szCs w:val="21"/>
        </w:rPr>
        <w:t>本项目的投标报价应以人民币计。</w:t>
      </w:r>
    </w:p>
    <w:p>
      <w:pPr>
        <w:rPr>
          <w:rFonts w:ascii="黑体" w:eastAsia="黑体" w:hAnsi="宋体"/>
          <w:sz w:val="24"/>
        </w:rPr>
      </w:pPr>
      <w:bookmarkEnd w:id="96"/>
      <w:r>
        <w:rPr>
          <w:rFonts w:ascii="黑体" w:eastAsia="黑体" w:hAnsi="宋体" w:hint="eastAsia"/>
          <w:sz w:val="24"/>
        </w:rPr>
        <w:t>18．</w:t>
      </w:r>
      <w:bookmarkStart w:id="97" w:name="_Hlk72401735"/>
      <w:r>
        <w:rPr>
          <w:rFonts w:ascii="黑体" w:eastAsia="黑体" w:hAnsi="宋体" w:hint="eastAsia"/>
          <w:sz w:val="24"/>
        </w:rPr>
        <w:t>证明投标文件投标技术方案的合格性和符合招标文件规定的文件要求</w:t>
      </w:r>
    </w:p>
    <w:p>
      <w:pPr>
        <w:ind w:firstLine="412" w:firstLineChars="196"/>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pPr>
        <w:ind w:firstLine="412" w:firstLineChars="196"/>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2" w:firstLineChars="196"/>
        <w:rPr>
          <w:rFonts w:ascii="宋体" w:hAnsi="宋体"/>
          <w:szCs w:val="21"/>
        </w:rPr>
      </w:pPr>
      <w:r>
        <w:rPr>
          <w:rFonts w:ascii="宋体" w:hAnsi="宋体" w:hint="eastAsia"/>
          <w:szCs w:val="21"/>
        </w:rPr>
        <w:t>18.2.1主要技术指标和性能的详细说明。</w:t>
      </w:r>
    </w:p>
    <w:p>
      <w:pPr>
        <w:ind w:firstLine="412" w:firstLineChars="196"/>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pPr>
        <w:ind w:firstLine="412" w:firstLineChars="196"/>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2" w:firstLineChars="196"/>
        <w:rPr>
          <w:rFonts w:ascii="宋体" w:hAnsi="宋体"/>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ascii="宋体" w:hAnsi="宋体" w:hint="eastAsia"/>
          <w:szCs w:val="21"/>
        </w:rPr>
        <w:t>；</w:t>
      </w:r>
    </w:p>
    <w:p>
      <w:pPr>
        <w:ind w:firstLine="412" w:firstLineChars="196"/>
        <w:rPr>
          <w:rFonts w:ascii="宋体" w:hAnsi="宋体"/>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2" w:firstLineChars="196"/>
        <w:rPr>
          <w:rFonts w:ascii="宋体" w:hAnsi="宋体"/>
          <w:szCs w:val="21"/>
        </w:rPr>
      </w:pPr>
      <w:r>
        <w:rPr>
          <w:rFonts w:ascii="宋体" w:hAnsi="宋体" w:hint="eastAsia"/>
          <w:szCs w:val="21"/>
        </w:rPr>
        <w:t>18.3相关资料不符合18.2款要求的，评审委员会有权认定为投标技术方案不合格响应，其相关分数予以扣减或作投标无效处理。</w:t>
      </w:r>
    </w:p>
    <w:p>
      <w:pPr>
        <w:ind w:firstLine="412" w:firstLineChars="196"/>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，由评审委员会来评判。</w:t>
      </w:r>
    </w:p>
    <w:p>
      <w:pPr>
        <w:ind w:firstLine="412" w:firstLineChars="196"/>
        <w:rPr>
          <w:rFonts w:ascii="宋体" w:hAnsi="宋体"/>
          <w:szCs w:val="21"/>
        </w:rPr>
      </w:pPr>
      <w:r>
        <w:rPr>
          <w:rFonts w:ascii="宋体" w:hAnsi="宋体" w:hint="eastAsia"/>
          <w:szCs w:val="21"/>
        </w:rPr>
        <w:t>18.5除非另有规定或说明，投标人对同一项目投标时，不得同时提供两套或两套以上的投标方案。</w:t>
      </w:r>
    </w:p>
    <w:p>
      <w:pPr>
        <w:rPr>
          <w:rFonts w:ascii="黑体" w:eastAsia="黑体" w:hAnsi="宋体"/>
          <w:sz w:val="24"/>
        </w:rPr>
      </w:pPr>
      <w:bookmarkEnd w:id="97"/>
      <w:r>
        <w:rPr>
          <w:rFonts w:ascii="黑体" w:eastAsia="黑体" w:hAnsi="宋体" w:hint="eastAsia"/>
          <w:sz w:val="24"/>
        </w:rPr>
        <w:t>19．</w:t>
      </w:r>
      <w:bookmarkStart w:id="98" w:name="_Hlk72402034"/>
      <w:r>
        <w:rPr>
          <w:rFonts w:ascii="黑体" w:eastAsia="黑体" w:hAnsi="宋体" w:hint="eastAsia"/>
          <w:sz w:val="24"/>
        </w:rPr>
        <w:t>投标文件其他证明文件的要求</w:t>
      </w:r>
    </w:p>
    <w:p>
      <w:pPr>
        <w:rPr>
          <w:rFonts w:ascii="宋体" w:hAnsi="宋体"/>
          <w:color w:val="FF0000"/>
          <w:szCs w:val="21"/>
        </w:rPr>
      </w:pPr>
      <w:r>
        <w:rPr>
          <w:rFonts w:ascii="黑体" w:eastAsia="黑体" w:hAnsi="宋体" w:hint="eastAsia"/>
          <w:sz w:val="24"/>
        </w:rPr>
        <w:t xml:space="preserve">    </w:t>
      </w: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9" w:name="_Hlk71407299"/>
      <w:r>
        <w:rPr>
          <w:rFonts w:ascii="宋体" w:hAnsi="宋体" w:hint="eastAsia"/>
          <w:szCs w:val="21"/>
        </w:rPr>
        <w:t>若投标人未按要求提供证明材料或提供的是部分证明材料或提供不清晰的扫描件（或照片）的，采购人</w:t>
      </w:r>
      <w:r>
        <w:rPr>
          <w:rFonts w:ascii="宋体" w:hAnsi="宋体" w:hint="eastAsia"/>
          <w:szCs w:val="21"/>
          <w:lang w:eastAsia="zh-CN"/>
        </w:rPr>
        <w:t>、</w:t>
      </w:r>
      <w:r>
        <w:rPr>
          <w:rFonts w:ascii="宋体" w:hAnsi="宋体" w:hint="eastAsia"/>
          <w:szCs w:val="21"/>
        </w:rPr>
        <w:t>代理机构</w:t>
      </w:r>
      <w:r>
        <w:rPr>
          <w:rFonts w:ascii="宋体" w:hAnsi="宋体" w:hint="eastAsia"/>
          <w:szCs w:val="21"/>
          <w:lang w:val="en-US" w:eastAsia="zh-CN"/>
        </w:rPr>
        <w:t>及</w:t>
      </w:r>
      <w:r>
        <w:rPr>
          <w:rFonts w:ascii="宋体" w:hAnsi="宋体" w:hint="eastAsia"/>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p>
      <w:pPr>
        <w:ind w:firstLine="412" w:firstLineChars="196"/>
        <w:rPr>
          <w:rFonts w:ascii="宋体" w:hAnsi="宋体"/>
          <w:szCs w:val="21"/>
        </w:rPr>
      </w:pPr>
      <w:bookmarkEnd w:id="99"/>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eastAsia="黑体" w:hAnsi="宋体"/>
          <w:sz w:val="24"/>
        </w:rPr>
      </w:pPr>
      <w:r>
        <w:rPr>
          <w:rFonts w:ascii="黑体" w:eastAsia="黑体" w:hAnsi="宋体" w:hint="eastAsia"/>
          <w:sz w:val="24"/>
        </w:rPr>
        <w:t>20．投标有效期</w:t>
      </w:r>
    </w:p>
    <w:p>
      <w:pPr>
        <w:ind w:firstLine="412" w:firstLineChars="196"/>
        <w:rPr>
          <w:rFonts w:ascii="宋体" w:hAnsi="宋体"/>
          <w:szCs w:val="21"/>
        </w:rPr>
      </w:pPr>
      <w:bookmarkEnd w:id="98"/>
      <w:bookmarkStart w:id="100" w:name="_Hlk72402214"/>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pPr>
        <w:ind w:firstLine="412" w:firstLineChars="196"/>
        <w:rPr>
          <w:rFonts w:ascii="宋体" w:hAnsi="宋体"/>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2" w:firstLineChars="196"/>
        <w:rPr>
          <w:rFonts w:ascii="宋体" w:hAnsi="宋体"/>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p>
      <w:pPr>
        <w:rPr>
          <w:rFonts w:ascii="黑体" w:eastAsia="黑体" w:hAnsi="宋体"/>
          <w:sz w:val="24"/>
        </w:rPr>
      </w:pPr>
      <w:bookmarkEnd w:id="100"/>
      <w:r>
        <w:rPr>
          <w:rFonts w:ascii="黑体" w:eastAsia="黑体" w:hAnsi="宋体" w:hint="eastAsia"/>
          <w:sz w:val="24"/>
        </w:rPr>
        <w:t>21．</w:t>
      </w:r>
      <w:bookmarkStart w:id="101" w:name="_Hlk72402325"/>
      <w:r>
        <w:rPr>
          <w:rFonts w:ascii="黑体" w:eastAsia="黑体" w:hAnsi="宋体" w:hint="eastAsia"/>
          <w:sz w:val="24"/>
        </w:rPr>
        <w:t xml:space="preserve">关于投标保证金 </w:t>
      </w:r>
    </w:p>
    <w:p>
      <w:pPr>
        <w:rPr>
          <w:rFonts w:ascii="宋体" w:hAnsi="宋体"/>
          <w:szCs w:val="21"/>
        </w:rPr>
      </w:pPr>
      <w:r>
        <w:rPr>
          <w:rFonts w:ascii="宋体" w:hAnsi="宋体" w:hint="eastAsia"/>
          <w:szCs w:val="21"/>
        </w:rPr>
        <w:t xml:space="preserve">    21.1</w:t>
      </w:r>
      <w:r>
        <w:rPr>
          <w:rFonts w:hint="eastAsia"/>
        </w:rPr>
        <w:t>根据《深圳市财政局关于调整政府采购投标（响应）保证金管理政策的通知》（深财购〔2021〕51号）文的规定，本项目不收取投标保证金。</w:t>
      </w:r>
    </w:p>
    <w:p>
      <w:pPr>
        <w:rPr>
          <w:rFonts w:ascii="黑体" w:eastAsia="黑体" w:hAnsi="宋体"/>
          <w:sz w:val="24"/>
        </w:rPr>
      </w:pPr>
      <w:r>
        <w:rPr>
          <w:rFonts w:ascii="黑体" w:eastAsia="黑体" w:hAnsi="宋体" w:hint="eastAsia"/>
          <w:sz w:val="24"/>
        </w:rPr>
        <w:t>22．投标人的替代方案</w:t>
      </w:r>
    </w:p>
    <w:p>
      <w:pPr>
        <w:ind w:firstLine="412" w:firstLineChars="196"/>
        <w:rPr>
          <w:rFonts w:ascii="宋体" w:hAnsi="宋体"/>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2" w:firstLineChars="196"/>
        <w:rPr>
          <w:rFonts w:ascii="宋体" w:hAnsi="宋体"/>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rPr>
          <w:rFonts w:ascii="黑体" w:eastAsia="黑体" w:hAnsi="宋体"/>
          <w:sz w:val="24"/>
        </w:rPr>
      </w:pPr>
      <w:bookmarkEnd w:id="101"/>
      <w:r>
        <w:rPr>
          <w:rFonts w:ascii="黑体" w:eastAsia="黑体" w:hAnsi="宋体" w:hint="eastAsia"/>
          <w:sz w:val="24"/>
        </w:rPr>
        <w:t>23．</w:t>
      </w:r>
      <w:bookmarkStart w:id="102" w:name="_Hlk72402860"/>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p>
    <w:p>
      <w:pPr>
        <w:ind w:firstLine="412" w:firstLineChars="196"/>
        <w:rPr>
          <w:rFonts w:ascii="宋体" w:hAnsi="宋体"/>
        </w:rPr>
      </w:pPr>
      <w:r>
        <w:rPr>
          <w:rFonts w:ascii="宋体" w:hAnsi="宋体" w:hint="eastAsia"/>
        </w:rPr>
        <w:t>23.1投标人应准备所投项目的电子投标文件一份。此电子投标文件须由投标人根据政府集中采购机构提供的后缀名为.</w:t>
      </w:r>
      <w:r>
        <w:t xml:space="preserve"> </w:t>
      </w:r>
      <w:r>
        <w:rPr>
          <w:rFonts w:ascii="宋体" w:hAnsi="宋体"/>
        </w:rPr>
        <w:t>szczf</w:t>
      </w:r>
      <w:r>
        <w:rPr>
          <w:rFonts w:ascii="宋体" w:hAnsi="宋体" w:hint="eastAsia"/>
        </w:rPr>
        <w:t>的电子招标文件，下载并使用相应的深圳智慧采购平台投标文件制作专用软件打开招标文件（.szczf格式）【下载地址：</w:t>
      </w:r>
      <w:r>
        <w:rPr>
          <w:rFonts w:ascii="宋体" w:hAnsi="宋体"/>
        </w:rPr>
        <w:t>http://zfcg.szggzy.com:8081/cgxy/013002/list.html</w:t>
      </w:r>
      <w:r>
        <w:rPr>
          <w:rFonts w:ascii="宋体" w:hAnsi="宋体" w:hint="eastAsia"/>
        </w:rPr>
        <w:t>】。</w:t>
      </w:r>
    </w:p>
    <w:p>
      <w:pPr>
        <w:ind w:firstLine="412" w:firstLineChars="196"/>
        <w:rPr>
          <w:rFonts w:ascii="宋体" w:hAnsi="宋体"/>
        </w:rPr>
      </w:pPr>
      <w:r>
        <w:rPr>
          <w:rFonts w:ascii="宋体" w:hAnsi="宋体" w:hint="eastAsia"/>
        </w:rPr>
        <w:t>23.2投标人在使用《投标书编制软件》编制投标书时须注意：</w:t>
      </w:r>
    </w:p>
    <w:p>
      <w:pPr>
        <w:ind w:firstLine="412" w:firstLineChars="196"/>
        <w:rPr>
          <w:rFonts w:ascii="宋体" w:hAnsi="宋体"/>
        </w:rPr>
      </w:pPr>
      <w:r>
        <w:rPr>
          <w:rFonts w:ascii="宋体" w:hAnsi="宋体" w:hint="eastAsia"/>
        </w:rPr>
        <w:t>23.2.1导入《投标书编制软件》的招标文件项目编号、包号应与以此制作的投标文件项目编号、包号一致。例如，不能将甲项目A包的招标书导入《投标书编制软件》，制作乙项目B包的投标书。</w:t>
      </w:r>
    </w:p>
    <w:p>
      <w:pPr>
        <w:ind w:firstLine="412" w:firstLineChars="196"/>
        <w:rPr>
          <w:rFonts w:ascii="宋体" w:hAnsi="宋体"/>
        </w:rPr>
      </w:pPr>
      <w:r>
        <w:rPr>
          <w:rFonts w:ascii="宋体" w:hAnsi="宋体" w:hint="eastAsia"/>
        </w:rPr>
        <w:t>23.2.2不能用非本公司的电子密钥加密本公司的投标文件，或者用其它公司的登录用户上传本公司的投标文件。</w:t>
      </w:r>
    </w:p>
    <w:p>
      <w:pPr>
        <w:ind w:firstLine="412" w:firstLineChars="196"/>
        <w:rPr>
          <w:rFonts w:ascii="宋体" w:hAnsi="宋体"/>
        </w:rPr>
      </w:pPr>
      <w:r>
        <w:rPr>
          <w:rFonts w:ascii="宋体" w:hAnsi="宋体" w:hint="eastAsia"/>
        </w:rPr>
        <w:t>23.2.3要求用《投标书编制软件》编制投标书的包，不能用其它方式编制投标书。编制投标文件时，电脑须连通互联网。</w:t>
      </w:r>
    </w:p>
    <w:p>
      <w:pPr>
        <w:ind w:firstLine="412" w:firstLineChars="196"/>
        <w:rPr>
          <w:rFonts w:ascii="宋体" w:hAnsi="宋体"/>
        </w:rPr>
      </w:pPr>
      <w:r>
        <w:rPr>
          <w:rFonts w:ascii="宋体" w:hAnsi="宋体" w:hint="eastAsia"/>
        </w:rPr>
        <w:t>23.2.4投标文件不能带病毒。政府集中采购机构将用专业杀毒软件对投标文件进行病毒检测，如果这两种软件均报告发现病毒，则政府集中采购机构认为该投标文件带病毒。</w:t>
      </w:r>
    </w:p>
    <w:p>
      <w:pPr>
        <w:ind w:firstLine="412" w:firstLineChars="196"/>
        <w:rPr>
          <w:rFonts w:ascii="宋体" w:hAnsi="宋体"/>
        </w:rPr>
      </w:pPr>
      <w:r>
        <w:rPr>
          <w:rFonts w:ascii="宋体" w:hAnsi="宋体" w:hint="eastAsia"/>
        </w:rPr>
        <w:t>23.2.5完整填写“投标关键信息”，如下图所示：</w:t>
      </w:r>
    </w:p>
    <w:p>
      <w:pPr>
        <w:rPr>
          <w:rFonts w:ascii="宋体" w:hAnsi="宋体"/>
        </w:rPr>
      </w:pPr>
      <w:r>
        <w:rPr>
          <w:rFonts w:ascii="宋体" w:hAnsi="宋体"/>
        </w:rPr>
        <w:drawing>
          <wp:inline distT="0" distB="0" distL="0" distR="0">
            <wp:extent cx="5278755" cy="2721610"/>
            <wp:effectExtent l="0" t="0" r="0" b="0"/>
            <wp:docPr id="3" name="图片 3"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形用户界面, 应用程序&#10;&#10;描述已自动生成"/>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pPr>
        <w:widowControl/>
        <w:jc w:val="left"/>
        <w:rPr>
          <w:rFonts w:ascii="宋体" w:hAnsi="宋体" w:cs="宋体"/>
          <w:kern w:val="0"/>
          <w:sz w:val="24"/>
        </w:rPr>
      </w:pPr>
    </w:p>
    <w:p>
      <w:pPr>
        <w:ind w:firstLine="412" w:firstLineChars="196"/>
        <w:rPr>
          <w:rFonts w:ascii="宋体" w:hAnsi="宋体"/>
          <w:b/>
        </w:rPr>
      </w:pPr>
      <w:r>
        <w:rPr>
          <w:rFonts w:ascii="宋体" w:hAnsi="宋体" w:hint="eastAsia"/>
          <w:b/>
        </w:rPr>
        <w:t>备注：上述“开标一览表”中的“投标报价”将作为价格分计算依据；其它信息仅是对投标文件相关内容的概括性表述，不作为评审依据。</w:t>
      </w:r>
    </w:p>
    <w:p>
      <w:pPr>
        <w:ind w:firstLine="412" w:firstLineChars="196"/>
        <w:rPr>
          <w:rFonts w:ascii="宋体" w:hAnsi="宋体"/>
        </w:rPr>
      </w:pPr>
      <w:r>
        <w:rPr>
          <w:rFonts w:ascii="宋体" w:hAnsi="宋体" w:hint="eastAsia"/>
        </w:rPr>
        <w:t>23.2.6投标人在编辑投标文件时，</w:t>
      </w:r>
      <w:r>
        <w:rPr>
          <w:rFonts w:ascii="宋体" w:hAnsi="宋体" w:hint="eastAsia"/>
          <w:b/>
        </w:rPr>
        <w:t>在投标文件目录中属于本节点内容的必须在本节点中填写，填写到其他节点或附件，</w:t>
      </w:r>
      <w:r>
        <w:rPr>
          <w:rFonts w:ascii="宋体" w:hAnsi="宋体" w:hint="eastAsia"/>
        </w:rPr>
        <w:t>一切后果由供应商自行承担。</w:t>
      </w:r>
    </w:p>
    <w:p>
      <w:pPr>
        <w:ind w:firstLine="412" w:firstLineChars="196"/>
        <w:rPr>
          <w:rFonts w:ascii="宋体" w:hAnsi="宋体"/>
        </w:rPr>
      </w:pPr>
      <w:r>
        <w:rPr>
          <w:rFonts w:ascii="宋体" w:hAnsi="宋体" w:hint="eastAsia"/>
        </w:rPr>
        <w:t>23.2.7投标文件编写完成后，</w:t>
      </w:r>
      <w:r>
        <w:rPr>
          <w:rFonts w:ascii="宋体" w:hAnsi="宋体" w:hint="eastAsia"/>
          <w:b/>
        </w:rPr>
        <w:t>必须用属于投标人的电子密钥</w:t>
      </w:r>
      <w:r>
        <w:rPr>
          <w:rFonts w:ascii="宋体" w:hAnsi="宋体" w:hint="eastAsia"/>
          <w:b/>
          <w:lang w:val="en-US" w:eastAsia="zh-CN"/>
        </w:rPr>
        <w:t>或电子营业执照</w:t>
      </w:r>
      <w:r>
        <w:rPr>
          <w:rFonts w:ascii="宋体" w:hAnsi="宋体" w:hint="eastAsia"/>
          <w:b/>
        </w:rPr>
        <w:t>进行加密，否则视同未盖公章，将导致投标文件无效。</w:t>
      </w:r>
    </w:p>
    <w:p>
      <w:pPr>
        <w:ind w:firstLine="412" w:firstLineChars="196"/>
        <w:rPr>
          <w:rFonts w:ascii="宋体" w:hAnsi="宋体"/>
        </w:rPr>
      </w:pPr>
      <w:r>
        <w:rPr>
          <w:rFonts w:ascii="宋体" w:hAnsi="宋体" w:hint="eastAsia"/>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2" w:firstLineChars="196"/>
        <w:rPr>
          <w:rFonts w:ascii="宋体" w:hAnsi="宋体"/>
        </w:rPr>
      </w:pPr>
      <w:r>
        <w:rPr>
          <w:rFonts w:ascii="宋体" w:hAnsi="宋体" w:hint="eastAsia"/>
        </w:rPr>
        <w:t>23.2.9如果开标时出现网络故障、技术故障，影响了政府采购活动，政府集中采购机构有权采取措施如延期、接受无法从网上上传的投标书等，以保障政府采购活动的公开、公平和公正。</w:t>
      </w:r>
    </w:p>
    <w:p>
      <w:pPr>
        <w:ind w:firstLine="412" w:firstLineChars="196"/>
        <w:rPr>
          <w:rFonts w:ascii="宋体" w:hAnsi="宋体"/>
        </w:rPr>
      </w:pPr>
      <w:r>
        <w:rPr>
          <w:rFonts w:ascii="宋体" w:hAnsi="宋体" w:hint="eastAsia"/>
        </w:rPr>
        <w:t>23.3电报、电话、传真形式的投标概不接受。</w:t>
      </w:r>
    </w:p>
    <w:p>
      <w:pPr>
        <w:ind w:firstLine="412" w:firstLineChars="196"/>
        <w:rPr>
          <w:rFonts w:ascii="宋体" w:hAnsi="宋体"/>
          <w:b/>
        </w:rPr>
      </w:pPr>
      <w:r>
        <w:rPr>
          <w:rFonts w:ascii="宋体" w:hAnsi="宋体" w:hint="eastAsia"/>
          <w:b/>
        </w:rPr>
        <w:t>23.4经投标人电子密钥</w:t>
      </w:r>
      <w:r>
        <w:rPr>
          <w:rFonts w:ascii="宋体" w:hAnsi="宋体" w:hint="eastAsia"/>
          <w:b/>
          <w:lang w:val="en-US" w:eastAsia="zh-CN"/>
        </w:rPr>
        <w:t>或电子营业执照</w:t>
      </w:r>
      <w:r>
        <w:rPr>
          <w:rFonts w:ascii="宋体" w:hAnsi="宋体" w:hint="eastAsia"/>
          <w:b/>
        </w:rPr>
        <w:t>加密的投标文件无须盖章或签字，</w:t>
      </w:r>
      <w:r>
        <w:rPr>
          <w:rFonts w:ascii="宋体" w:hAnsi="宋体" w:hint="eastAsia"/>
        </w:rPr>
        <w:t>专用条款另有要求的除外。</w:t>
      </w:r>
    </w:p>
    <w:p>
      <w:pPr>
        <w:ind w:firstLine="412" w:firstLineChars="196"/>
        <w:rPr>
          <w:rFonts w:ascii="宋体" w:hAnsi="宋体"/>
        </w:rPr>
      </w:pPr>
      <w:r>
        <w:rPr>
          <w:rFonts w:ascii="宋体" w:hAnsi="宋体" w:hint="eastAsia"/>
          <w:b w:val="0"/>
          <w:bCs/>
        </w:rPr>
        <w:t xml:space="preserve">23.5 </w:t>
      </w:r>
      <w:r>
        <w:rPr>
          <w:rFonts w:ascii="宋体" w:hAnsi="宋体" w:hint="eastAsia"/>
        </w:rPr>
        <w:t>各类资格（资质）文件提供扫描件，专用条款另有要求的除外。</w:t>
      </w:r>
      <w:bookmarkEnd w:id="102"/>
    </w:p>
    <w:p>
      <w:pPr>
        <w:ind w:firstLine="412" w:firstLineChars="196"/>
        <w:rPr>
          <w:rFonts w:ascii="宋体" w:hAnsi="宋体"/>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投标文件的递交</w:t>
      </w:r>
    </w:p>
    <w:p>
      <w:pPr>
        <w:rPr>
          <w:rFonts w:ascii="黑体" w:eastAsia="黑体" w:hAnsi="宋体"/>
          <w:sz w:val="24"/>
        </w:rPr>
      </w:pPr>
      <w:bookmarkStart w:id="103" w:name="_Hlk72405459"/>
      <w:r>
        <w:rPr>
          <w:rFonts w:ascii="黑体" w:eastAsia="黑体" w:hAnsi="宋体" w:hint="eastAsia"/>
          <w:sz w:val="24"/>
        </w:rPr>
        <w:t>24．投标文件的保密</w:t>
      </w:r>
    </w:p>
    <w:p>
      <w:pPr>
        <w:ind w:firstLine="412" w:firstLineChars="196"/>
        <w:rPr>
          <w:rFonts w:ascii="宋体" w:hAnsi="宋体"/>
        </w:rPr>
      </w:pPr>
      <w:r>
        <w:rPr>
          <w:rFonts w:ascii="宋体" w:hAnsi="宋体" w:hint="eastAsia"/>
        </w:rPr>
        <w:t>24.1在投标文件制作完成后，在投标书编制软件点击【生成标书】按钮进入【填写开标一览表界面】界面，在该界面填写完开标一览表信息后点击【确定】，进入投标文件生成环节。投标文件制作软件会在投标文件生成过程中，提示用户输入密码，输入密码后对</w:t>
      </w:r>
      <w:r>
        <w:rPr>
          <w:rFonts w:ascii="宋体" w:hAnsi="宋体" w:hint="eastAsia"/>
          <w:lang w:val="en-US" w:eastAsia="zh-CN"/>
        </w:rPr>
        <w:t>投</w:t>
      </w:r>
      <w:r>
        <w:rPr>
          <w:rFonts w:ascii="宋体" w:hAnsi="宋体" w:hint="eastAsia"/>
        </w:rPr>
        <w:t>标文件自动进行加密，此加密程序确保投标文件在到达投标截止时间后才能解密查看。在加密过程中，请按照软件提示进行操作。加密界面如下图所示：</w:t>
      </w:r>
    </w:p>
    <w:p>
      <w:pPr>
        <w:widowControl/>
        <w:jc w:val="left"/>
        <w:rPr>
          <w:rFonts w:ascii="宋体" w:hAnsi="宋体" w:cs="宋体"/>
          <w:kern w:val="0"/>
          <w:sz w:val="24"/>
        </w:rPr>
      </w:pPr>
      <w:r>
        <w:rPr>
          <w:rFonts w:ascii="宋体" w:hAnsi="宋体"/>
        </w:rPr>
        <w:drawing>
          <wp:inline distT="0" distB="0" distL="0" distR="0">
            <wp:extent cx="5278755" cy="2721610"/>
            <wp:effectExtent l="0" t="0" r="0" b="0"/>
            <wp:docPr id="8" name="图片 8"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形用户界面, 应用程序&#10;&#10;描述已自动生成"/>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pPr>
        <w:ind w:firstLine="420" w:firstLineChars="200"/>
        <w:rPr>
          <w:sz w:val="24"/>
        </w:rPr>
      </w:pPr>
    </w:p>
    <w:p>
      <w:pPr>
        <w:rPr>
          <w:sz w:val="24"/>
        </w:rPr>
      </w:pPr>
      <w:r>
        <w:rPr>
          <w:rFonts w:ascii="宋体" w:hAnsi="宋体"/>
        </w:rPr>
        <w:drawing>
          <wp:inline distT="0" distB="0" distL="0" distR="0">
            <wp:extent cx="5278755" cy="2732405"/>
            <wp:effectExtent l="0" t="0" r="0" b="0"/>
            <wp:docPr id="9" name="图片 9"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形用户界面&#10;&#10;描述已自动生成"/>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755" cy="2732405"/>
                    </a:xfrm>
                    <a:prstGeom prst="rect">
                      <a:avLst/>
                    </a:prstGeom>
                    <a:noFill/>
                    <a:ln>
                      <a:noFill/>
                    </a:ln>
                  </pic:spPr>
                </pic:pic>
              </a:graphicData>
            </a:graphic>
          </wp:inline>
        </w:drawing>
      </w:r>
    </w:p>
    <w:p>
      <w:pPr>
        <w:ind w:firstLine="412" w:firstLineChars="196"/>
        <w:rPr>
          <w:rFonts w:ascii="宋体" w:hAnsi="宋体"/>
          <w:b w:val="0"/>
        </w:rPr>
      </w:pPr>
    </w:p>
    <w:p>
      <w:pPr>
        <w:rPr>
          <w:rFonts w:ascii="宋体" w:hAnsi="宋体"/>
          <w:b/>
        </w:rPr>
      </w:pPr>
      <w:r>
        <w:rPr>
          <w:rFonts w:ascii="黑体" w:eastAsia="黑体" w:hAnsi="宋体" w:hint="eastAsia"/>
          <w:sz w:val="24"/>
        </w:rPr>
        <w:t>24.2若采购项目出现延期情况：</w:t>
      </w:r>
    </w:p>
    <w:p>
      <w:pPr>
        <w:ind w:firstLine="420" w:firstLineChars="200"/>
        <w:rPr>
          <w:rFonts w:ascii="黑体" w:eastAsia="黑体" w:hAnsi="宋体"/>
          <w:b/>
          <w:sz w:val="24"/>
        </w:rPr>
      </w:pPr>
      <w:r>
        <w:rPr>
          <w:rFonts w:ascii="宋体" w:hAnsi="宋体" w:hint="eastAsia"/>
        </w:rPr>
        <w:t>如果供下载的招标文件（后缀名为. szczf）有更新，</w:t>
      </w:r>
      <w:r>
        <w:rPr>
          <w:rFonts w:ascii="宋体" w:hAnsi="宋体" w:hint="eastAsia"/>
          <w:b/>
          <w:bCs/>
        </w:rPr>
        <w:t>投标人必须重新下载招标文件、重新制作投标文件、重新加密投标文件、重新上传投标文件</w:t>
      </w:r>
      <w:r>
        <w:rPr>
          <w:rFonts w:ascii="宋体" w:hAnsi="宋体" w:hint="eastAsia"/>
        </w:rPr>
        <w:t>；如果供下载的招标文件（后缀名为. szczf）没有更新，</w:t>
      </w:r>
      <w:r>
        <w:rPr>
          <w:rFonts w:ascii="宋体" w:hAnsi="宋体" w:hint="eastAsia"/>
          <w:b/>
          <w:bCs/>
        </w:rPr>
        <w:t>投标人必须重新加密投标文件、重新上传投标文件</w:t>
      </w:r>
      <w:r>
        <w:rPr>
          <w:rFonts w:ascii="宋体" w:hAnsi="宋体" w:hint="eastAsia"/>
          <w:b w:val="0"/>
          <w:bCs w:val="0"/>
        </w:rPr>
        <w:t>（是否重新制作投标文件根据项目实际情况定）</w:t>
      </w:r>
      <w:r>
        <w:rPr>
          <w:rFonts w:ascii="宋体" w:hAnsi="宋体" w:hint="eastAsia"/>
        </w:rPr>
        <w:t>。否则，投标人自行承担投标文件无法解密导致投标无效的后果。</w:t>
      </w:r>
    </w:p>
    <w:p>
      <w:pPr>
        <w:rPr>
          <w:rFonts w:ascii="黑体" w:eastAsia="黑体" w:hAnsi="宋体"/>
          <w:sz w:val="24"/>
        </w:rPr>
      </w:pPr>
      <w:r>
        <w:rPr>
          <w:rFonts w:ascii="黑体" w:eastAsia="黑体" w:hAnsi="宋体" w:hint="eastAsia"/>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2" w:firstLineChars="196"/>
        <w:textAlignment w:val="auto"/>
        <w:rPr>
          <w:rFonts w:ascii="宋体" w:hAnsi="宋体"/>
        </w:rPr>
      </w:pPr>
      <w:r>
        <w:rPr>
          <w:rFonts w:ascii="宋体" w:hAnsi="宋体" w:hint="eastAsia"/>
        </w:rPr>
        <w:t>25</w:t>
      </w:r>
      <w:r>
        <w:rPr>
          <w:rFonts w:ascii="宋体" w:hAnsi="宋体"/>
        </w:rPr>
        <w:t>.</w:t>
      </w:r>
      <w:r>
        <w:rPr>
          <w:rFonts w:ascii="宋体" w:hAnsi="宋体" w:hint="eastAsia"/>
        </w:rPr>
        <w:t>1实行网上投标，</w:t>
      </w:r>
      <w:r>
        <w:rPr>
          <w:rFonts w:ascii="宋体" w:hAnsi="宋体"/>
        </w:rPr>
        <w:t>投标人必须</w:t>
      </w:r>
      <w:r>
        <w:rPr>
          <w:rFonts w:ascii="宋体" w:hAnsi="宋体" w:hint="eastAsia"/>
        </w:rPr>
        <w:t>在招标</w:t>
      </w:r>
      <w:r>
        <w:rPr>
          <w:rFonts w:ascii="宋体" w:hAnsi="宋体"/>
        </w:rPr>
        <w:t>文件规定的投标截止时间前</w:t>
      </w:r>
      <w:r>
        <w:rPr>
          <w:rFonts w:ascii="宋体" w:hAnsi="宋体" w:hint="eastAsia"/>
        </w:rPr>
        <w:t>用电子密钥登录“深圳政府采购智慧平台用户网上办事子系统（http://zfcg.szggzy.com/TPBidder/memberLogin）”，用“【我的项目】→【项目流程】→【递交投标(应答)文件】”功能点上传投标文件。如上传过程中遇到问题，可拨打</w:t>
      </w:r>
      <w:r>
        <w:rPr>
          <w:rFonts w:ascii="宋体" w:hAnsi="宋体" w:hint="eastAsia"/>
          <w:lang w:val="en-US" w:eastAsia="zh-CN"/>
        </w:rPr>
        <w:t>采购公告中的技术支持电话</w:t>
      </w:r>
      <w:r>
        <w:rPr>
          <w:rFonts w:ascii="宋体" w:hAnsi="宋体" w:hint="eastAsia"/>
        </w:rPr>
        <w:t>。如多次上传均告失败，请在投标截止时间之前携带加密后的电子投标文件送达至</w:t>
      </w:r>
      <w:r>
        <w:rPr>
          <w:rFonts w:ascii="宋体" w:hAnsi="宋体" w:hint="eastAsia"/>
          <w:b/>
          <w:bCs/>
          <w:szCs w:val="21"/>
          <w:lang w:eastAsia="zh-CN"/>
        </w:rPr>
        <w:t>深圳公共资源交易中心（深圳交易集团有限公司</w:t>
      </w:r>
      <w:r>
        <w:rPr>
          <w:rFonts w:ascii="宋体" w:hAnsi="宋体" w:hint="eastAsia"/>
          <w:b/>
          <w:bCs/>
          <w:szCs w:val="21"/>
          <w:lang w:val="en-US" w:eastAsia="zh-CN"/>
        </w:rPr>
        <w:t>大鹏</w:t>
      </w:r>
      <w:r>
        <w:rPr>
          <w:rFonts w:ascii="宋体" w:hAnsi="宋体" w:hint="eastAsia"/>
          <w:b/>
          <w:bCs/>
          <w:szCs w:val="21"/>
          <w:lang w:eastAsia="zh-CN"/>
        </w:rPr>
        <w:t>分公司）</w:t>
      </w:r>
      <w:r>
        <w:rPr>
          <w:rFonts w:ascii="宋体" w:hAnsi="宋体" w:hint="eastAsia"/>
          <w:b/>
          <w:bCs/>
        </w:rPr>
        <w:t>（地址：</w:t>
      </w:r>
      <w:r>
        <w:rPr>
          <w:rFonts w:asciiTheme="minorEastAsia" w:eastAsiaTheme="minorEastAsia" w:hAnsiTheme="minorEastAsia" w:cstheme="minorEastAsia" w:hint="eastAsia"/>
          <w:b/>
          <w:bCs/>
          <w:color w:val="FF0000"/>
          <w:szCs w:val="21"/>
        </w:rPr>
        <w:t>深圳市大鹏新区葵涌街道生命科学产业园A8栋203室</w:t>
      </w:r>
      <w:r>
        <w:rPr>
          <w:rFonts w:ascii="宋体" w:hAnsi="宋体" w:hint="eastAsia"/>
          <w:b/>
          <w:bCs/>
        </w:rPr>
        <w:t>）</w:t>
      </w:r>
      <w:r>
        <w:rPr>
          <w:rFonts w:ascii="宋体" w:hAnsi="宋体"/>
          <w:b/>
          <w:bCs/>
        </w:rPr>
        <w:t>协助上传</w:t>
      </w:r>
      <w:r>
        <w:rPr>
          <w:rFonts w:ascii="宋体" w:hAnsi="宋体" w:hint="eastAsia"/>
          <w:b/>
          <w:bCs/>
        </w:rPr>
        <w:t>，</w:t>
      </w:r>
      <w:r>
        <w:rPr>
          <w:rFonts w:ascii="宋体" w:hAnsi="宋体"/>
          <w:b/>
          <w:bCs/>
        </w:rPr>
        <w:t>但上传过程</w:t>
      </w:r>
      <w:r>
        <w:rPr>
          <w:rFonts w:ascii="宋体" w:hAnsi="宋体" w:hint="eastAsia"/>
          <w:b/>
          <w:bCs/>
        </w:rPr>
        <w:t>中</w:t>
      </w:r>
      <w:r>
        <w:rPr>
          <w:rFonts w:ascii="宋体" w:hAnsi="宋体"/>
          <w:b/>
          <w:bCs/>
        </w:rPr>
        <w:t>投标截止时间到达仍无法上传成功的，由投标人自行负责</w:t>
      </w:r>
      <w:r>
        <w:rPr>
          <w:rFonts w:ascii="宋体" w:hAnsi="宋体" w:hint="eastAsia"/>
        </w:rPr>
        <w:t>。</w:t>
      </w:r>
    </w:p>
    <w:p>
      <w:pPr>
        <w:ind w:firstLine="412" w:firstLineChars="196"/>
        <w:rPr>
          <w:rFonts w:ascii="宋体" w:hAnsi="宋体"/>
        </w:rPr>
      </w:pPr>
      <w:r>
        <w:rPr>
          <w:rFonts w:ascii="宋体" w:hAnsi="宋体" w:hint="eastAsia"/>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2" w:firstLineChars="196"/>
        <w:rPr>
          <w:rFonts w:ascii="宋体" w:hAnsi="宋体"/>
        </w:rPr>
      </w:pPr>
      <w:r>
        <w:rPr>
          <w:rFonts w:ascii="宋体" w:hAnsi="宋体" w:hint="eastAsia"/>
        </w:rPr>
        <w:t>25</w:t>
      </w:r>
      <w:r>
        <w:rPr>
          <w:rFonts w:ascii="宋体" w:hAnsi="宋体"/>
        </w:rPr>
        <w:t>.</w:t>
      </w:r>
      <w:r>
        <w:rPr>
          <w:rFonts w:ascii="宋体" w:hAnsi="宋体" w:hint="eastAsia"/>
        </w:rPr>
        <w:t>3投标截止时间以后不得上传投标文件。</w:t>
      </w:r>
    </w:p>
    <w:p>
      <w:pPr>
        <w:ind w:firstLine="412" w:firstLineChars="196"/>
        <w:rPr>
          <w:rFonts w:ascii="宋体" w:hAnsi="宋体"/>
        </w:rPr>
      </w:pPr>
    </w:p>
    <w:p>
      <w:pPr>
        <w:ind w:firstLine="412" w:firstLineChars="196"/>
        <w:rPr>
          <w:rFonts w:ascii="宋体" w:hAnsi="宋体"/>
        </w:rPr>
      </w:pPr>
    </w:p>
    <w:p>
      <w:pPr>
        <w:rPr>
          <w:rFonts w:ascii="黑体" w:eastAsia="黑体" w:hAnsi="宋体"/>
          <w:sz w:val="24"/>
        </w:rPr>
      </w:pPr>
      <w:bookmarkEnd w:id="103"/>
      <w:r>
        <w:rPr>
          <w:rFonts w:ascii="黑体" w:eastAsia="黑体" w:hAnsi="宋体" w:hint="eastAsia"/>
          <w:sz w:val="24"/>
        </w:rPr>
        <w:t>26. 样品、现场演示、方案讲解</w:t>
      </w:r>
    </w:p>
    <w:p>
      <w:pPr>
        <w:ind w:firstLine="412" w:firstLineChars="196"/>
        <w:rPr>
          <w:rFonts w:ascii="宋体" w:hAnsi="宋体"/>
          <w:szCs w:val="21"/>
        </w:rPr>
      </w:pPr>
      <w:r>
        <w:rPr>
          <w:rFonts w:ascii="宋体" w:hAnsi="宋体" w:hint="eastAsia"/>
          <w:szCs w:val="21"/>
        </w:rPr>
        <w:t>26.1 样品、现场演示、方案讲解等事项在招标文件专用条款中进行规定。</w:t>
      </w:r>
    </w:p>
    <w:p>
      <w:pPr>
        <w:rPr>
          <w:rFonts w:ascii="黑体" w:eastAsia="黑体" w:hAnsi="宋体"/>
          <w:sz w:val="24"/>
        </w:rPr>
      </w:pPr>
      <w:bookmarkStart w:id="104" w:name="_Hlk72428346"/>
      <w:r>
        <w:rPr>
          <w:rFonts w:ascii="黑体" w:eastAsia="黑体" w:hAnsi="宋体"/>
          <w:sz w:val="24"/>
        </w:rPr>
        <w:t>2</w:t>
      </w:r>
      <w:r>
        <w:rPr>
          <w:rFonts w:ascii="黑体" w:eastAsia="黑体" w:hAnsi="宋体" w:hint="eastAsia"/>
          <w:sz w:val="24"/>
        </w:rPr>
        <w:t>7．</w:t>
      </w:r>
      <w:r>
        <w:rPr>
          <w:rFonts w:ascii="黑体" w:eastAsia="黑体" w:hAnsi="宋体"/>
          <w:sz w:val="24"/>
        </w:rPr>
        <w:t>投标文件的修改和撤销</w:t>
      </w:r>
    </w:p>
    <w:p>
      <w:pPr>
        <w:ind w:firstLine="412" w:firstLineChars="196"/>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投标方在提交投标文件后可对其投标文件进行修改</w:t>
      </w:r>
      <w:r>
        <w:rPr>
          <w:rFonts w:ascii="宋体" w:hAnsi="宋体" w:hint="eastAsia"/>
        </w:rPr>
        <w:t>并重新上传投标文件</w:t>
      </w:r>
      <w:r>
        <w:rPr>
          <w:rFonts w:ascii="宋体" w:hAnsi="宋体"/>
        </w:rPr>
        <w:t>或</w:t>
      </w:r>
      <w:r>
        <w:rPr>
          <w:rFonts w:ascii="宋体" w:hAnsi="宋体" w:hint="eastAsia"/>
        </w:rPr>
        <w:t>在网上进行</w:t>
      </w:r>
      <w:r>
        <w:rPr>
          <w:rFonts w:ascii="宋体" w:hAnsi="宋体"/>
        </w:rPr>
        <w:t>撤销</w:t>
      </w:r>
      <w:r>
        <w:rPr>
          <w:rFonts w:ascii="宋体" w:hAnsi="宋体" w:hint="eastAsia"/>
        </w:rPr>
        <w:t>投标的操作</w:t>
      </w:r>
      <w:r>
        <w:rPr>
          <w:rFonts w:ascii="宋体" w:hAnsi="宋体"/>
        </w:rPr>
        <w:t>。</w:t>
      </w:r>
    </w:p>
    <w:p>
      <w:pPr>
        <w:ind w:firstLine="412" w:firstLineChars="196"/>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投标截止时间以后不得修改投标文件。</w:t>
      </w:r>
    </w:p>
    <w:p>
      <w:pPr>
        <w:ind w:firstLine="412" w:firstLineChars="196"/>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3从投标截止期至投标人在投标文件中确定的投标有效期之间的这段时间内，投标人不得撤回其投标。</w:t>
      </w:r>
    </w:p>
    <w:p>
      <w:pPr>
        <w:ind w:firstLine="412" w:firstLineChars="196"/>
        <w:rPr>
          <w:rFonts w:ascii="宋体" w:hAnsi="宋体"/>
          <w:szCs w:val="21"/>
        </w:rPr>
      </w:pPr>
      <w:r>
        <w:rPr>
          <w:rFonts w:ascii="宋体" w:hAnsi="宋体" w:hint="eastAsia"/>
          <w:szCs w:val="21"/>
        </w:rPr>
        <w:t>27.4政府集中采购机构不退还投标文件，专用条款另有规定的除外。</w:t>
      </w:r>
    </w:p>
    <w:p>
      <w:pPr>
        <w:pStyle w:val="Heading2"/>
        <w:numPr>
          <w:ilvl w:val="0"/>
          <w:numId w:val="16"/>
        </w:numPr>
        <w:spacing w:before="120" w:beforeLines="50" w:after="120" w:afterLines="50"/>
        <w:ind w:left="562" w:hanging="562"/>
        <w:rPr>
          <w:sz w:val="28"/>
          <w:szCs w:val="28"/>
        </w:rPr>
      </w:pPr>
      <w:bookmarkEnd w:id="104"/>
      <w:r>
        <w:rPr>
          <w:rFonts w:hint="eastAsia"/>
          <w:sz w:val="28"/>
          <w:szCs w:val="28"/>
        </w:rPr>
        <w:t>开标</w:t>
      </w:r>
    </w:p>
    <w:p>
      <w:pPr>
        <w:rPr>
          <w:rFonts w:ascii="黑体" w:eastAsia="黑体" w:hAnsi="宋体"/>
          <w:sz w:val="24"/>
        </w:rPr>
      </w:pPr>
      <w:r>
        <w:rPr>
          <w:rFonts w:ascii="黑体" w:eastAsia="黑体" w:hAnsi="宋体" w:hint="eastAsia"/>
          <w:sz w:val="24"/>
        </w:rPr>
        <w:t>28．开标</w:t>
      </w:r>
    </w:p>
    <w:p>
      <w:pPr>
        <w:ind w:firstLine="359" w:firstLineChars="171"/>
        <w:rPr>
          <w:rFonts w:ascii="宋体" w:hAnsi="宋体"/>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315" w:firstLineChars="150"/>
        <w:rPr>
          <w:rFonts w:ascii="宋体" w:hAnsi="宋体"/>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评审要求</w:t>
      </w:r>
    </w:p>
    <w:p>
      <w:pPr>
        <w:rPr>
          <w:rFonts w:ascii="黑体" w:eastAsia="黑体" w:hAnsi="宋体"/>
          <w:sz w:val="24"/>
        </w:rPr>
      </w:pPr>
      <w:r>
        <w:rPr>
          <w:rFonts w:ascii="黑体" w:eastAsia="黑体" w:hAnsi="宋体" w:hint="eastAsia"/>
          <w:sz w:val="24"/>
        </w:rPr>
        <w:t>29．评审委员会组成</w:t>
      </w:r>
    </w:p>
    <w:p>
      <w:pPr>
        <w:ind w:firstLine="412" w:firstLineChars="196"/>
        <w:rPr>
          <w:rFonts w:ascii="宋体" w:hAnsi="宋体"/>
        </w:rPr>
      </w:pPr>
      <w:r>
        <w:rPr>
          <w:rFonts w:ascii="宋体" w:hAnsi="宋体" w:hint="eastAsia"/>
        </w:rPr>
        <w:t>29.1网上开标结束后召开评审会议，</w:t>
      </w:r>
      <w:r>
        <w:rPr>
          <w:rFonts w:ascii="宋体" w:hAnsi="宋体" w:hint="eastAsia"/>
          <w:szCs w:val="21"/>
        </w:rPr>
        <w:t>评审委员会</w:t>
      </w:r>
      <w:r>
        <w:rPr>
          <w:rFonts w:ascii="宋体" w:hAnsi="宋体" w:hint="eastAsia"/>
        </w:rPr>
        <w:t>由政府集中采购机构依法组建，负责评审活动。</w:t>
      </w:r>
    </w:p>
    <w:p>
      <w:pPr>
        <w:ind w:firstLine="412" w:firstLineChars="196"/>
        <w:rPr>
          <w:rFonts w:ascii="宋体" w:hAnsi="宋体" w:hint="eastAsia"/>
        </w:rPr>
      </w:pPr>
      <w:bookmarkStart w:id="105" w:name="_Hlk72436580"/>
      <w:r>
        <w:rPr>
          <w:rFonts w:ascii="宋体" w:hAnsi="宋体" w:hint="eastAsia"/>
        </w:rPr>
        <w:t>评审委员会由采购人代表和评审专家组成，成员人数应当为5人以上单数（部分条件下为7人以上单数），其中评审专家不得少于成员总数的三分之二。</w:t>
      </w:r>
      <w:bookmarkEnd w:id="105"/>
      <w:r>
        <w:rPr>
          <w:rFonts w:ascii="宋体" w:hAnsi="宋体" w:hint="eastAsia"/>
        </w:rPr>
        <w:t>评定</w:t>
      </w:r>
      <w:r>
        <w:rPr>
          <w:rFonts w:hint="eastAsia"/>
        </w:rPr>
        <w:t>分离项目</w:t>
      </w:r>
      <w:r>
        <w:t>评审专家</w:t>
      </w:r>
      <w:r>
        <w:rPr>
          <w:rFonts w:hint="eastAsia"/>
        </w:rPr>
        <w:t>均</w:t>
      </w:r>
      <w:r>
        <w:t>由</w:t>
      </w:r>
      <w:r>
        <w:rPr>
          <w:rFonts w:hint="eastAsia"/>
        </w:rPr>
        <w:t>评审专家组成。</w:t>
      </w:r>
      <w:r>
        <w:rPr>
          <w:rFonts w:ascii="宋体" w:hAnsi="宋体" w:hint="eastAsia"/>
          <w:szCs w:val="21"/>
        </w:rPr>
        <w:t>评审专家一般是</w:t>
      </w:r>
      <w:r>
        <w:rPr>
          <w:rFonts w:ascii="宋体" w:hAnsi="宋体" w:hint="eastAsia"/>
        </w:rPr>
        <w:t>从深圳市政府采购评审专家库中随机抽取。采购人代表须持本单位签发的《评审授权书》参加评审。</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eastAsia="宋体" w:hAnsi="宋体" w:cs="Times New Roman" w:hint="eastAsia"/>
          <w:b/>
          <w:bCs/>
          <w:color w:val="FF0000"/>
          <w:kern w:val="2"/>
          <w:sz w:val="21"/>
          <w:szCs w:val="24"/>
          <w:lang w:val="en-US" w:eastAsia="zh-CN" w:bidi="ar-SA"/>
        </w:rPr>
      </w:pPr>
      <w:r>
        <w:rPr>
          <w:rFonts w:ascii="宋体" w:eastAsia="宋体" w:hAnsi="宋体" w:cs="Times New Roman" w:hint="eastAsia"/>
          <w:b/>
          <w:bCs/>
          <w:color w:val="FF0000"/>
          <w:kern w:val="2"/>
          <w:sz w:val="21"/>
          <w:szCs w:val="24"/>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pPr>
        <w:ind w:firstLine="412" w:firstLineChars="196"/>
        <w:rPr>
          <w:rFonts w:ascii="宋体" w:hAnsi="宋体"/>
        </w:rPr>
      </w:pPr>
      <w:r>
        <w:rPr>
          <w:rFonts w:ascii="宋体" w:hAnsi="宋体" w:hint="eastAsia"/>
        </w:rPr>
        <w:t>29.2评审定标应当遵循公平、公正、科学、择优的原则。</w:t>
      </w:r>
    </w:p>
    <w:p>
      <w:pPr>
        <w:ind w:firstLine="412" w:firstLineChars="196"/>
        <w:rPr>
          <w:rFonts w:ascii="宋体" w:hAnsi="宋体"/>
        </w:rPr>
      </w:pPr>
      <w:r>
        <w:rPr>
          <w:rFonts w:ascii="宋体" w:hAnsi="宋体" w:hint="eastAsia"/>
        </w:rPr>
        <w:t>29.3评审活动依法进行，任何单位和个人不得非法干预评标过程和结果。</w:t>
      </w:r>
    </w:p>
    <w:p>
      <w:pPr>
        <w:ind w:firstLine="412" w:firstLineChars="196"/>
        <w:rPr>
          <w:rFonts w:ascii="宋体" w:hAnsi="宋体"/>
        </w:rPr>
      </w:pPr>
      <w:r>
        <w:rPr>
          <w:rFonts w:ascii="宋体" w:hAnsi="宋体" w:hint="eastAsia"/>
        </w:rPr>
        <w:t>29.4评审过程中不允许违背评标程序或采用招标文件未载明的评标方法或评标因素进行评标。</w:t>
      </w:r>
    </w:p>
    <w:p>
      <w:pPr>
        <w:ind w:firstLine="412" w:firstLineChars="196"/>
        <w:rPr>
          <w:rFonts w:ascii="宋体" w:hAnsi="宋体"/>
          <w:bCs/>
        </w:rPr>
      </w:pPr>
      <w:r>
        <w:rPr>
          <w:rFonts w:ascii="宋体" w:hAnsi="宋体" w:hint="eastAsia"/>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ascii="宋体" w:hAnsi="宋体" w:hint="eastAsia"/>
          <w:bCs/>
        </w:rPr>
        <w:t>）。</w:t>
      </w:r>
    </w:p>
    <w:p>
      <w:pPr>
        <w:rPr>
          <w:rFonts w:ascii="黑体" w:eastAsia="黑体" w:hAnsi="宋体"/>
          <w:sz w:val="24"/>
        </w:rPr>
      </w:pPr>
      <w:r>
        <w:rPr>
          <w:rFonts w:ascii="黑体" w:eastAsia="黑体" w:hAnsi="宋体" w:hint="eastAsia"/>
          <w:sz w:val="24"/>
        </w:rPr>
        <w:t>30．向评审委员会提供的资料</w:t>
      </w:r>
    </w:p>
    <w:p>
      <w:pPr>
        <w:ind w:firstLine="412" w:firstLineChars="196"/>
        <w:rPr>
          <w:rFonts w:ascii="宋体" w:hAnsi="宋体"/>
        </w:rPr>
      </w:pPr>
      <w:r>
        <w:rPr>
          <w:rFonts w:ascii="宋体" w:hAnsi="宋体" w:hint="eastAsia"/>
        </w:rPr>
        <w:t>30.1公开发布的招标文件，包括图纸、服务清单、答疑文件等；</w:t>
      </w:r>
    </w:p>
    <w:p>
      <w:pPr>
        <w:ind w:firstLine="412" w:firstLineChars="196"/>
        <w:rPr>
          <w:rFonts w:ascii="宋体" w:hAnsi="宋体"/>
        </w:rPr>
      </w:pPr>
      <w:r>
        <w:rPr>
          <w:rFonts w:ascii="宋体" w:hAnsi="宋体" w:hint="eastAsia"/>
        </w:rPr>
        <w:t>30.2其他评标必须的资料。</w:t>
      </w:r>
    </w:p>
    <w:p>
      <w:pPr>
        <w:ind w:firstLine="412" w:firstLineChars="196"/>
        <w:rPr>
          <w:rFonts w:ascii="宋体" w:hAnsi="宋体"/>
        </w:rPr>
      </w:pPr>
      <w:r>
        <w:rPr>
          <w:rFonts w:ascii="宋体" w:hAnsi="宋体" w:hint="eastAsia"/>
        </w:rPr>
        <w:t>30.3</w:t>
      </w:r>
      <w:r>
        <w:rPr>
          <w:rFonts w:ascii="宋体" w:hAnsi="宋体" w:hint="eastAsia"/>
          <w:szCs w:val="21"/>
        </w:rPr>
        <w:t>评审委员会</w:t>
      </w:r>
      <w:r>
        <w:rPr>
          <w:rFonts w:ascii="宋体" w:hAnsi="宋体" w:hint="eastAsia"/>
        </w:rPr>
        <w:t>应当认真研究招标文件，至少应了解熟悉以下内容：</w:t>
      </w:r>
    </w:p>
    <w:p>
      <w:pPr>
        <w:ind w:firstLine="412" w:firstLineChars="196"/>
        <w:rPr>
          <w:rFonts w:ascii="宋体" w:hAnsi="宋体"/>
        </w:rPr>
      </w:pPr>
      <w:r>
        <w:rPr>
          <w:rFonts w:ascii="宋体" w:hAnsi="宋体" w:hint="eastAsia"/>
        </w:rPr>
        <w:t>（1）招标的目的；</w:t>
      </w:r>
    </w:p>
    <w:p>
      <w:pPr>
        <w:ind w:firstLine="412" w:firstLineChars="196"/>
        <w:rPr>
          <w:rFonts w:ascii="宋体" w:hAnsi="宋体"/>
        </w:rPr>
      </w:pPr>
      <w:r>
        <w:rPr>
          <w:rFonts w:ascii="宋体" w:hAnsi="宋体" w:hint="eastAsia"/>
        </w:rPr>
        <w:t>（2）招标项目需求的范围和性质；</w:t>
      </w:r>
    </w:p>
    <w:p>
      <w:pPr>
        <w:ind w:firstLine="412" w:firstLineChars="196"/>
        <w:rPr>
          <w:rFonts w:ascii="宋体" w:hAnsi="宋体"/>
        </w:rPr>
      </w:pPr>
      <w:r>
        <w:rPr>
          <w:rFonts w:ascii="宋体" w:hAnsi="宋体" w:hint="eastAsia"/>
        </w:rPr>
        <w:t>（3）招标文件规定的投标人的资格、财政预算限额、商务条款；</w:t>
      </w:r>
    </w:p>
    <w:p>
      <w:pPr>
        <w:ind w:firstLine="412" w:firstLineChars="196"/>
        <w:rPr>
          <w:rFonts w:ascii="宋体" w:hAnsi="宋体"/>
        </w:rPr>
      </w:pPr>
      <w:r>
        <w:rPr>
          <w:rFonts w:ascii="宋体" w:hAnsi="宋体" w:hint="eastAsia"/>
        </w:rPr>
        <w:t>（4）招标文件规定的评标程序、评标方法和评标因素；</w:t>
      </w:r>
    </w:p>
    <w:p>
      <w:pPr>
        <w:ind w:firstLine="412" w:firstLineChars="196"/>
        <w:rPr>
          <w:rFonts w:ascii="宋体" w:hAnsi="宋体"/>
        </w:rPr>
      </w:pPr>
      <w:r>
        <w:rPr>
          <w:rFonts w:ascii="宋体" w:hAnsi="宋体" w:hint="eastAsia"/>
        </w:rPr>
        <w:t>（5）招标文件所列示的资格性审查表及符合性审查表。</w:t>
      </w:r>
    </w:p>
    <w:p>
      <w:pPr>
        <w:rPr>
          <w:rFonts w:ascii="黑体" w:eastAsia="黑体" w:hAnsi="宋体"/>
          <w:sz w:val="24"/>
        </w:rPr>
      </w:pPr>
      <w:r>
        <w:rPr>
          <w:rFonts w:ascii="黑体" w:eastAsia="黑体" w:hAnsi="宋体" w:hint="eastAsia"/>
          <w:sz w:val="24"/>
        </w:rPr>
        <w:t>31．独立评审</w:t>
      </w:r>
    </w:p>
    <w:p>
      <w:pPr>
        <w:ind w:firstLine="412" w:firstLineChars="196"/>
        <w:rPr>
          <w:rFonts w:ascii="宋体" w:hAnsi="宋体"/>
          <w:bCs/>
        </w:rPr>
      </w:pPr>
      <w:r>
        <w:rPr>
          <w:rFonts w:ascii="宋体" w:hAnsi="宋体" w:hint="eastAsia"/>
          <w:bCs/>
        </w:rPr>
        <w:t>3</w:t>
      </w:r>
      <w:r>
        <w:rPr>
          <w:rFonts w:ascii="宋体" w:hAnsi="宋体"/>
          <w:bCs/>
        </w:rPr>
        <w:t>1</w:t>
      </w:r>
      <w:r>
        <w:rPr>
          <w:rFonts w:ascii="宋体" w:hAnsi="宋体" w:hint="eastAsia"/>
          <w:bCs/>
        </w:rPr>
        <w:t>.1</w:t>
      </w:r>
      <w:r>
        <w:rPr>
          <w:rFonts w:ascii="宋体" w:hAnsi="宋体" w:hint="eastAsia"/>
          <w:szCs w:val="21"/>
        </w:rPr>
        <w:t>评审委员会</w:t>
      </w:r>
      <w:r>
        <w:rPr>
          <w:rFonts w:ascii="宋体" w:hAnsi="宋体" w:hint="eastAsia"/>
          <w:bCs/>
        </w:rPr>
        <w:t>成员的评标活动应当独立进行，并应遵循投标文件初审、澄清有关问题、比较与评价、确定中标供应商、编写评审报告的工作程序。</w:t>
      </w:r>
    </w:p>
    <w:p>
      <w:pPr>
        <w:ind w:firstLine="412" w:firstLineChars="196"/>
        <w:rPr>
          <w:rFonts w:ascii="宋体" w:hAnsi="宋体"/>
          <w:bCs/>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评审程序及评审方法</w:t>
      </w:r>
    </w:p>
    <w:p>
      <w:pPr>
        <w:rPr>
          <w:rFonts w:ascii="黑体" w:eastAsia="黑体" w:hAnsi="宋体"/>
          <w:sz w:val="24"/>
        </w:rPr>
      </w:pPr>
      <w:r>
        <w:rPr>
          <w:rFonts w:ascii="黑体" w:eastAsia="黑体" w:hAnsi="宋体" w:hint="eastAsia"/>
          <w:sz w:val="24"/>
        </w:rPr>
        <w:t>32．投标文件初审</w:t>
      </w:r>
    </w:p>
    <w:p>
      <w:pPr>
        <w:ind w:firstLine="412" w:firstLineChars="196"/>
        <w:rPr>
          <w:rFonts w:ascii="宋体" w:hAnsi="宋体"/>
        </w:rPr>
      </w:pPr>
      <w:r>
        <w:rPr>
          <w:rFonts w:ascii="宋体" w:hAnsi="宋体" w:hint="eastAsia"/>
        </w:rPr>
        <w:t>32.1投标文件初审包括资格性审查和符合性审查。</w:t>
      </w:r>
    </w:p>
    <w:p>
      <w:pPr>
        <w:ind w:firstLine="412" w:firstLineChars="196"/>
        <w:rPr>
          <w:rFonts w:ascii="宋体" w:hAnsi="宋体"/>
        </w:rPr>
      </w:pPr>
      <w:r>
        <w:rPr>
          <w:rFonts w:ascii="宋体" w:hAnsi="宋体" w:hint="eastAsia"/>
        </w:rPr>
        <w:t>资格性审查：依据法律法规和招标文件的规定，对投标文件中的资格证明等进行审查，以确定投标供应商是否具备投标资格。</w:t>
      </w:r>
    </w:p>
    <w:p>
      <w:pPr>
        <w:ind w:firstLine="412" w:firstLineChars="196"/>
        <w:rPr>
          <w:rFonts w:ascii="宋体" w:hAnsi="宋体"/>
        </w:rPr>
      </w:pPr>
      <w:r>
        <w:rPr>
          <w:rFonts w:ascii="宋体" w:hAnsi="宋体" w:hint="eastAsia"/>
        </w:rPr>
        <w:t>符合性审查：依据招标文件的规定，对投标文件的有效性、完整性和对招标文件的响应程度进行审查，以确定是否满足符合性审查的要求。</w:t>
      </w:r>
    </w:p>
    <w:p>
      <w:pPr>
        <w:ind w:firstLine="412" w:firstLineChars="196"/>
        <w:rPr>
          <w:rFonts w:ascii="宋体" w:hAnsi="宋体"/>
        </w:rPr>
      </w:pPr>
      <w:r>
        <w:rPr>
          <w:rFonts w:ascii="宋体" w:hAnsi="宋体" w:hint="eastAsia"/>
        </w:rPr>
        <w:t>32.2 投标文件初审内容请详见《资格性审查表》和《符合性审查表》部分。投标人若有一条审查不通过则按投标无效处理。</w:t>
      </w:r>
    </w:p>
    <w:p>
      <w:pPr>
        <w:ind w:firstLine="412" w:firstLineChars="196"/>
        <w:rPr>
          <w:rFonts w:ascii="宋体" w:hAnsi="宋体"/>
          <w:bCs/>
        </w:rPr>
      </w:pPr>
      <w:r>
        <w:rPr>
          <w:rFonts w:ascii="宋体" w:hAnsi="宋体" w:hint="eastAsia"/>
          <w:bCs/>
        </w:rPr>
        <w:t>32.3 投标文件初审中关于供应商家数的计算:</w:t>
      </w:r>
    </w:p>
    <w:p>
      <w:pPr>
        <w:ind w:firstLine="412" w:firstLineChars="196"/>
        <w:rPr>
          <w:rFonts w:ascii="宋体" w:hAnsi="宋体"/>
          <w:bCs/>
        </w:rPr>
      </w:pPr>
      <w:r>
        <w:rPr>
          <w:rFonts w:ascii="宋体" w:hAnsi="宋体" w:hint="eastAsia"/>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2" w:firstLineChars="196"/>
        <w:rPr>
          <w:rFonts w:ascii="宋体" w:hAnsi="宋体"/>
          <w:bCs/>
        </w:rPr>
      </w:pPr>
      <w:r>
        <w:rPr>
          <w:rFonts w:ascii="宋体" w:hAnsi="宋体" w:hint="eastAsia"/>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hAnsi="宋体" w:hint="eastAsia"/>
          <w:bCs/>
          <w:szCs w:val="21"/>
        </w:rPr>
        <w:t>评审委员会</w:t>
      </w:r>
      <w:r>
        <w:rPr>
          <w:rFonts w:ascii="宋体" w:hAnsi="宋体" w:hint="eastAsia"/>
          <w:bCs/>
        </w:rPr>
        <w:t>按照招标文件规定的方式确定一个投标人获得中标人推荐资格，招标文件未规定的采取随机抽取方式确定，其他同品牌投标人不作为中标候选人。</w:t>
      </w:r>
    </w:p>
    <w:p>
      <w:pPr>
        <w:ind w:firstLine="412" w:firstLineChars="196"/>
        <w:rPr>
          <w:rFonts w:ascii="宋体" w:hAnsi="宋体"/>
          <w:bCs/>
        </w:rPr>
      </w:pPr>
      <w:r>
        <w:rPr>
          <w:rFonts w:ascii="宋体" w:hAnsi="宋体" w:hint="eastAsia"/>
          <w:bCs/>
        </w:rPr>
        <w:t>32.3.3非单一产品采购项目，采购人应当根据采购项目技术构成、产品价格比重等合理确定核心产品，并在招标文件中载明。多家投标人提供的核心产品品牌相同的，按前两款规定处理。</w:t>
      </w:r>
    </w:p>
    <w:p>
      <w:pPr>
        <w:ind w:firstLine="412" w:firstLineChars="196"/>
        <w:rPr>
          <w:rFonts w:ascii="宋体" w:hAnsi="宋体"/>
        </w:rPr>
      </w:pPr>
      <w:r>
        <w:rPr>
          <w:rFonts w:ascii="宋体" w:hAnsi="宋体" w:hint="eastAsia"/>
        </w:rPr>
        <w:t>32.4投标人投标文件作无效处理的情形，具体包括但不限于以下：</w:t>
      </w:r>
    </w:p>
    <w:p>
      <w:pPr>
        <w:ind w:firstLine="412" w:firstLineChars="196"/>
      </w:pPr>
      <w:r>
        <w:rPr>
          <w:rFonts w:ascii="宋体" w:hAnsi="宋体" w:hint="eastAsia"/>
        </w:rPr>
        <w:t>32.4.1</w:t>
      </w:r>
      <w:r>
        <w:rPr>
          <w:rFonts w:hint="eastAsia"/>
        </w:rPr>
        <w:t>不同投标人的投标文件由同一单位或者同一个人编制，或者由同一个人分阶段参与编制；</w:t>
      </w:r>
    </w:p>
    <w:p>
      <w:pPr>
        <w:ind w:firstLine="412" w:firstLineChars="196"/>
      </w:pPr>
      <w:r>
        <w:rPr>
          <w:rFonts w:ascii="宋体" w:hAnsi="宋体"/>
        </w:rPr>
        <w:t>32.4.</w:t>
      </w:r>
      <w:r>
        <w:rPr>
          <w:rFonts w:ascii="宋体" w:hAnsi="宋体" w:hint="eastAsia"/>
        </w:rPr>
        <w:t>2</w:t>
      </w:r>
      <w:r>
        <w:rPr>
          <w:rFonts w:hint="eastAsia"/>
        </w:rPr>
        <w:t>不同投标人委托同一单位或者个人办理投标事宜；</w:t>
      </w:r>
    </w:p>
    <w:p>
      <w:pPr>
        <w:ind w:firstLine="412" w:firstLineChars="196"/>
        <w:rPr>
          <w:rFonts w:ascii="宋体" w:hAnsi="宋体"/>
        </w:rPr>
      </w:pPr>
      <w:r>
        <w:rPr>
          <w:rFonts w:ascii="宋体" w:hAnsi="宋体" w:hint="eastAsia"/>
        </w:rPr>
        <w:t>32.4.3不同投标人的投标文件载明的项目管理成员或者联系人员为同一人；</w:t>
      </w:r>
    </w:p>
    <w:p>
      <w:pPr>
        <w:ind w:firstLine="412" w:firstLineChars="196"/>
        <w:rPr>
          <w:rFonts w:ascii="宋体" w:hAnsi="宋体"/>
        </w:rPr>
      </w:pPr>
      <w:r>
        <w:rPr>
          <w:rFonts w:ascii="宋体" w:hAnsi="宋体" w:hint="eastAsia"/>
        </w:rPr>
        <w:t>32.4.4不同投标人的投标文件异常一致或者投标报价呈规律性差异；</w:t>
      </w:r>
    </w:p>
    <w:p>
      <w:pPr>
        <w:ind w:firstLine="412" w:firstLineChars="196"/>
        <w:rPr>
          <w:rFonts w:ascii="宋体" w:hAnsi="宋体"/>
        </w:rPr>
      </w:pPr>
      <w:r>
        <w:rPr>
          <w:rFonts w:ascii="宋体" w:hAnsi="宋体" w:hint="eastAsia"/>
        </w:rPr>
        <w:t>32.4.5</w:t>
      </w:r>
      <w:r>
        <w:rPr>
          <w:rFonts w:ascii="宋体" w:hAnsi="宋体"/>
        </w:rPr>
        <w:t>不同投标供应商的投标文件或部分投标文件相互混装</w:t>
      </w:r>
      <w:r>
        <w:rPr>
          <w:rFonts w:ascii="宋体" w:hAnsi="宋体" w:hint="eastAsia"/>
        </w:rPr>
        <w:t>；</w:t>
      </w:r>
    </w:p>
    <w:p>
      <w:pPr>
        <w:ind w:firstLine="412" w:firstLineChars="196"/>
        <w:rPr>
          <w:rFonts w:ascii="宋体" w:hAnsi="宋体"/>
        </w:rPr>
      </w:pPr>
      <w:r>
        <w:rPr>
          <w:rFonts w:ascii="宋体" w:hAnsi="宋体" w:hint="eastAsia"/>
        </w:rPr>
        <w:t>32.4.6投标供应商之间相互约定给予未中标的供应商利益补偿；</w:t>
      </w:r>
    </w:p>
    <w:p>
      <w:pPr>
        <w:ind w:firstLine="412" w:firstLineChars="196"/>
        <w:rPr>
          <w:rFonts w:ascii="宋体" w:hAnsi="宋体"/>
        </w:rPr>
      </w:pPr>
      <w:r>
        <w:rPr>
          <w:rFonts w:ascii="宋体" w:hAnsi="宋体" w:hint="eastAsia"/>
        </w:rPr>
        <w:t>32.4.7不同投标供应商的法定代表人、主要经营负责人、项目投标授权代表人、项目负责人、主要技术人员为同一人、属同一单位或者同一单位缴纳社会保险；</w:t>
      </w:r>
    </w:p>
    <w:p>
      <w:pPr>
        <w:ind w:firstLine="412" w:firstLineChars="196"/>
        <w:rPr>
          <w:rFonts w:ascii="宋体" w:hAnsi="宋体"/>
        </w:rPr>
      </w:pPr>
      <w:r>
        <w:rPr>
          <w:rFonts w:ascii="宋体" w:hAnsi="宋体" w:hint="eastAsia"/>
        </w:rPr>
        <w:t>32.4.8不同投标供应商的投标文件内容存在非正常一致；</w:t>
      </w:r>
    </w:p>
    <w:p>
      <w:pPr>
        <w:ind w:firstLine="412" w:firstLineChars="196"/>
        <w:rPr>
          <w:rFonts w:ascii="宋体" w:hAnsi="宋体"/>
        </w:rPr>
      </w:pPr>
      <w:r>
        <w:rPr>
          <w:rFonts w:ascii="宋体" w:hAnsi="宋体" w:hint="eastAsia"/>
        </w:rPr>
        <w:t>32.4.9在同一单位工作人员为两家以上（含两家）供应商进行同一项投标活动；</w:t>
      </w:r>
    </w:p>
    <w:p>
      <w:pPr>
        <w:ind w:firstLine="412" w:firstLineChars="196"/>
        <w:rPr>
          <w:rFonts w:ascii="宋体" w:hAnsi="宋体"/>
        </w:rPr>
      </w:pPr>
      <w:r>
        <w:rPr>
          <w:rFonts w:ascii="宋体" w:hAnsi="宋体" w:hint="eastAsia"/>
        </w:rPr>
        <w:t>32.4.10主管部门依照法律、法规认定的其他情形。</w:t>
      </w:r>
    </w:p>
    <w:p>
      <w:pPr>
        <w:rPr>
          <w:rFonts w:ascii="宋体" w:hAnsi="宋体" w:hint="eastAsia"/>
        </w:rPr>
      </w:pPr>
      <w:r>
        <w:rPr>
          <w:rFonts w:ascii="宋体" w:hAnsi="宋体" w:hint="eastAsia"/>
        </w:rPr>
        <w:t>32.5对不属于《资格性审查表》和《符合性审查表》所列的其他情形，除专用条款另有规定和32.4条款所列情形外，不得作为投标无效的理由。</w:t>
      </w:r>
    </w:p>
    <w:p>
      <w:pPr>
        <w:rPr>
          <w:rFonts w:ascii="黑体" w:eastAsia="黑体" w:hAnsi="宋体"/>
          <w:sz w:val="24"/>
        </w:rPr>
      </w:pPr>
      <w:r>
        <w:rPr>
          <w:rFonts w:ascii="黑体" w:eastAsia="黑体" w:hAnsi="宋体" w:hint="eastAsia"/>
          <w:sz w:val="24"/>
        </w:rPr>
        <w:t>33．澄清有关问题</w:t>
      </w:r>
    </w:p>
    <w:p>
      <w:pPr>
        <w:ind w:firstLine="412" w:firstLineChars="196"/>
        <w:rPr>
          <w:rFonts w:ascii="宋体" w:hAnsi="宋体"/>
        </w:rPr>
      </w:pPr>
      <w:bookmarkStart w:id="106" w:name="_Hlk71407321"/>
      <w:r>
        <w:rPr>
          <w:rFonts w:ascii="宋体" w:hAnsi="宋体" w:hint="eastAsia"/>
        </w:rPr>
        <w:t>3</w:t>
      </w:r>
      <w:r>
        <w:rPr>
          <w:rFonts w:ascii="宋体" w:hAnsi="宋体"/>
        </w:rPr>
        <w:t>3.1</w:t>
      </w:r>
      <w:r>
        <w:rPr>
          <w:rFonts w:ascii="宋体" w:hAnsi="宋体" w:hint="eastAsia"/>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ascii="宋体" w:hAnsi="宋体" w:hint="eastAsia"/>
        </w:rPr>
        <w:t>，评审委员会有权进行评判，但对同一条款的评判应适用于每个投标人。</w:t>
      </w:r>
      <w:bookmarkEnd w:id="106"/>
    </w:p>
    <w:p>
      <w:pPr>
        <w:ind w:firstLine="412" w:firstLineChars="196"/>
        <w:rPr>
          <w:rFonts w:ascii="宋体" w:hAnsi="宋体"/>
        </w:rPr>
      </w:pPr>
      <w:r>
        <w:rPr>
          <w:rFonts w:ascii="宋体" w:hAnsi="宋体" w:hint="eastAsia"/>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2" w:firstLineChars="196"/>
        <w:rPr>
          <w:rFonts w:ascii="宋体" w:hAnsi="宋体"/>
        </w:rPr>
      </w:pPr>
      <w:r>
        <w:rPr>
          <w:rFonts w:ascii="宋体" w:hAnsi="宋体"/>
        </w:rPr>
        <w:t>33.3</w:t>
      </w:r>
      <w:r>
        <w:rPr>
          <w:rFonts w:ascii="宋体" w:hAnsi="宋体" w:hint="eastAsia"/>
        </w:rPr>
        <w:t>对于投标文件中含义不明确、同类问题表述不一致或者有明显文字和计算错误的内容，评审委员会应当以书面形式要求投标人作出必要的澄清、说明或者补正。</w:t>
      </w:r>
    </w:p>
    <w:p>
      <w:pPr>
        <w:ind w:firstLine="412" w:firstLineChars="196"/>
        <w:rPr>
          <w:rFonts w:ascii="宋体" w:hAnsi="宋体"/>
        </w:rPr>
      </w:pPr>
      <w:r>
        <w:rPr>
          <w:rFonts w:ascii="宋体" w:hAnsi="宋体" w:hint="eastAsia"/>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2" w:firstLineChars="196"/>
        <w:rPr>
          <w:rFonts w:ascii="宋体" w:hAnsi="宋体"/>
          <w:szCs w:val="21"/>
        </w:rPr>
      </w:pPr>
      <w:r>
        <w:rPr>
          <w:rFonts w:ascii="宋体" w:hAnsi="宋体" w:hint="eastAsia"/>
          <w:szCs w:val="21"/>
        </w:rPr>
        <w:t>根据本通用条款第34条，凡属于评审委员会在评审中发现的算术错误进行核实的修改不在此列。</w:t>
      </w:r>
    </w:p>
    <w:p>
      <w:pPr>
        <w:rPr>
          <w:rFonts w:ascii="黑体" w:eastAsia="黑体" w:hAnsi="宋体"/>
          <w:sz w:val="24"/>
        </w:rPr>
      </w:pPr>
      <w:bookmarkStart w:id="107" w:name="_Toc100052400"/>
      <w:bookmarkStart w:id="108" w:name="_Toc73521669"/>
      <w:bookmarkStart w:id="109" w:name="_Toc73521581"/>
      <w:bookmarkStart w:id="110" w:name="_Toc73518151"/>
      <w:bookmarkStart w:id="111" w:name="_Toc73517673"/>
      <w:r>
        <w:rPr>
          <w:rFonts w:ascii="黑体" w:eastAsia="黑体" w:hAnsi="宋体" w:hint="eastAsia"/>
          <w:sz w:val="24"/>
        </w:rPr>
        <w:t>34．错误的修正</w:t>
      </w:r>
      <w:bookmarkEnd w:id="107"/>
      <w:bookmarkEnd w:id="108"/>
      <w:bookmarkEnd w:id="109"/>
      <w:bookmarkEnd w:id="110"/>
      <w:bookmarkEnd w:id="111"/>
    </w:p>
    <w:p>
      <w:pPr>
        <w:ind w:firstLine="412" w:firstLineChars="196"/>
        <w:rPr>
          <w:rFonts w:ascii="宋体" w:hAnsi="宋体"/>
          <w:szCs w:val="21"/>
        </w:rPr>
      </w:pPr>
      <w:r>
        <w:rPr>
          <w:rFonts w:ascii="宋体" w:hAnsi="宋体" w:hint="eastAsia"/>
          <w:szCs w:val="21"/>
        </w:rPr>
        <w:t>投标文件报价出现前后不一致的，除专用条款另有规定外，按照下列规定修正：</w:t>
      </w:r>
    </w:p>
    <w:p>
      <w:pPr>
        <w:ind w:firstLine="412" w:firstLineChars="196"/>
        <w:rPr>
          <w:rFonts w:ascii="宋体" w:hAnsi="宋体"/>
          <w:szCs w:val="21"/>
        </w:rPr>
      </w:pPr>
      <w:r>
        <w:rPr>
          <w:rFonts w:ascii="宋体" w:hAnsi="宋体" w:hint="eastAsia"/>
          <w:szCs w:val="21"/>
        </w:rPr>
        <w:t>34.1投标文件中开标一览表投标报价内容与投标文件中投标报价相应内容不一致的，以开标一览表为准；</w:t>
      </w:r>
    </w:p>
    <w:p>
      <w:pPr>
        <w:ind w:firstLine="412" w:firstLineChars="196"/>
        <w:rPr>
          <w:rFonts w:ascii="宋体" w:hAnsi="宋体"/>
          <w:szCs w:val="21"/>
        </w:rPr>
      </w:pPr>
      <w:r>
        <w:rPr>
          <w:rFonts w:ascii="宋体" w:hAnsi="宋体" w:hint="eastAsia"/>
          <w:szCs w:val="21"/>
        </w:rPr>
        <w:t>34.2大写金额和小写金额不一致的，以大写金额为准；</w:t>
      </w:r>
    </w:p>
    <w:p>
      <w:pPr>
        <w:ind w:firstLine="412" w:firstLineChars="196"/>
        <w:rPr>
          <w:rFonts w:ascii="宋体" w:hAnsi="宋体"/>
          <w:szCs w:val="21"/>
        </w:rPr>
      </w:pPr>
      <w:r>
        <w:rPr>
          <w:rFonts w:ascii="宋体" w:hAnsi="宋体" w:hint="eastAsia"/>
          <w:szCs w:val="21"/>
        </w:rPr>
        <w:t>34.3单价金额小数点或者百分比有明显错位，以开标一览表的总价为准，并修改单价；</w:t>
      </w:r>
    </w:p>
    <w:p>
      <w:pPr>
        <w:ind w:firstLine="412" w:firstLineChars="196"/>
        <w:rPr>
          <w:rFonts w:ascii="宋体" w:hAnsi="宋体"/>
          <w:szCs w:val="21"/>
        </w:rPr>
      </w:pPr>
      <w:r>
        <w:rPr>
          <w:rFonts w:ascii="宋体" w:hAnsi="宋体" w:hint="eastAsia"/>
          <w:szCs w:val="21"/>
        </w:rPr>
        <w:t>34.4总价金额与按单价汇总金额不一致的，以单价金额计算结果为准。</w:t>
      </w:r>
    </w:p>
    <w:p>
      <w:pPr>
        <w:ind w:firstLine="412" w:firstLineChars="196"/>
        <w:rPr>
          <w:rFonts w:ascii="宋体" w:hAnsi="宋体"/>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pPr>
        <w:rPr>
          <w:rFonts w:ascii="黑体" w:eastAsia="黑体" w:hAnsi="宋体"/>
          <w:sz w:val="24"/>
        </w:rPr>
      </w:pPr>
      <w:r>
        <w:rPr>
          <w:rFonts w:ascii="黑体" w:eastAsia="黑体" w:hAnsi="宋体" w:hint="eastAsia"/>
          <w:sz w:val="24"/>
        </w:rPr>
        <w:t>35．投标文件的比较与评价</w:t>
      </w:r>
    </w:p>
    <w:p>
      <w:pPr>
        <w:ind w:firstLine="412" w:firstLineChars="196"/>
        <w:rPr>
          <w:rFonts w:ascii="宋体" w:hAnsi="宋体"/>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2" w:firstLineChars="196"/>
        <w:rPr>
          <w:rFonts w:ascii="宋体" w:hAnsi="宋体"/>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pPr>
        <w:rPr>
          <w:rFonts w:ascii="黑体" w:eastAsia="黑体" w:hAnsi="宋体"/>
          <w:sz w:val="24"/>
        </w:rPr>
      </w:pPr>
      <w:r>
        <w:rPr>
          <w:rFonts w:ascii="黑体" w:eastAsia="黑体" w:hAnsi="宋体" w:hint="eastAsia"/>
          <w:sz w:val="24"/>
        </w:rPr>
        <w:t>36. 实地考察</w:t>
      </w:r>
    </w:p>
    <w:p>
      <w:pPr>
        <w:ind w:firstLine="412" w:firstLineChars="196"/>
        <w:rPr>
          <w:rFonts w:ascii="宋体" w:hAnsi="宋体"/>
          <w:szCs w:val="21"/>
        </w:rPr>
      </w:pPr>
      <w:r>
        <w:rPr>
          <w:rFonts w:ascii="宋体" w:hAnsi="宋体" w:hint="eastAsia"/>
          <w:szCs w:val="21"/>
        </w:rPr>
        <w:t>36.1</w:t>
      </w:r>
      <w:r>
        <w:rPr>
          <w:rFonts w:ascii="宋体" w:hAnsi="宋体" w:hint="eastAsia"/>
          <w:szCs w:val="21"/>
          <w:lang w:val="en-US" w:eastAsia="zh-CN"/>
        </w:rPr>
        <w:t>在评审期间，评审委员会根据招标文件规定（详见“一、对通用条款的补充内容”），有权对本项目的投标人开展实地考察，投标人需时刻做好接收实地考察的准备。</w:t>
      </w:r>
    </w:p>
    <w:p>
      <w:pPr>
        <w:rPr>
          <w:rFonts w:ascii="黑体" w:eastAsia="黑体" w:hAnsi="宋体"/>
          <w:sz w:val="24"/>
        </w:rPr>
      </w:pPr>
      <w:r>
        <w:rPr>
          <w:rFonts w:ascii="黑体" w:eastAsia="黑体" w:hAnsi="宋体" w:hint="eastAsia"/>
          <w:sz w:val="24"/>
        </w:rPr>
        <w:t>37．评审方法</w:t>
      </w:r>
    </w:p>
    <w:p>
      <w:pPr>
        <w:ind w:firstLine="412" w:firstLineChars="196"/>
        <w:rPr>
          <w:rFonts w:ascii="宋体" w:hAnsi="宋体"/>
          <w:b/>
          <w:bCs/>
          <w:szCs w:val="21"/>
        </w:rPr>
      </w:pPr>
      <w:r>
        <w:rPr>
          <w:rFonts w:ascii="宋体" w:hAnsi="宋体" w:hint="eastAsia"/>
          <w:b/>
          <w:bCs/>
          <w:szCs w:val="21"/>
        </w:rPr>
        <w:t>37.1.1最低价法</w:t>
      </w:r>
    </w:p>
    <w:p>
      <w:pPr>
        <w:ind w:firstLine="412" w:firstLineChars="196"/>
        <w:rPr>
          <w:rFonts w:ascii="ˎ̥" w:hAnsi="ˎ̥" w:hint="eastAsia"/>
          <w:lang w:eastAsia="zh-CN"/>
        </w:rPr>
      </w:pPr>
      <w:bookmarkStart w:id="112" w:name="_Hlk72438142"/>
      <w:r>
        <w:rPr>
          <w:rFonts w:ascii="ˎ̥" w:hAnsi="ˎ̥"/>
        </w:rPr>
        <w:t>最低价法，</w:t>
      </w:r>
      <w:r>
        <w:rPr>
          <w:rFonts w:ascii="ˎ̥" w:hAnsi="ˎ̥" w:hint="eastAsia"/>
        </w:rPr>
        <w:t>是指投标文件满足招标文件全部实质性要求，且投标报价最低的投标人为中标候选人的评标方法</w:t>
      </w:r>
      <w:r>
        <w:rPr>
          <w:rFonts w:ascii="ˎ̥" w:hAnsi="ˎ̥" w:hint="eastAsia"/>
          <w:lang w:eastAsia="zh-CN"/>
        </w:rPr>
        <w:t>。</w:t>
      </w:r>
    </w:p>
    <w:p>
      <w:pPr>
        <w:ind w:firstLine="412" w:firstLineChars="196"/>
        <w:rPr>
          <w:rFonts w:ascii="ˎ̥" w:eastAsia="宋体" w:hAnsi="ˎ̥" w:hint="eastAsia"/>
          <w:lang w:eastAsia="zh-CN"/>
        </w:rPr>
      </w:pPr>
      <w:r>
        <w:rPr>
          <w:rFonts w:ascii="ˎ̥" w:hAnsi="ˎ̥" w:hint="eastAsia"/>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2" w:firstLineChars="196"/>
        <w:rPr>
          <w:rFonts w:ascii="宋体" w:hAnsi="宋体"/>
          <w:b/>
          <w:bCs/>
          <w:szCs w:val="21"/>
        </w:rPr>
      </w:pPr>
      <w:r>
        <w:rPr>
          <w:rFonts w:ascii="宋体" w:hAnsi="宋体" w:hint="eastAsia"/>
          <w:b/>
          <w:bCs/>
          <w:szCs w:val="21"/>
        </w:rPr>
        <w:t>37.1.2综合评分法</w:t>
      </w:r>
    </w:p>
    <w:p>
      <w:pPr>
        <w:ind w:firstLine="412" w:firstLineChars="196"/>
        <w:rPr>
          <w:rFonts w:ascii="ˎ̥" w:hAnsi="ˎ̥" w:hint="eastAsia"/>
          <w:lang w:eastAsia="zh-CN"/>
        </w:rPr>
      </w:pPr>
      <w:r>
        <w:rPr>
          <w:rFonts w:ascii="ˎ̥" w:hAnsi="ˎ̥"/>
        </w:rPr>
        <w:t>综合评分法，是指</w:t>
      </w:r>
      <w:r>
        <w:rPr>
          <w:rFonts w:ascii="ˎ̥" w:hAnsi="ˎ̥" w:hint="eastAsia"/>
        </w:rPr>
        <w:t>在</w:t>
      </w:r>
      <w:r>
        <w:rPr>
          <w:rFonts w:ascii="ˎ̥" w:hAnsi="ˎ̥"/>
        </w:rPr>
        <w:t>满足招标文件全部实质性要求</w:t>
      </w:r>
      <w:r>
        <w:rPr>
          <w:rFonts w:ascii="ˎ̥" w:hAnsi="ˎ̥" w:hint="eastAsia"/>
        </w:rPr>
        <w:t>的前提下</w:t>
      </w:r>
      <w:r>
        <w:rPr>
          <w:rFonts w:ascii="ˎ̥" w:hAnsi="ˎ̥"/>
        </w:rPr>
        <w:t>，</w:t>
      </w:r>
      <w:r>
        <w:rPr>
          <w:rFonts w:ascii="ˎ̥" w:hAnsi="ˎ̥" w:hint="eastAsia"/>
        </w:rPr>
        <w:t>按照招标文件中规定的各项因素进行综合评审，评审总得分排名前列的投标人，作为推荐的候选中标供应商</w:t>
      </w:r>
      <w:bookmarkEnd w:id="112"/>
      <w:r>
        <w:rPr>
          <w:rFonts w:ascii="ˎ̥" w:hAnsi="ˎ̥" w:hint="eastAsia"/>
          <w:lang w:eastAsia="zh-CN"/>
        </w:rPr>
        <w:t>。</w:t>
      </w:r>
    </w:p>
    <w:p>
      <w:pPr>
        <w:ind w:firstLine="412" w:firstLineChars="196"/>
        <w:rPr>
          <w:rFonts w:ascii="ˎ̥" w:hAnsi="ˎ̥" w:hint="eastAsia"/>
          <w:lang w:eastAsia="zh-CN"/>
        </w:rPr>
      </w:pPr>
      <w:r>
        <w:rPr>
          <w:rFonts w:ascii="ˎ̥" w:hAnsi="ˎ̥" w:hint="eastAsia"/>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2" w:firstLineChars="196"/>
        <w:rPr>
          <w:rFonts w:ascii="宋体" w:hAnsi="宋体"/>
          <w:b/>
          <w:bCs/>
          <w:szCs w:val="21"/>
        </w:rPr>
      </w:pPr>
      <w:r>
        <w:rPr>
          <w:rFonts w:ascii="宋体" w:hAnsi="宋体" w:hint="eastAsia"/>
          <w:b/>
          <w:bCs/>
          <w:szCs w:val="21"/>
        </w:rPr>
        <w:t>37.2本项目采用的评审方法见本项目招标文件第一册“专用条款”的相关内容。</w:t>
      </w:r>
    </w:p>
    <w:p>
      <w:pPr>
        <w:ind w:firstLine="412" w:firstLineChars="196"/>
        <w:rPr>
          <w:rFonts w:ascii="宋体" w:hAnsi="宋体"/>
          <w:b/>
          <w:bCs/>
          <w:szCs w:val="21"/>
        </w:rPr>
      </w:pPr>
      <w:r>
        <w:rPr>
          <w:rFonts w:ascii="宋体" w:hAnsi="宋体" w:hint="eastAsia"/>
          <w:b/>
          <w:bCs/>
          <w:szCs w:val="21"/>
        </w:rPr>
        <w:t>37.3重新评审的情形</w:t>
      </w:r>
    </w:p>
    <w:p>
      <w:pPr>
        <w:ind w:firstLine="412" w:firstLineChars="196"/>
        <w:rPr>
          <w:rFonts w:ascii="宋体" w:hAnsi="宋体"/>
          <w:b/>
          <w:bCs/>
          <w:szCs w:val="21"/>
        </w:rPr>
      </w:pPr>
      <w:r>
        <w:rPr>
          <w:rFonts w:ascii="宋体" w:hAnsi="宋体" w:cs="宋体" w:hint="eastAsia"/>
          <w:kern w:val="0"/>
          <w:szCs w:val="21"/>
        </w:rPr>
        <w:t>评审结果汇总完成后，除下列情形外，任何人不得修改评审结果：</w:t>
      </w:r>
    </w:p>
    <w:p>
      <w:pPr>
        <w:ind w:firstLine="412" w:firstLineChars="196"/>
        <w:rPr>
          <w:rFonts w:ascii="宋体" w:hAnsi="宋体" w:cs="宋体"/>
          <w:kern w:val="0"/>
          <w:szCs w:val="21"/>
        </w:rPr>
      </w:pPr>
      <w:r>
        <w:rPr>
          <w:rFonts w:ascii="宋体" w:hAnsi="宋体" w:cs="宋体" w:hint="eastAsia"/>
          <w:kern w:val="0"/>
          <w:szCs w:val="21"/>
        </w:rPr>
        <w:t>37.3.1分值汇总计算错误的；</w:t>
      </w:r>
    </w:p>
    <w:p>
      <w:pPr>
        <w:ind w:firstLine="412" w:firstLineChars="196"/>
        <w:rPr>
          <w:rFonts w:ascii="宋体" w:hAnsi="宋体" w:cs="宋体"/>
          <w:kern w:val="0"/>
          <w:szCs w:val="21"/>
        </w:rPr>
      </w:pPr>
      <w:r>
        <w:rPr>
          <w:rFonts w:ascii="宋体" w:hAnsi="宋体" w:cs="宋体" w:hint="eastAsia"/>
          <w:kern w:val="0"/>
          <w:szCs w:val="21"/>
        </w:rPr>
        <w:t>37.3.2分项评分超出评分标准范围的；</w:t>
      </w:r>
    </w:p>
    <w:p>
      <w:pPr>
        <w:ind w:firstLine="412" w:firstLineChars="196"/>
        <w:rPr>
          <w:rFonts w:ascii="宋体" w:hAnsi="宋体" w:cs="宋体"/>
          <w:kern w:val="0"/>
          <w:szCs w:val="21"/>
        </w:rPr>
      </w:pPr>
      <w:r>
        <w:rPr>
          <w:rFonts w:ascii="宋体" w:hAnsi="宋体" w:cs="宋体" w:hint="eastAsia"/>
          <w:kern w:val="0"/>
          <w:szCs w:val="21"/>
        </w:rPr>
        <w:t>37.3.3评审委员会成员对客观评审因素评分不一致的；</w:t>
      </w:r>
    </w:p>
    <w:p>
      <w:pPr>
        <w:ind w:firstLine="412" w:firstLineChars="196"/>
        <w:rPr>
          <w:rFonts w:ascii="宋体" w:hAnsi="宋体" w:cs="宋体"/>
          <w:kern w:val="0"/>
          <w:szCs w:val="21"/>
        </w:rPr>
      </w:pPr>
      <w:r>
        <w:rPr>
          <w:rFonts w:ascii="宋体" w:hAnsi="宋体" w:cs="宋体" w:hint="eastAsia"/>
          <w:kern w:val="0"/>
          <w:szCs w:val="21"/>
        </w:rPr>
        <w:t>37.3.4经评审委员会认定评分畸高、畸低的。</w:t>
      </w:r>
    </w:p>
    <w:p>
      <w:pPr>
        <w:ind w:firstLine="412" w:firstLineChars="196"/>
        <w:rPr>
          <w:rFonts w:ascii="宋体" w:hAnsi="宋体" w:cs="宋体"/>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2" w:firstLineChars="196"/>
        <w:rPr>
          <w:rFonts w:ascii="宋体" w:hAnsi="宋体" w:cs="宋体"/>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pPr>
        <w:ind w:firstLine="412" w:firstLineChars="196"/>
        <w:rPr>
          <w:rFonts w:ascii="宋体" w:hAnsi="宋体"/>
          <w:b/>
          <w:bCs/>
          <w:szCs w:val="21"/>
        </w:rPr>
      </w:pPr>
      <w:r>
        <w:rPr>
          <w:rFonts w:ascii="宋体" w:hAnsi="宋体" w:hint="eastAsia"/>
          <w:b/>
          <w:bCs/>
          <w:szCs w:val="21"/>
        </w:rPr>
        <w:t>37.4重新组建评审委员会的情形</w:t>
      </w:r>
    </w:p>
    <w:p>
      <w:pPr>
        <w:ind w:firstLine="412" w:firstLineChars="196"/>
        <w:rPr>
          <w:rFonts w:ascii="宋体" w:hAnsi="宋体" w:cs="宋体"/>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pPr>
        <w:ind w:firstLine="412" w:firstLineChars="196"/>
        <w:rPr>
          <w:rFonts w:ascii="宋体" w:hAnsi="宋体" w:cs="宋体"/>
          <w:kern w:val="0"/>
          <w:szCs w:val="21"/>
        </w:rPr>
      </w:pPr>
      <w:r>
        <w:rPr>
          <w:rFonts w:ascii="宋体" w:hAnsi="宋体" w:cs="宋体" w:hint="eastAsia"/>
          <w:kern w:val="0"/>
          <w:szCs w:val="21"/>
        </w:rPr>
        <w:t>37.4.1评审委员会组成不符合《政府采购货物和服务招标投标管理办法》规定的；</w:t>
      </w:r>
    </w:p>
    <w:p>
      <w:pPr>
        <w:ind w:firstLine="412" w:firstLineChars="196"/>
        <w:rPr>
          <w:rFonts w:ascii="宋体" w:hAnsi="宋体" w:cs="宋体"/>
          <w:kern w:val="0"/>
          <w:szCs w:val="21"/>
        </w:rPr>
      </w:pPr>
      <w:r>
        <w:rPr>
          <w:rFonts w:ascii="宋体" w:hAnsi="宋体" w:cs="宋体" w:hint="eastAsia"/>
          <w:kern w:val="0"/>
          <w:szCs w:val="21"/>
        </w:rPr>
        <w:t>37.4.2有《政府采购货物和服务招标投标管理办法》第六十二条第一至五项情形的；</w:t>
      </w:r>
    </w:p>
    <w:p>
      <w:pPr>
        <w:ind w:firstLine="412" w:firstLineChars="196"/>
        <w:rPr>
          <w:rFonts w:ascii="宋体" w:hAnsi="宋体" w:cs="宋体"/>
          <w:kern w:val="0"/>
          <w:szCs w:val="21"/>
        </w:rPr>
      </w:pPr>
      <w:r>
        <w:rPr>
          <w:rFonts w:ascii="宋体" w:hAnsi="宋体" w:cs="宋体" w:hint="eastAsia"/>
          <w:kern w:val="0"/>
          <w:szCs w:val="21"/>
        </w:rPr>
        <w:t>37.4.3评审委员会及其成员独立评标受到非法干预的；</w:t>
      </w:r>
    </w:p>
    <w:p>
      <w:pPr>
        <w:ind w:firstLine="412" w:firstLineChars="196"/>
        <w:rPr>
          <w:rFonts w:ascii="宋体" w:hAnsi="宋体" w:cs="宋体"/>
          <w:kern w:val="0"/>
          <w:szCs w:val="21"/>
        </w:rPr>
      </w:pPr>
      <w:r>
        <w:rPr>
          <w:rFonts w:ascii="宋体" w:hAnsi="宋体" w:cs="宋体" w:hint="eastAsia"/>
          <w:kern w:val="0"/>
          <w:szCs w:val="21"/>
        </w:rPr>
        <w:t>37.4.4有政府采购法实施条例第七十五条规定的违法行为的。</w:t>
      </w:r>
    </w:p>
    <w:p>
      <w:pPr>
        <w:ind w:firstLine="412" w:firstLineChars="196"/>
        <w:rPr>
          <w:rFonts w:ascii="宋体" w:hAnsi="宋体" w:cs="宋体"/>
          <w:kern w:val="0"/>
          <w:szCs w:val="21"/>
        </w:rPr>
      </w:pPr>
      <w:r>
        <w:rPr>
          <w:rFonts w:ascii="宋体" w:hAnsi="宋体" w:cs="宋体" w:hint="eastAsia"/>
          <w:kern w:val="0"/>
          <w:szCs w:val="21"/>
        </w:rPr>
        <w:t>有违法违规行为的原评审委员会成员不得参加重新组建的评审委员会。</w:t>
      </w:r>
    </w:p>
    <w:p>
      <w:pPr>
        <w:ind w:firstLine="412" w:firstLineChars="196"/>
        <w:rPr>
          <w:rFonts w:ascii="宋体" w:hAnsi="宋体"/>
          <w:szCs w:val="21"/>
        </w:rPr>
      </w:pPr>
    </w:p>
    <w:p>
      <w:pPr>
        <w:pStyle w:val="Heading2"/>
        <w:numPr>
          <w:ilvl w:val="0"/>
          <w:numId w:val="16"/>
        </w:numPr>
        <w:spacing w:before="120" w:beforeLines="50" w:after="120" w:afterLines="50"/>
        <w:ind w:left="562" w:hanging="562"/>
        <w:rPr>
          <w:sz w:val="28"/>
          <w:szCs w:val="28"/>
        </w:rPr>
      </w:pPr>
      <w:r>
        <w:rPr>
          <w:rFonts w:hint="eastAsia"/>
          <w:sz w:val="28"/>
          <w:szCs w:val="28"/>
        </w:rPr>
        <w:t>定标及公示</w:t>
      </w:r>
    </w:p>
    <w:p>
      <w:pPr>
        <w:rPr>
          <w:rFonts w:ascii="黑体" w:eastAsia="黑体" w:hAnsi="宋体"/>
          <w:sz w:val="24"/>
        </w:rPr>
      </w:pPr>
      <w:r>
        <w:rPr>
          <w:rFonts w:ascii="黑体" w:eastAsia="黑体" w:hAnsi="宋体" w:hint="eastAsia"/>
          <w:sz w:val="24"/>
        </w:rPr>
        <w:t>38．定标方法</w:t>
      </w:r>
    </w:p>
    <w:p>
      <w:pPr>
        <w:ind w:firstLine="412" w:firstLineChars="196"/>
        <w:rPr>
          <w:rFonts w:ascii="宋体" w:hAnsi="宋体"/>
          <w:szCs w:val="21"/>
        </w:rPr>
      </w:pPr>
      <w:bookmarkStart w:id="113" w:name="_Hlk73782795"/>
      <w:r>
        <w:rPr>
          <w:rFonts w:ascii="宋体" w:hAnsi="宋体" w:hint="eastAsia"/>
          <w:szCs w:val="21"/>
        </w:rPr>
        <w:t>38.1非评定分离项目定标方法</w:t>
      </w:r>
    </w:p>
    <w:p>
      <w:pPr>
        <w:ind w:firstLine="412" w:firstLineChars="196"/>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2" w:firstLineChars="196"/>
        <w:rPr>
          <w:rFonts w:ascii="ˎ̥" w:hAnsi="ˎ̥"/>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rPr>
        <w:t>采用最低价法的，评</w:t>
      </w:r>
      <w:r>
        <w:rPr>
          <w:rFonts w:ascii="ˎ̥" w:hAnsi="ˎ̥" w:hint="eastAsia"/>
        </w:rPr>
        <w:t>审</w:t>
      </w:r>
      <w:r>
        <w:rPr>
          <w:rFonts w:ascii="ˎ̥" w:hAnsi="ˎ̥"/>
        </w:rPr>
        <w:t>结果按投标报价由低到高顺序排列。投标报价相同的并列。投标文件满足招标文件全部实质性要求且投标报价最低的</w:t>
      </w:r>
      <w:r>
        <w:rPr>
          <w:rFonts w:ascii="ˎ̥" w:hAnsi="ˎ̥" w:hint="eastAsia"/>
        </w:rPr>
        <w:t>投标人为</w:t>
      </w:r>
      <w:bookmarkStart w:id="114" w:name="_Hlk73821177"/>
      <w:r>
        <w:rPr>
          <w:rFonts w:ascii="ˎ̥" w:hAnsi="ˎ̥" w:hint="eastAsia"/>
        </w:rPr>
        <w:t>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bookmarkEnd w:id="114"/>
      <w:r>
        <w:rPr>
          <w:rFonts w:ascii="ˎ̥" w:hAnsi="ˎ̥"/>
        </w:rPr>
        <w:t>）。</w:t>
      </w:r>
    </w:p>
    <w:p>
      <w:pPr>
        <w:ind w:firstLine="412" w:firstLineChars="196"/>
        <w:rPr>
          <w:rFonts w:ascii="ˎ̥" w:hAnsi="ˎ̥"/>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hAnsi="ˎ̥" w:hint="eastAsia"/>
        </w:rPr>
        <w:t>为中标供应商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r>
        <w:rPr>
          <w:rFonts w:ascii="ˎ̥" w:hAnsi="ˎ̥"/>
        </w:rPr>
        <w:t>）。</w:t>
      </w:r>
      <w:r>
        <w:rPr>
          <w:rFonts w:ascii="ˎ̥" w:hAnsi="ˎ̥" w:hint="eastAsia"/>
        </w:rPr>
        <w:t>出现</w:t>
      </w:r>
      <w:r>
        <w:rPr>
          <w:rFonts w:ascii="ˎ̥" w:hAnsi="ˎ̥"/>
        </w:rPr>
        <w:t>得分且投标报价相同的并列</w:t>
      </w:r>
      <w:r>
        <w:rPr>
          <w:rFonts w:ascii="ˎ̥" w:hAnsi="ˎ̥" w:hint="eastAsia"/>
        </w:rPr>
        <w:t>情况时，采取随机抽取的方式确定，具体操作办法及流程由评审委员会确定。</w:t>
      </w:r>
    </w:p>
    <w:p>
      <w:pPr>
        <w:ind w:firstLine="412" w:firstLineChars="196"/>
        <w:rPr>
          <w:rFonts w:ascii="宋体" w:hAnsi="宋体"/>
          <w:szCs w:val="21"/>
        </w:rPr>
      </w:pPr>
      <w:r>
        <w:rPr>
          <w:rFonts w:ascii="宋体" w:hAnsi="宋体" w:hint="eastAsia"/>
          <w:szCs w:val="21"/>
        </w:rPr>
        <w:t>38.2评定分离项目定标方法</w:t>
      </w:r>
    </w:p>
    <w:p>
      <w:pPr>
        <w:ind w:firstLine="412" w:firstLineChars="196"/>
        <w:rPr>
          <w:rFonts w:ascii="宋体" w:hAnsi="宋体"/>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2" w:firstLineChars="196"/>
      </w:pPr>
      <w:r>
        <w:rPr>
          <w:rFonts w:ascii="宋体" w:hAnsi="宋体"/>
          <w:szCs w:val="21"/>
        </w:rPr>
        <w:t xml:space="preserve">38.2.2 </w:t>
      </w:r>
      <w:bookmarkStart w:id="115" w:name="_Hlk71469733"/>
      <w:r>
        <w:t>适用评定分离的政府采购项目，采用综合评分法评</w:t>
      </w:r>
      <w:r>
        <w:rPr>
          <w:rFonts w:hint="eastAsia"/>
        </w:rPr>
        <w:t>审。</w:t>
      </w:r>
      <w:r>
        <w:rPr>
          <w:rFonts w:ascii="宋体" w:hAnsi="宋体" w:hint="eastAsia"/>
          <w:szCs w:val="21"/>
        </w:rPr>
        <w:t>评审委员会按照评审结果，推荐</w:t>
      </w:r>
      <w:r>
        <w:t>三个合格的候选中标供应商。</w:t>
      </w:r>
    </w:p>
    <w:p>
      <w:pPr>
        <w:ind w:firstLine="412" w:firstLineChars="196"/>
        <w:rPr>
          <w:rFonts w:ascii="宋体" w:hAnsi="宋体"/>
          <w:szCs w:val="21"/>
        </w:rPr>
      </w:pPr>
      <w:r>
        <w:rPr>
          <w:rFonts w:ascii="宋体" w:hAnsi="宋体" w:hint="eastAsia"/>
          <w:szCs w:val="21"/>
        </w:rPr>
        <w:t>38.2.3</w:t>
      </w:r>
      <w:bookmarkStart w:id="116" w:name="_Hlk71469688"/>
      <w:r>
        <w:t>适用评定分离的政府采购项目，</w:t>
      </w:r>
      <w:r>
        <w:rPr>
          <w:rFonts w:ascii="宋体" w:hAnsi="宋体" w:hint="eastAsia"/>
          <w:szCs w:val="21"/>
        </w:rPr>
        <w:t>按照自定法确定中标供应商：自定法是指采购人组织定标委员会，由定标委员会在三家候选中标供应商中确定中标供应商。</w:t>
      </w:r>
      <w:bookmarkEnd w:id="115"/>
      <w:bookmarkEnd w:id="116"/>
    </w:p>
    <w:p>
      <w:pPr>
        <w:ind w:firstLine="412" w:firstLineChars="196"/>
        <w:rPr>
          <w:rFonts w:ascii="宋体" w:hAnsi="宋体"/>
          <w:szCs w:val="21"/>
        </w:rPr>
      </w:pPr>
      <w:r>
        <w:rPr>
          <w:rFonts w:ascii="宋体" w:hAnsi="宋体"/>
          <w:szCs w:val="21"/>
        </w:rPr>
        <w:t>38.2.4</w:t>
      </w:r>
      <w:r>
        <w:rPr>
          <w:rFonts w:ascii="宋体" w:hAnsi="宋体" w:hint="eastAsia"/>
          <w:szCs w:val="21"/>
        </w:rPr>
        <w:t>政府集中采购机构</w:t>
      </w:r>
      <w:r>
        <w:t>应当自评审结束之日起两个工作日内将候选中标供应商名单及其投标文件、评审报告送交采购人</w:t>
      </w:r>
      <w:r>
        <w:rPr>
          <w:rFonts w:ascii="宋体" w:hAnsi="宋体" w:hint="eastAsia"/>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lang w:val="en-US" w:eastAsia="zh-CN"/>
        </w:rPr>
        <w:t>&lt;</w:t>
      </w:r>
      <w:r>
        <w:rPr>
          <w:rFonts w:hint="eastAsia"/>
        </w:rPr>
        <w:t>深圳市政府采购评标定标分离管理办法</w:t>
      </w:r>
      <w:r>
        <w:rPr>
          <w:rFonts w:hint="eastAsia"/>
          <w:lang w:val="en-US" w:eastAsia="zh-CN"/>
        </w:rPr>
        <w:t>&gt;</w:t>
      </w:r>
      <w:r>
        <w:rPr>
          <w:rFonts w:hint="eastAsia"/>
        </w:rPr>
        <w:t>续期的通知》（深财规〔2023〕1号）执行。</w:t>
      </w:r>
    </w:p>
    <w:p>
      <w:pPr>
        <w:ind w:firstLine="412" w:firstLineChars="196"/>
        <w:rPr>
          <w:rFonts w:ascii="宋体" w:hAnsi="宋体"/>
          <w:szCs w:val="21"/>
        </w:rPr>
      </w:pPr>
      <w:r>
        <w:rPr>
          <w:rFonts w:ascii="宋体" w:hAnsi="宋体" w:hint="eastAsia"/>
          <w:szCs w:val="21"/>
        </w:rPr>
        <w:t>说明：采购人及投标供应商应按照上述方法提前做好相关准备。</w:t>
      </w:r>
    </w:p>
    <w:p>
      <w:pPr>
        <w:ind w:firstLine="412" w:firstLineChars="196"/>
        <w:rPr>
          <w:rFonts w:ascii="宋体" w:hAnsi="宋体"/>
          <w:szCs w:val="21"/>
        </w:rPr>
      </w:pPr>
      <w:r>
        <w:rPr>
          <w:rFonts w:ascii="宋体" w:hAnsi="宋体" w:hint="eastAsia"/>
          <w:szCs w:val="21"/>
        </w:rPr>
        <w:t>38.3专用条款另有规定的，按专用条款相关要求定标。</w:t>
      </w:r>
      <w:bookmarkEnd w:id="113"/>
    </w:p>
    <w:p>
      <w:pPr>
        <w:rPr>
          <w:rFonts w:ascii="黑体" w:eastAsia="黑体" w:hAnsi="宋体"/>
          <w:sz w:val="24"/>
        </w:rPr>
      </w:pPr>
      <w:r>
        <w:rPr>
          <w:rFonts w:ascii="黑体" w:eastAsia="黑体" w:hAnsi="宋体" w:hint="eastAsia"/>
          <w:sz w:val="24"/>
        </w:rPr>
        <w:t>39．编写评审报告</w:t>
      </w:r>
    </w:p>
    <w:p>
      <w:pPr>
        <w:ind w:firstLine="412" w:firstLineChars="196"/>
        <w:rPr>
          <w:rFonts w:ascii="宋体" w:hAnsi="宋体"/>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eastAsia="黑体" w:hAnsi="宋体"/>
          <w:sz w:val="24"/>
        </w:rPr>
      </w:pPr>
      <w:r>
        <w:rPr>
          <w:rFonts w:ascii="黑体" w:eastAsia="黑体" w:hAnsi="宋体" w:hint="eastAsia"/>
          <w:sz w:val="24"/>
        </w:rPr>
        <w:t>40．中标公告</w:t>
      </w:r>
    </w:p>
    <w:p>
      <w:pPr>
        <w:ind w:firstLine="412" w:firstLineChars="196"/>
        <w:rPr>
          <w:rFonts w:ascii="宋体" w:hAnsi="宋体"/>
          <w:szCs w:val="21"/>
        </w:rPr>
      </w:pPr>
      <w:r>
        <w:rPr>
          <w:rFonts w:ascii="宋体" w:hAnsi="宋体" w:hint="eastAsia"/>
          <w:szCs w:val="21"/>
        </w:rPr>
        <w:t>40.1</w:t>
      </w:r>
      <w:bookmarkStart w:id="117" w:name="_Hlk72438709"/>
      <w:r>
        <w:rPr>
          <w:rFonts w:ascii="宋体" w:hAnsi="宋体" w:hint="eastAsia"/>
          <w:szCs w:val="21"/>
        </w:rPr>
        <w:t>为体现“公开、公平、公正”的原则，评审结束后经采购人确认（确定）评审结果，政府集中采购机构将在</w:t>
      </w:r>
      <w:r>
        <w:rPr>
          <w:rFonts w:ascii="宋体" w:hAnsi="宋体" w:hint="eastAsia"/>
          <w:b/>
          <w:bCs/>
          <w:szCs w:val="21"/>
        </w:rPr>
        <w:t>深圳公共资源交易网（https://szggzy.com/）</w:t>
      </w:r>
      <w:r>
        <w:rPr>
          <w:rFonts w:ascii="宋体" w:hAnsi="宋体" w:hint="eastAsia"/>
          <w:szCs w:val="21"/>
        </w:rPr>
        <w:t>上发布中标结果公告。</w:t>
      </w:r>
      <w:bookmarkEnd w:id="117"/>
      <w:bookmarkStart w:id="118" w:name="_Hlk72438751"/>
      <w:r>
        <w:rPr>
          <w:rFonts w:ascii="宋体" w:hAnsi="宋体" w:hint="eastAsia"/>
          <w:szCs w:val="21"/>
        </w:rPr>
        <w:t>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提出。</w:t>
      </w:r>
      <w:r>
        <w:rPr>
          <w:rFonts w:ascii="宋体" w:hAnsi="宋体" w:hint="eastAsia"/>
          <w:szCs w:val="21"/>
        </w:rPr>
        <w:t>若在公示期内未提出质疑，则视为认同该评审结果。</w:t>
      </w:r>
    </w:p>
    <w:p>
      <w:pPr>
        <w:ind w:firstLine="412" w:firstLineChars="196"/>
        <w:rPr>
          <w:rFonts w:ascii="宋体" w:hAnsi="宋体"/>
          <w:szCs w:val="21"/>
        </w:rPr>
      </w:pPr>
      <w:bookmarkEnd w:id="118"/>
      <w:r>
        <w:rPr>
          <w:rFonts w:ascii="宋体" w:hAnsi="宋体" w:hint="eastAsia"/>
          <w:szCs w:val="21"/>
        </w:rPr>
        <w:t>40.2质疑、投诉供应商应保证质疑、投诉内容的真实性和可靠性，并承担相应的法律责任。</w:t>
      </w:r>
    </w:p>
    <w:p>
      <w:pPr>
        <w:rPr>
          <w:rFonts w:ascii="黑体" w:eastAsia="黑体" w:hAnsi="宋体"/>
          <w:sz w:val="24"/>
        </w:rPr>
      </w:pPr>
      <w:r>
        <w:rPr>
          <w:rFonts w:ascii="黑体" w:eastAsia="黑体" w:hAnsi="宋体" w:hint="eastAsia"/>
          <w:sz w:val="24"/>
        </w:rPr>
        <w:t>41．中标通知书</w:t>
      </w:r>
    </w:p>
    <w:p>
      <w:pPr>
        <w:ind w:firstLine="412" w:firstLineChars="196"/>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1</w:t>
      </w:r>
      <w:bookmarkStart w:id="119" w:name="_Hlk72438863"/>
      <w:r>
        <w:rPr>
          <w:rFonts w:ascii="宋体" w:hAnsi="宋体" w:hint="eastAsia"/>
          <w:szCs w:val="21"/>
        </w:rPr>
        <w:t>中标公告公布以后无异常的情况下,中标供应商和采购人可自行在</w:t>
      </w:r>
      <w:r>
        <w:rPr>
          <w:rFonts w:ascii="宋体" w:hAnsi="宋体" w:hint="eastAsia"/>
          <w:b/>
          <w:bCs/>
          <w:szCs w:val="21"/>
        </w:rPr>
        <w:t>“深圳政府采购智慧平台（http://zfcg.szggzy.com/）”</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119"/>
    </w:p>
    <w:p>
      <w:pPr>
        <w:ind w:firstLine="412" w:firstLineChars="196"/>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pPr>
        <w:ind w:firstLine="412" w:firstLineChars="196"/>
        <w:rPr>
          <w:rFonts w:ascii="宋体" w:hAnsi="宋体"/>
          <w:szCs w:val="21"/>
        </w:rPr>
      </w:pPr>
      <w:bookmarkStart w:id="120" w:name="_Hlk71407340"/>
      <w:r>
        <w:rPr>
          <w:rFonts w:ascii="宋体" w:hAnsi="宋体" w:hint="eastAsia"/>
          <w:szCs w:val="21"/>
        </w:rPr>
        <w:t>41.3因质疑投诉或其它原因导致项目结果变更或采购终止的，政府集中采购机构有权吊销中标通知书。</w:t>
      </w:r>
    </w:p>
    <w:p>
      <w:pPr>
        <w:ind w:firstLine="412" w:firstLineChars="196"/>
        <w:rPr>
          <w:rFonts w:ascii="宋体" w:hAnsi="宋体"/>
          <w:szCs w:val="21"/>
        </w:rPr>
      </w:pPr>
      <w:bookmarkEnd w:id="120"/>
    </w:p>
    <w:p>
      <w:pPr>
        <w:pStyle w:val="Heading2"/>
        <w:numPr>
          <w:ilvl w:val="0"/>
          <w:numId w:val="16"/>
        </w:numPr>
        <w:spacing w:before="120" w:beforeLines="50" w:after="120" w:afterLines="50"/>
        <w:ind w:left="562" w:hanging="562"/>
        <w:rPr>
          <w:sz w:val="28"/>
          <w:szCs w:val="28"/>
        </w:rPr>
      </w:pPr>
      <w:r>
        <w:rPr>
          <w:rFonts w:hint="eastAsia"/>
          <w:sz w:val="28"/>
          <w:szCs w:val="28"/>
        </w:rPr>
        <w:t>公开招标失败的后续处理</w:t>
      </w:r>
    </w:p>
    <w:p>
      <w:pPr>
        <w:rPr>
          <w:rFonts w:ascii="黑体" w:eastAsia="黑体" w:hAnsi="宋体"/>
          <w:sz w:val="24"/>
        </w:rPr>
      </w:pPr>
      <w:r>
        <w:rPr>
          <w:rFonts w:ascii="黑体" w:eastAsia="黑体" w:hAnsi="宋体" w:hint="eastAsia"/>
          <w:sz w:val="24"/>
        </w:rPr>
        <w:t>42．公开招标失败的处理</w:t>
      </w:r>
    </w:p>
    <w:p>
      <w:pPr>
        <w:ind w:firstLine="412" w:firstLineChars="196"/>
        <w:rPr>
          <w:rFonts w:ascii="宋体" w:hAnsi="宋体"/>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pPr>
        <w:ind w:firstLine="412" w:firstLineChars="196"/>
        <w:rPr>
          <w:rFonts w:ascii="宋体" w:hAnsi="宋体"/>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pPr>
        <w:ind w:firstLine="412" w:firstLineChars="196"/>
        <w:rPr>
          <w:rFonts w:ascii="宋体" w:hAnsi="宋体"/>
          <w:szCs w:val="21"/>
        </w:rPr>
      </w:pPr>
      <w:r>
        <w:rPr>
          <w:rFonts w:ascii="宋体" w:hAnsi="宋体" w:hint="eastAsia"/>
          <w:szCs w:val="21"/>
        </w:rPr>
        <w:t>42.3重新组织采购有以下两种组织形式：</w:t>
      </w:r>
    </w:p>
    <w:p>
      <w:pPr>
        <w:ind w:firstLine="412" w:firstLineChars="196"/>
        <w:rPr>
          <w:rFonts w:ascii="宋体" w:hAnsi="宋体"/>
        </w:rPr>
      </w:pPr>
      <w:r>
        <w:rPr>
          <w:rFonts w:ascii="宋体" w:hAnsi="宋体" w:hint="eastAsia"/>
        </w:rPr>
        <w:t>（1）由政府集中采购机构重新组织公开招标；</w:t>
      </w:r>
    </w:p>
    <w:p>
      <w:pPr>
        <w:ind w:firstLine="412" w:firstLineChars="196"/>
        <w:rPr>
          <w:rFonts w:ascii="宋体" w:hAnsi="宋体"/>
        </w:rPr>
      </w:pPr>
      <w:r>
        <w:rPr>
          <w:rFonts w:ascii="宋体" w:hAnsi="宋体" w:hint="eastAsia"/>
        </w:rPr>
        <w:t>（2）根据实际情况需要向同级财政部门提出非公开招标方式申请，经同级财政部门批准，公开招标失败采购项目可转为竞争性谈判或单一来源谈判方式采购。</w:t>
      </w:r>
    </w:p>
    <w:p>
      <w:pPr>
        <w:ind w:firstLine="412" w:firstLineChars="196"/>
        <w:rPr>
          <w:rFonts w:ascii="宋体" w:hAnsi="宋体"/>
        </w:rPr>
      </w:pPr>
      <w:r>
        <w:rPr>
          <w:rFonts w:ascii="宋体" w:hAnsi="宋体" w:hint="eastAsia"/>
        </w:rPr>
        <w:t>42.4公开招标失败的采购项目重新组织公开招标，由政府集中采购机构重新按公开招标流程组织采购活动。</w:t>
      </w:r>
    </w:p>
    <w:p>
      <w:pPr>
        <w:rPr>
          <w:rFonts w:ascii="宋体" w:hAnsi="宋体"/>
        </w:rPr>
      </w:pPr>
      <w:r>
        <w:rPr>
          <w:rFonts w:ascii="黑体" w:eastAsia="黑体" w:hAnsi="宋体" w:hint="eastAsia"/>
          <w:sz w:val="24"/>
        </w:rPr>
        <w:t xml:space="preserve">    </w:t>
      </w:r>
      <w:r>
        <w:rPr>
          <w:rFonts w:ascii="宋体" w:hAnsi="宋体" w:hint="eastAsia"/>
        </w:rPr>
        <w:t>42.5公开招标失败的采购项目经同级财政部门批准转为竞争性谈判或单一来源谈判方式采购的，按规定要求组织政府采购工作。</w:t>
      </w:r>
    </w:p>
    <w:p>
      <w:pPr>
        <w:rPr>
          <w:rFonts w:ascii="黑体" w:eastAsia="黑体" w:hAnsi="宋体"/>
          <w:sz w:val="24"/>
        </w:rPr>
      </w:pPr>
    </w:p>
    <w:p>
      <w:pPr>
        <w:pStyle w:val="Heading2"/>
        <w:numPr>
          <w:ilvl w:val="0"/>
          <w:numId w:val="16"/>
        </w:numPr>
        <w:spacing w:before="120" w:beforeLines="50" w:after="120" w:afterLines="50"/>
        <w:ind w:left="562" w:hanging="562"/>
        <w:rPr>
          <w:sz w:val="28"/>
          <w:szCs w:val="28"/>
        </w:rPr>
      </w:pPr>
      <w:bookmarkStart w:id="121" w:name="_Hlk72439043"/>
      <w:r>
        <w:rPr>
          <w:rFonts w:hint="eastAsia"/>
          <w:sz w:val="28"/>
          <w:szCs w:val="28"/>
        </w:rPr>
        <w:t>合同的授予与备案</w:t>
      </w:r>
      <w:bookmarkEnd w:id="121"/>
    </w:p>
    <w:p>
      <w:pPr>
        <w:rPr>
          <w:rFonts w:ascii="黑体" w:eastAsia="黑体" w:hAnsi="宋体"/>
          <w:sz w:val="24"/>
        </w:rPr>
      </w:pPr>
      <w:bookmarkStart w:id="122" w:name="_Toc73521674"/>
      <w:bookmarkStart w:id="123" w:name="_Toc73518157"/>
      <w:bookmarkStart w:id="124" w:name="_Toc100052408"/>
      <w:bookmarkStart w:id="125" w:name="_Toc73521586"/>
      <w:bookmarkStart w:id="126" w:name="_Toc73517679"/>
      <w:bookmarkStart w:id="127" w:name="_Hlk72439088"/>
      <w:r>
        <w:rPr>
          <w:rFonts w:ascii="黑体" w:eastAsia="黑体" w:hAnsi="宋体" w:hint="eastAsia"/>
          <w:sz w:val="24"/>
        </w:rPr>
        <w:t>43．合同授予标准</w:t>
      </w:r>
      <w:bookmarkEnd w:id="122"/>
      <w:bookmarkEnd w:id="123"/>
      <w:bookmarkEnd w:id="124"/>
      <w:bookmarkEnd w:id="125"/>
      <w:bookmarkEnd w:id="126"/>
    </w:p>
    <w:p>
      <w:pPr>
        <w:ind w:firstLine="412" w:firstLineChars="196"/>
        <w:rPr>
          <w:rFonts w:ascii="宋体" w:hAnsi="宋体"/>
          <w:szCs w:val="21"/>
        </w:rPr>
      </w:pPr>
      <w:r>
        <w:rPr>
          <w:rFonts w:ascii="宋体" w:hAnsi="宋体" w:hint="eastAsia"/>
          <w:szCs w:val="21"/>
        </w:rPr>
        <w:t>本项目的合同将授予经本招标文件规定评审确定的中标供应商。</w:t>
      </w:r>
    </w:p>
    <w:p>
      <w:pPr>
        <w:rPr>
          <w:rFonts w:ascii="黑体" w:eastAsia="黑体" w:hAnsi="宋体"/>
          <w:sz w:val="24"/>
        </w:rPr>
      </w:pPr>
      <w:bookmarkStart w:id="128" w:name="_Toc73521587"/>
      <w:bookmarkStart w:id="129" w:name="_Toc73521675"/>
      <w:bookmarkStart w:id="130" w:name="_Toc73517680"/>
      <w:bookmarkStart w:id="131" w:name="_Toc100052409"/>
      <w:bookmarkStart w:id="132" w:name="_Toc73518158"/>
      <w:r>
        <w:rPr>
          <w:rFonts w:ascii="黑体" w:eastAsia="黑体" w:hAnsi="宋体" w:hint="eastAsia"/>
          <w:sz w:val="24"/>
        </w:rPr>
        <w:t>44．</w:t>
      </w:r>
      <w:bookmarkEnd w:id="128"/>
      <w:bookmarkEnd w:id="129"/>
      <w:bookmarkEnd w:id="130"/>
      <w:bookmarkEnd w:id="131"/>
      <w:bookmarkEnd w:id="132"/>
      <w:r>
        <w:rPr>
          <w:rFonts w:ascii="黑体" w:eastAsia="黑体" w:hAnsi="宋体" w:hint="eastAsia"/>
          <w:sz w:val="24"/>
        </w:rPr>
        <w:t>接受和拒绝任何或所有投标的权力</w:t>
      </w:r>
    </w:p>
    <w:p>
      <w:pPr>
        <w:ind w:firstLine="412" w:firstLineChars="196"/>
        <w:rPr>
          <w:rFonts w:ascii="宋体" w:hAnsi="宋体"/>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eastAsia="黑体" w:hAnsi="宋体"/>
          <w:sz w:val="24"/>
        </w:rPr>
      </w:pPr>
      <w:bookmarkStart w:id="133" w:name="_Toc73521677"/>
      <w:bookmarkStart w:id="134" w:name="_Toc73521589"/>
      <w:bookmarkStart w:id="135" w:name="_Toc73518160"/>
      <w:bookmarkStart w:id="136" w:name="_Toc73517682"/>
      <w:bookmarkStart w:id="137" w:name="_Toc100052410"/>
      <w:r>
        <w:rPr>
          <w:rFonts w:ascii="黑体" w:eastAsia="黑体" w:hAnsi="宋体" w:hint="eastAsia"/>
          <w:sz w:val="24"/>
        </w:rPr>
        <w:t>45．合同的签订</w:t>
      </w:r>
      <w:bookmarkEnd w:id="133"/>
      <w:bookmarkEnd w:id="134"/>
      <w:bookmarkEnd w:id="135"/>
      <w:bookmarkEnd w:id="136"/>
      <w:bookmarkEnd w:id="137"/>
    </w:p>
    <w:p>
      <w:pPr>
        <w:ind w:firstLine="412" w:firstLineChars="196"/>
        <w:rPr>
          <w:rFonts w:ascii="宋体" w:hAnsi="宋体"/>
          <w:szCs w:val="21"/>
        </w:rPr>
      </w:pPr>
      <w:r>
        <w:rPr>
          <w:rFonts w:ascii="宋体" w:hAnsi="宋体" w:hint="eastAsia"/>
          <w:szCs w:val="21"/>
        </w:rPr>
        <w:t>45.1中标人将于中标通知书发出之日起十个工作日内，按照采购文件（招标文件和投标文件等）内容与采购人签订政府采购合同；合同的实质性内容应当符合招标文件的规定；</w:t>
      </w:r>
    </w:p>
    <w:p>
      <w:pPr>
        <w:ind w:firstLine="412" w:firstLineChars="196"/>
        <w:rPr>
          <w:rFonts w:ascii="宋体" w:hAnsi="宋体"/>
          <w:szCs w:val="21"/>
        </w:rPr>
      </w:pPr>
      <w:r>
        <w:rPr>
          <w:rFonts w:ascii="宋体" w:hAnsi="宋体" w:hint="eastAsia"/>
          <w:szCs w:val="21"/>
        </w:rPr>
        <w:t>45.2中标人如不按本通用条款第45</w:t>
      </w:r>
      <w:r>
        <w:rPr>
          <w:rFonts w:ascii="宋体" w:hAnsi="宋体"/>
          <w:szCs w:val="21"/>
        </w:rPr>
        <w:t>.1</w:t>
      </w:r>
      <w:r>
        <w:rPr>
          <w:rFonts w:ascii="宋体" w:hAnsi="宋体" w:hint="eastAsia"/>
          <w:szCs w:val="21"/>
        </w:rPr>
        <w:t>款的规定与采购人签订合同，</w:t>
      </w:r>
      <w:r>
        <w:rPr>
          <w:rFonts w:ascii="宋体" w:hAnsi="宋体" w:cs="宋体"/>
          <w:kern w:val="0"/>
          <w:szCs w:val="21"/>
        </w:rPr>
        <w:t>情节严重的，由</w:t>
      </w:r>
      <w:r>
        <w:rPr>
          <w:rFonts w:ascii="宋体" w:hAnsi="宋体" w:cs="宋体" w:hint="eastAsia"/>
          <w:kern w:val="0"/>
          <w:szCs w:val="21"/>
        </w:rPr>
        <w:t>同级财政</w:t>
      </w:r>
      <w:r>
        <w:rPr>
          <w:rFonts w:ascii="宋体" w:hAnsi="宋体" w:cs="宋体"/>
          <w:kern w:val="0"/>
          <w:szCs w:val="21"/>
        </w:rPr>
        <w:t>部门记入供应商诚信档案，予以通报</w:t>
      </w:r>
      <w:r>
        <w:rPr>
          <w:rFonts w:ascii="宋体" w:hAnsi="宋体" w:hint="eastAsia"/>
          <w:szCs w:val="21"/>
        </w:rPr>
        <w:t>；</w:t>
      </w:r>
    </w:p>
    <w:p>
      <w:pPr>
        <w:ind w:firstLine="412" w:firstLineChars="196"/>
        <w:rPr>
          <w:rFonts w:ascii="宋体" w:hAnsi="宋体"/>
          <w:szCs w:val="21"/>
        </w:rPr>
      </w:pPr>
      <w:r>
        <w:rPr>
          <w:rFonts w:ascii="宋体" w:hAnsi="宋体" w:hint="eastAsia"/>
          <w:szCs w:val="21"/>
        </w:rPr>
        <w:t>45.3中标人应当按照合同约定履行义务，完成中标项目，不得将中标项目转让（转包）给他人。</w:t>
      </w:r>
    </w:p>
    <w:p>
      <w:pPr>
        <w:rPr>
          <w:rFonts w:ascii="黑体" w:eastAsia="黑体" w:hAnsi="宋体"/>
          <w:sz w:val="24"/>
        </w:rPr>
      </w:pPr>
      <w:bookmarkStart w:id="138" w:name="_Toc100052411"/>
      <w:bookmarkStart w:id="139" w:name="_Toc73521590"/>
      <w:bookmarkStart w:id="140" w:name="_Toc73517683"/>
      <w:bookmarkStart w:id="141" w:name="_Toc73518161"/>
      <w:bookmarkStart w:id="142" w:name="_Toc73521678"/>
      <w:r>
        <w:rPr>
          <w:rFonts w:ascii="黑体" w:eastAsia="黑体" w:hAnsi="宋体" w:hint="eastAsia"/>
          <w:sz w:val="24"/>
        </w:rPr>
        <w:t>46．履约担保</w:t>
      </w:r>
      <w:bookmarkEnd w:id="138"/>
      <w:bookmarkEnd w:id="139"/>
      <w:bookmarkEnd w:id="140"/>
      <w:bookmarkEnd w:id="141"/>
      <w:bookmarkEnd w:id="142"/>
    </w:p>
    <w:p>
      <w:pPr>
        <w:ind w:firstLine="412" w:firstLineChars="196"/>
        <w:rPr>
          <w:rFonts w:ascii="宋体" w:hAnsi="宋体"/>
          <w:szCs w:val="21"/>
        </w:rPr>
      </w:pPr>
      <w:r>
        <w:rPr>
          <w:rFonts w:ascii="宋体" w:hAnsi="宋体" w:hint="eastAsia"/>
          <w:szCs w:val="21"/>
        </w:rPr>
        <w:t>46.1在签订项目合同的同时，中标人应按“对通用条款的补充内容”中规定的金额向采购人提交履约担保；</w:t>
      </w:r>
    </w:p>
    <w:p>
      <w:pPr>
        <w:ind w:firstLine="412" w:firstLineChars="196"/>
        <w:rPr>
          <w:rFonts w:ascii="宋体" w:hAnsi="宋体"/>
          <w:szCs w:val="21"/>
        </w:rPr>
      </w:pPr>
      <w:r>
        <w:rPr>
          <w:rFonts w:ascii="宋体" w:hAnsi="宋体" w:hint="eastAsia"/>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eastAsia="黑体" w:hAnsi="宋体"/>
          <w:sz w:val="24"/>
        </w:rPr>
      </w:pPr>
      <w:r>
        <w:rPr>
          <w:rFonts w:ascii="黑体" w:eastAsia="黑体" w:hAnsi="宋体" w:hint="eastAsia"/>
          <w:sz w:val="24"/>
        </w:rPr>
        <w:t>47. 合同备案</w:t>
      </w:r>
    </w:p>
    <w:p>
      <w:pPr>
        <w:ind w:firstLine="420" w:firstLineChars="200"/>
        <w:rPr>
          <w:rFonts w:ascii="宋体" w:eastAsia="宋体" w:hAnsi="宋体" w:cs="Times New Roman" w:hint="eastAsia"/>
          <w:kern w:val="2"/>
          <w:sz w:val="21"/>
          <w:szCs w:val="21"/>
          <w:lang w:val="en-US" w:eastAsia="zh-CN"/>
        </w:rPr>
      </w:pPr>
      <w:r>
        <w:rPr>
          <w:rFonts w:ascii="宋体" w:eastAsia="宋体" w:hAnsi="宋体" w:cs="Times New Roman" w:hint="eastAsia"/>
          <w:kern w:val="2"/>
          <w:sz w:val="21"/>
          <w:szCs w:val="21"/>
        </w:rPr>
        <w:t>采购人与中标供应商自中标通知书发出之日起10个工作日内签订政府采购合同，</w:t>
      </w:r>
      <w:r>
        <w:rPr>
          <w:rFonts w:ascii="宋体" w:eastAsia="宋体" w:hAnsi="宋体" w:cs="Times New Roman" w:hint="eastAsia"/>
          <w:kern w:val="2"/>
          <w:sz w:val="21"/>
          <w:szCs w:val="21"/>
          <w:lang w:val="en-US" w:eastAsia="zh-CN"/>
        </w:rPr>
        <w:t>并按财政部门规定提交备案。</w:t>
      </w:r>
    </w:p>
    <w:p>
      <w:pPr>
        <w:rPr>
          <w:rFonts w:ascii="黑体" w:eastAsia="黑体" w:hAnsi="宋体"/>
          <w:sz w:val="24"/>
        </w:rPr>
      </w:pPr>
      <w:r>
        <w:rPr>
          <w:rFonts w:ascii="黑体" w:eastAsia="黑体" w:hAnsi="宋体" w:hint="eastAsia"/>
          <w:sz w:val="24"/>
        </w:rPr>
        <w:t>48. 合同变更</w:t>
      </w:r>
    </w:p>
    <w:p>
      <w:pPr>
        <w:ind w:firstLine="412" w:firstLineChars="196"/>
        <w:rPr>
          <w:rFonts w:ascii="宋体" w:hAnsi="宋体"/>
          <w:szCs w:val="21"/>
        </w:rPr>
      </w:pPr>
      <w:r>
        <w:rPr>
          <w:rFonts w:ascii="宋体" w:hAnsi="宋体" w:hint="eastAsia"/>
          <w:szCs w:val="21"/>
        </w:rPr>
        <w:t>合同变更事宜按《深圳市财政局关于优化政府采购合同备案的通知》（深财发保〔2022〕2号）相关规定执行。</w:t>
      </w:r>
    </w:p>
    <w:p>
      <w:pPr>
        <w:rPr>
          <w:rFonts w:ascii="黑体" w:eastAsia="黑体" w:hAnsi="宋体"/>
          <w:sz w:val="24"/>
        </w:rPr>
      </w:pPr>
      <w:r>
        <w:rPr>
          <w:rFonts w:ascii="黑体" w:eastAsia="黑体" w:hAnsi="宋体" w:hint="eastAsia"/>
          <w:sz w:val="24"/>
        </w:rPr>
        <w:t>49. 项目验收</w:t>
      </w:r>
    </w:p>
    <w:p>
      <w:pPr>
        <w:widowControl/>
        <w:ind w:right="176" w:firstLine="420"/>
        <w:jc w:val="left"/>
        <w:rPr>
          <w:rFonts w:ascii="宋体" w:hAnsi="宋体"/>
        </w:rPr>
      </w:pPr>
      <w:r>
        <w:rPr>
          <w:rFonts w:ascii="宋体" w:hAnsi="宋体" w:hint="eastAsia"/>
        </w:rPr>
        <w:t>49.1采购人应当按照招标文件和合同规定的标准和方法，及时组织验收。</w:t>
      </w:r>
      <w:r>
        <w:rPr>
          <w:rFonts w:ascii="宋体" w:hAnsi="宋体"/>
        </w:rPr>
        <w:t xml:space="preserve"> </w:t>
      </w:r>
    </w:p>
    <w:p>
      <w:pPr>
        <w:rPr>
          <w:rFonts w:ascii="黑体" w:eastAsia="黑体" w:hAnsi="宋体"/>
          <w:sz w:val="24"/>
        </w:rPr>
      </w:pPr>
      <w:r>
        <w:rPr>
          <w:rFonts w:ascii="黑体" w:eastAsia="黑体" w:hAnsi="宋体" w:hint="eastAsia"/>
          <w:sz w:val="24"/>
        </w:rPr>
        <w:t>50. 宣传</w:t>
      </w:r>
    </w:p>
    <w:p>
      <w:pPr>
        <w:ind w:left="210" w:firstLine="412" w:leftChars="100" w:firstLineChars="196"/>
        <w:rPr>
          <w:rFonts w:ascii="宋体" w:hAnsi="宋体"/>
        </w:rPr>
      </w:pPr>
      <w:r>
        <w:rPr>
          <w:rFonts w:ascii="宋体" w:hAnsi="宋体" w:hint="eastAsia"/>
        </w:rPr>
        <w:t>凡与政府采购活动有关的宣传或广告，若当中提及政府采购，</w:t>
      </w:r>
      <w:r>
        <w:rPr>
          <w:rFonts w:ascii="宋体" w:hAnsi="宋体"/>
        </w:rPr>
        <w:t>必须事先将具体对外宣传方案报</w:t>
      </w:r>
      <w:r>
        <w:rPr>
          <w:rFonts w:ascii="宋体" w:hAnsi="宋体" w:hint="eastAsia"/>
        </w:rPr>
        <w:t>同级财政部门</w:t>
      </w:r>
      <w:r>
        <w:rPr>
          <w:rFonts w:ascii="宋体" w:hAnsi="宋体"/>
        </w:rPr>
        <w:t>和</w:t>
      </w:r>
      <w:r>
        <w:rPr>
          <w:rFonts w:ascii="宋体" w:hAnsi="宋体" w:hint="eastAsia"/>
        </w:rPr>
        <w:t>政府集中采购机构</w:t>
      </w:r>
      <w:r>
        <w:rPr>
          <w:rFonts w:ascii="宋体" w:hAnsi="宋体"/>
        </w:rPr>
        <w:t>，并征得其同意。对外市场宣传包括但不限于以下形式：</w:t>
      </w:r>
    </w:p>
    <w:p>
      <w:pPr>
        <w:ind w:left="210" w:firstLine="412" w:leftChars="100" w:firstLineChars="196"/>
        <w:rPr>
          <w:rFonts w:ascii="宋体" w:hAnsi="宋体"/>
        </w:rPr>
      </w:pPr>
      <w:r>
        <w:rPr>
          <w:rFonts w:ascii="宋体" w:hAnsi="宋体"/>
        </w:rPr>
        <w:t>a.名片、宣传册、广告标语等；</w:t>
      </w:r>
    </w:p>
    <w:p>
      <w:pPr>
        <w:ind w:left="210" w:firstLine="412" w:leftChars="100" w:firstLineChars="196"/>
        <w:rPr>
          <w:rFonts w:ascii="宋体" w:hAnsi="宋体"/>
        </w:rPr>
      </w:pPr>
      <w:r>
        <w:rPr>
          <w:rFonts w:ascii="宋体" w:hAnsi="宋体"/>
        </w:rPr>
        <w:t>b.案例介绍、推广等；</w:t>
      </w:r>
    </w:p>
    <w:p>
      <w:pPr>
        <w:ind w:left="210" w:firstLine="412" w:leftChars="100" w:firstLineChars="196"/>
        <w:rPr>
          <w:rFonts w:ascii="宋体" w:hAnsi="宋体"/>
        </w:rPr>
      </w:pPr>
      <w:r>
        <w:rPr>
          <w:rFonts w:ascii="宋体" w:hAnsi="宋体" w:hint="eastAsia"/>
        </w:rPr>
        <w:t>c.工作</w:t>
      </w:r>
      <w:r>
        <w:rPr>
          <w:rFonts w:ascii="宋体" w:hAnsi="宋体"/>
        </w:rPr>
        <w:t>人员向其他消费群体宣传。</w:t>
      </w:r>
    </w:p>
    <w:p>
      <w:pPr>
        <w:rPr>
          <w:rFonts w:ascii="黑体" w:eastAsia="黑体" w:hAnsi="宋体"/>
          <w:sz w:val="24"/>
        </w:rPr>
      </w:pPr>
      <w:r>
        <w:rPr>
          <w:rFonts w:ascii="黑体" w:eastAsia="黑体" w:hAnsi="宋体" w:hint="eastAsia"/>
          <w:sz w:val="24"/>
        </w:rPr>
        <w:t>51. 供应商违法责任</w:t>
      </w:r>
    </w:p>
    <w:p>
      <w:pPr>
        <w:ind w:firstLine="412" w:firstLineChars="196"/>
        <w:rPr>
          <w:rFonts w:ascii="宋体" w:hAnsi="宋体"/>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2" w:firstLineChars="196"/>
        <w:rPr>
          <w:rFonts w:ascii="宋体" w:hAnsi="宋体"/>
          <w:szCs w:val="21"/>
        </w:rPr>
      </w:pPr>
      <w:r>
        <w:rPr>
          <w:rFonts w:ascii="宋体" w:hAnsi="宋体" w:hint="eastAsia"/>
          <w:szCs w:val="21"/>
        </w:rPr>
        <w:t>（1）在采购活动中应当回避而未回避的；</w:t>
      </w:r>
    </w:p>
    <w:p>
      <w:pPr>
        <w:ind w:firstLine="412" w:firstLineChars="196"/>
        <w:rPr>
          <w:rFonts w:ascii="宋体" w:hAnsi="宋体"/>
          <w:szCs w:val="21"/>
        </w:rPr>
      </w:pPr>
      <w:r>
        <w:rPr>
          <w:rFonts w:ascii="宋体" w:hAnsi="宋体" w:hint="eastAsia"/>
          <w:szCs w:val="21"/>
        </w:rPr>
        <w:t>（2）未按本条例规定签订、履行采购合同，造成严重后果的；</w:t>
      </w:r>
    </w:p>
    <w:p>
      <w:pPr>
        <w:ind w:firstLine="412" w:firstLineChars="196"/>
        <w:rPr>
          <w:rFonts w:ascii="宋体" w:hAnsi="宋体"/>
          <w:szCs w:val="21"/>
        </w:rPr>
      </w:pPr>
      <w:r>
        <w:rPr>
          <w:rFonts w:ascii="宋体" w:hAnsi="宋体" w:hint="eastAsia"/>
          <w:szCs w:val="21"/>
        </w:rPr>
        <w:t>（3）隐瞒真实情况，提供虚假资料的；</w:t>
      </w:r>
    </w:p>
    <w:p>
      <w:pPr>
        <w:ind w:firstLine="412" w:firstLineChars="196"/>
        <w:rPr>
          <w:rFonts w:ascii="宋体" w:hAnsi="宋体"/>
          <w:szCs w:val="21"/>
        </w:rPr>
      </w:pPr>
      <w:r>
        <w:rPr>
          <w:rFonts w:ascii="宋体" w:hAnsi="宋体" w:hint="eastAsia"/>
          <w:szCs w:val="21"/>
        </w:rPr>
        <w:t>（4）以非法手段排斥其他供应商参与竞争的；</w:t>
      </w:r>
    </w:p>
    <w:p>
      <w:pPr>
        <w:ind w:firstLine="412" w:firstLineChars="196"/>
        <w:rPr>
          <w:rFonts w:ascii="宋体" w:hAnsi="宋体"/>
          <w:szCs w:val="21"/>
        </w:rPr>
      </w:pPr>
      <w:r>
        <w:rPr>
          <w:rFonts w:ascii="宋体" w:hAnsi="宋体" w:hint="eastAsia"/>
          <w:szCs w:val="21"/>
        </w:rPr>
        <w:t>（5）与其他采购参加人串通投标的；</w:t>
      </w:r>
    </w:p>
    <w:p>
      <w:pPr>
        <w:ind w:firstLine="412" w:firstLineChars="196"/>
        <w:rPr>
          <w:rFonts w:ascii="宋体" w:hAnsi="宋体"/>
          <w:szCs w:val="21"/>
        </w:rPr>
      </w:pPr>
      <w:r>
        <w:rPr>
          <w:rFonts w:ascii="宋体" w:hAnsi="宋体" w:hint="eastAsia"/>
          <w:szCs w:val="21"/>
        </w:rPr>
        <w:t>（6）恶意投诉的；</w:t>
      </w:r>
    </w:p>
    <w:p>
      <w:pPr>
        <w:ind w:firstLine="412" w:firstLineChars="196"/>
        <w:rPr>
          <w:rFonts w:ascii="宋体" w:hAnsi="宋体"/>
          <w:szCs w:val="21"/>
        </w:rPr>
      </w:pPr>
      <w:r>
        <w:rPr>
          <w:rFonts w:ascii="宋体" w:hAnsi="宋体" w:hint="eastAsia"/>
          <w:szCs w:val="21"/>
        </w:rPr>
        <w:t>（7）向采购项目相关人行贿或者提供其他不当利益的；</w:t>
      </w:r>
    </w:p>
    <w:p>
      <w:pPr>
        <w:ind w:firstLine="412" w:firstLineChars="196"/>
        <w:rPr>
          <w:rFonts w:ascii="宋体" w:hAnsi="宋体"/>
          <w:szCs w:val="21"/>
        </w:rPr>
      </w:pPr>
      <w:r>
        <w:rPr>
          <w:rFonts w:ascii="宋体" w:hAnsi="宋体" w:hint="eastAsia"/>
          <w:szCs w:val="21"/>
        </w:rPr>
        <w:t>（8）阻碍、抗拒主管部门监督检查的；</w:t>
      </w:r>
    </w:p>
    <w:p>
      <w:pPr>
        <w:ind w:firstLine="412" w:firstLineChars="196"/>
        <w:rPr>
          <w:rFonts w:ascii="宋体" w:hAnsi="宋体"/>
          <w:szCs w:val="21"/>
        </w:rPr>
      </w:pPr>
      <w:r>
        <w:rPr>
          <w:rFonts w:ascii="宋体" w:hAnsi="宋体" w:hint="eastAsia"/>
          <w:szCs w:val="21"/>
        </w:rPr>
        <w:t>（9）其他违反本条例规定的行为。</w:t>
      </w:r>
    </w:p>
    <w:p>
      <w:pPr>
        <w:ind w:firstLine="412" w:firstLineChars="196"/>
        <w:rPr>
          <w:rFonts w:ascii="宋体" w:hAnsi="宋体"/>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号）的要求，供应商在政府采购活动中出现《深圳经济特区政府采购条例实施细则》第八十条所列情形的，</w:t>
      </w:r>
      <w:bookmarkStart w:id="143" w:name="_Hlk72440769"/>
      <w:r>
        <w:rPr>
          <w:rFonts w:ascii="宋体" w:hAnsi="宋体" w:hint="eastAsia"/>
          <w:szCs w:val="21"/>
        </w:rPr>
        <w:t>政府集中采购机构或采购人不予退还其交纳的谈判保证金，情节严重的，并由主管部门</w:t>
      </w:r>
      <w:bookmarkEnd w:id="143"/>
      <w:r>
        <w:rPr>
          <w:rFonts w:ascii="宋体" w:hAnsi="宋体" w:hint="eastAsia"/>
          <w:szCs w:val="21"/>
        </w:rPr>
        <w:t>记入供应商诚信档案，予以通报：</w:t>
      </w:r>
    </w:p>
    <w:p>
      <w:pPr>
        <w:ind w:firstLine="412" w:firstLineChars="196"/>
        <w:rPr>
          <w:rFonts w:ascii="宋体" w:hAnsi="宋体"/>
          <w:szCs w:val="21"/>
        </w:rPr>
      </w:pPr>
      <w:r>
        <w:rPr>
          <w:rFonts w:ascii="宋体" w:hAnsi="宋体" w:hint="eastAsia"/>
          <w:szCs w:val="21"/>
        </w:rPr>
        <w:t>（1</w:t>
      </w:r>
      <w:r>
        <w:rPr>
          <w:rFonts w:ascii="宋体" w:hAnsi="宋体"/>
          <w:szCs w:val="21"/>
        </w:rPr>
        <w:t>）投标截止后，撤销投标的；</w:t>
      </w:r>
    </w:p>
    <w:p>
      <w:pPr>
        <w:ind w:firstLine="412" w:firstLineChars="196"/>
        <w:rPr>
          <w:rFonts w:ascii="宋体" w:hAnsi="宋体"/>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pPr>
        <w:ind w:firstLine="412" w:firstLineChars="196"/>
        <w:rPr>
          <w:rFonts w:ascii="宋体" w:hAnsi="宋体"/>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）将中标项目转让给他人、或者在投标文件中未说明且未经采购人、采购招标机构同意，将中标项目分包给他人的；</w:t>
      </w:r>
    </w:p>
    <w:p>
      <w:pPr>
        <w:ind w:firstLine="412" w:firstLineChars="196"/>
        <w:rPr>
          <w:rFonts w:ascii="宋体" w:hAnsi="宋体"/>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pPr>
        <w:pStyle w:val="Heading2"/>
        <w:numPr>
          <w:ilvl w:val="0"/>
          <w:numId w:val="16"/>
        </w:numPr>
        <w:spacing w:before="120" w:beforeLines="50" w:after="120" w:afterLines="50"/>
        <w:ind w:left="562" w:hanging="562"/>
        <w:rPr>
          <w:sz w:val="28"/>
          <w:szCs w:val="28"/>
        </w:rPr>
      </w:pPr>
      <w:bookmarkEnd w:id="127"/>
      <w:r>
        <w:rPr>
          <w:rFonts w:hint="eastAsia"/>
          <w:sz w:val="28"/>
          <w:szCs w:val="28"/>
        </w:rPr>
        <w:t>质疑处理</w:t>
      </w:r>
    </w:p>
    <w:p>
      <w:pPr>
        <w:rPr>
          <w:rFonts w:ascii="黑体" w:eastAsia="黑体" w:hAnsi="宋体"/>
          <w:sz w:val="24"/>
        </w:rPr>
      </w:pPr>
      <w:bookmarkStart w:id="144" w:name="_Hlk72439706"/>
      <w:r>
        <w:rPr>
          <w:rFonts w:ascii="黑体" w:eastAsia="黑体" w:hAnsi="宋体" w:hint="eastAsia"/>
          <w:sz w:val="24"/>
        </w:rPr>
        <w:t>52.质疑提出与答复</w:t>
      </w:r>
    </w:p>
    <w:p>
      <w:pPr>
        <w:rPr>
          <w:rFonts w:ascii="宋体" w:hAnsi="宋体"/>
          <w:szCs w:val="21"/>
        </w:rPr>
      </w:pPr>
      <w:r>
        <w:rPr>
          <w:rFonts w:ascii="宋体" w:hAnsi="宋体" w:hint="eastAsia"/>
          <w:szCs w:val="21"/>
        </w:rPr>
        <w:t xml:space="preserve">    52.1提出质疑</w:t>
      </w:r>
    </w:p>
    <w:p>
      <w:pPr>
        <w:rPr>
          <w:rFonts w:ascii="宋体" w:hAnsi="宋体"/>
          <w:szCs w:val="21"/>
        </w:rPr>
      </w:pPr>
      <w:r>
        <w:rPr>
          <w:rFonts w:ascii="宋体" w:hAnsi="宋体" w:hint="eastAsia"/>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ascii="宋体" w:hAnsi="宋体" w:hint="eastAsia"/>
          <w:szCs w:val="21"/>
        </w:rPr>
        <w:t xml:space="preserve">    52.2</w:t>
      </w:r>
      <w:r>
        <w:rPr>
          <w:rFonts w:ascii="宋体" w:hAnsi="宋体"/>
          <w:szCs w:val="21"/>
        </w:rPr>
        <w:t>法律依据</w:t>
      </w:r>
    </w:p>
    <w:p>
      <w:pPr>
        <w:rPr>
          <w:rFonts w:ascii="宋体" w:hAnsi="宋体"/>
          <w:szCs w:val="21"/>
        </w:rPr>
      </w:pPr>
      <w:r>
        <w:rPr>
          <w:rFonts w:ascii="宋体" w:hAnsi="宋体" w:hint="eastAsia"/>
          <w:szCs w:val="21"/>
        </w:rPr>
        <w:t xml:space="preserve">    《中华人民共和国政府采购法》、《中华人民共和国政府采购法实施条例》、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pPr>
        <w:rPr>
          <w:rFonts w:ascii="宋体" w:hAnsi="宋体"/>
          <w:szCs w:val="21"/>
        </w:rPr>
      </w:pPr>
      <w:r>
        <w:rPr>
          <w:rFonts w:ascii="宋体" w:hAnsi="宋体" w:hint="eastAsia"/>
          <w:szCs w:val="21"/>
        </w:rPr>
        <w:t xml:space="preserve">  </w:t>
      </w:r>
      <w:r>
        <w:rPr>
          <w:rFonts w:ascii="宋体" w:hAnsi="宋体" w:hint="eastAsia"/>
          <w:color w:val="FF0000"/>
          <w:szCs w:val="21"/>
        </w:rPr>
        <w:t xml:space="preserve">  </w:t>
      </w:r>
      <w:r>
        <w:rPr>
          <w:rFonts w:ascii="宋体" w:hAnsi="宋体" w:hint="eastAsia"/>
          <w:szCs w:val="21"/>
        </w:rPr>
        <w:t>52.3质疑条件</w:t>
      </w:r>
    </w:p>
    <w:p>
      <w:pPr>
        <w:rPr>
          <w:rFonts w:ascii="宋体" w:hAnsi="宋体"/>
          <w:szCs w:val="21"/>
        </w:rPr>
      </w:pPr>
      <w:r>
        <w:rPr>
          <w:rFonts w:ascii="宋体" w:hAnsi="宋体" w:hint="eastAsia"/>
          <w:szCs w:val="21"/>
        </w:rPr>
        <w:t xml:space="preserve">    52.3.1提出质疑的供应商应当是参与所质疑项目采购活动的供应商；</w:t>
      </w:r>
      <w:bookmarkStart w:id="145" w:name="_Hlk75374941"/>
      <w:r>
        <w:rPr>
          <w:rFonts w:ascii="宋体" w:hAnsi="宋体" w:hint="eastAsia"/>
          <w:szCs w:val="21"/>
        </w:rPr>
        <w:t>以联合体形式参与的，质疑应当由组成联合体的所有成员共同提出</w:t>
      </w:r>
      <w:bookmarkEnd w:id="145"/>
      <w:r>
        <w:rPr>
          <w:rFonts w:ascii="宋体" w:hAnsi="宋体" w:hint="eastAsia"/>
          <w:szCs w:val="21"/>
        </w:rPr>
        <w:t>；</w:t>
      </w:r>
    </w:p>
    <w:p>
      <w:pPr>
        <w:rPr>
          <w:rFonts w:ascii="宋体" w:hAnsi="宋体"/>
          <w:szCs w:val="21"/>
        </w:rPr>
      </w:pPr>
      <w:r>
        <w:rPr>
          <w:rFonts w:ascii="宋体" w:hAnsi="宋体" w:hint="eastAsia"/>
          <w:szCs w:val="21"/>
        </w:rPr>
        <w:t xml:space="preserve">    52.3.2应当在法定质疑期内一次性提出针对同一采购程序环节的质疑，法定质疑期为自知道或应当知道权益受到损害之日起7个工作日内。应当知道其权益受到损害之日是指：对</w:t>
      </w:r>
      <w:r>
        <w:rPr>
          <w:rFonts w:ascii="宋体" w:hAnsi="宋体" w:hint="eastAsia"/>
          <w:szCs w:val="21"/>
          <w:lang w:val="en-US" w:eastAsia="zh-CN"/>
        </w:rPr>
        <w:t>采购</w:t>
      </w:r>
      <w:r>
        <w:rPr>
          <w:rFonts w:ascii="宋体" w:hAnsi="宋体" w:hint="eastAsia"/>
          <w:szCs w:val="21"/>
        </w:rPr>
        <w:t>文件的质疑，为</w:t>
      </w:r>
      <w:r>
        <w:rPr>
          <w:rFonts w:ascii="宋体" w:hAnsi="宋体" w:hint="eastAsia"/>
          <w:szCs w:val="21"/>
          <w:lang w:val="en-US" w:eastAsia="zh-CN"/>
        </w:rPr>
        <w:t>采购</w:t>
      </w:r>
      <w:r>
        <w:rPr>
          <w:rFonts w:ascii="宋体" w:hAnsi="宋体" w:hint="eastAsia"/>
          <w:szCs w:val="21"/>
        </w:rPr>
        <w:t>文件公布之日；对采购过程的质疑，为各采购程序环节结束之日；对中标</w:t>
      </w:r>
      <w:r>
        <w:rPr>
          <w:rFonts w:ascii="宋体" w:hAnsi="宋体" w:hint="eastAsia"/>
          <w:szCs w:val="21"/>
          <w:lang w:eastAsia="zh-CN"/>
        </w:rPr>
        <w:t>（</w:t>
      </w:r>
      <w:r>
        <w:rPr>
          <w:rFonts w:ascii="宋体" w:hAnsi="宋体" w:hint="eastAsia"/>
          <w:szCs w:val="21"/>
          <w:lang w:val="en-US" w:eastAsia="zh-CN"/>
        </w:rPr>
        <w:t>成交</w:t>
      </w:r>
      <w:r>
        <w:rPr>
          <w:rFonts w:ascii="宋体" w:hAnsi="宋体" w:hint="eastAsia"/>
          <w:szCs w:val="21"/>
          <w:lang w:eastAsia="zh-CN"/>
        </w:rPr>
        <w:t>）</w:t>
      </w:r>
      <w:r>
        <w:rPr>
          <w:rFonts w:ascii="宋体" w:hAnsi="宋体" w:hint="eastAsia"/>
          <w:szCs w:val="21"/>
        </w:rPr>
        <w:t>结果以及评审委员会组成人员的质疑，为中标</w:t>
      </w:r>
      <w:r>
        <w:rPr>
          <w:rFonts w:ascii="宋体" w:hAnsi="宋体" w:hint="eastAsia"/>
          <w:szCs w:val="21"/>
          <w:lang w:eastAsia="zh-CN"/>
        </w:rPr>
        <w:t>（</w:t>
      </w:r>
      <w:r>
        <w:rPr>
          <w:rFonts w:ascii="宋体" w:hAnsi="宋体" w:hint="eastAsia"/>
          <w:szCs w:val="21"/>
          <w:lang w:val="en-US" w:eastAsia="zh-CN"/>
        </w:rPr>
        <w:t>成交</w:t>
      </w:r>
      <w:r>
        <w:rPr>
          <w:rFonts w:ascii="宋体" w:hAnsi="宋体" w:hint="eastAsia"/>
          <w:szCs w:val="21"/>
          <w:lang w:eastAsia="zh-CN"/>
        </w:rPr>
        <w:t>）</w:t>
      </w:r>
      <w:r>
        <w:rPr>
          <w:rFonts w:ascii="宋体" w:hAnsi="宋体" w:hint="eastAsia"/>
          <w:szCs w:val="21"/>
        </w:rPr>
        <w:t>结果公示之日；</w:t>
      </w:r>
    </w:p>
    <w:p>
      <w:pPr>
        <w:ind w:firstLine="420"/>
        <w:rPr>
          <w:rFonts w:ascii="宋体" w:hAnsi="宋体"/>
          <w:szCs w:val="21"/>
        </w:rPr>
      </w:pPr>
      <w:r>
        <w:rPr>
          <w:rFonts w:ascii="宋体" w:hAnsi="宋体" w:hint="eastAsia"/>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ascii="宋体" w:hAnsi="宋体" w:hint="eastAsia"/>
          <w:szCs w:val="21"/>
        </w:rPr>
        <w:t>（1）供应商的名称（或者姓名）、地址、邮编、邮箱、联系人及联系电话；</w:t>
      </w:r>
    </w:p>
    <w:p>
      <w:pPr>
        <w:ind w:firstLine="420" w:firstLineChars="200"/>
        <w:rPr>
          <w:rFonts w:ascii="宋体" w:hAnsi="宋体"/>
          <w:szCs w:val="21"/>
        </w:rPr>
      </w:pPr>
      <w:r>
        <w:rPr>
          <w:rFonts w:ascii="宋体" w:hAnsi="宋体" w:hint="eastAsia"/>
          <w:szCs w:val="21"/>
        </w:rPr>
        <w:t>（2）质疑项目的名称、编号；</w:t>
      </w:r>
    </w:p>
    <w:p>
      <w:pPr>
        <w:ind w:firstLine="420" w:firstLineChars="200"/>
        <w:rPr>
          <w:rFonts w:ascii="宋体" w:hAnsi="宋体"/>
          <w:szCs w:val="21"/>
        </w:rPr>
      </w:pPr>
      <w:r>
        <w:rPr>
          <w:rFonts w:ascii="宋体" w:hAnsi="宋体" w:hint="eastAsia"/>
          <w:szCs w:val="21"/>
        </w:rPr>
        <w:t>（3）具体、明确的质疑对象、质疑事项和质疑请求；</w:t>
      </w:r>
    </w:p>
    <w:p>
      <w:pPr>
        <w:ind w:firstLine="420" w:firstLineChars="200"/>
        <w:rPr>
          <w:rFonts w:ascii="宋体" w:hAnsi="宋体"/>
          <w:szCs w:val="21"/>
        </w:rPr>
      </w:pPr>
      <w:r>
        <w:rPr>
          <w:rFonts w:ascii="宋体" w:hAnsi="宋体" w:hint="eastAsia"/>
          <w:szCs w:val="21"/>
        </w:rPr>
        <w:t>（4）因质疑事项而受损害的权益；</w:t>
      </w:r>
    </w:p>
    <w:p>
      <w:pPr>
        <w:ind w:firstLine="420" w:firstLineChars="200"/>
        <w:rPr>
          <w:rFonts w:ascii="宋体" w:hAnsi="宋体"/>
          <w:szCs w:val="21"/>
        </w:rPr>
      </w:pPr>
      <w:r>
        <w:rPr>
          <w:rFonts w:ascii="宋体" w:hAnsi="宋体" w:hint="eastAsia"/>
          <w:szCs w:val="21"/>
        </w:rPr>
        <w:t>（5）事实依据；</w:t>
      </w:r>
    </w:p>
    <w:p>
      <w:pPr>
        <w:ind w:firstLine="420" w:firstLineChars="200"/>
        <w:rPr>
          <w:rFonts w:ascii="宋体" w:hAnsi="宋体"/>
          <w:szCs w:val="21"/>
        </w:rPr>
      </w:pPr>
      <w:r>
        <w:rPr>
          <w:rFonts w:ascii="宋体" w:hAnsi="宋体" w:hint="eastAsia"/>
          <w:szCs w:val="21"/>
        </w:rPr>
        <w:t>（6）必要的法律依据；</w:t>
      </w:r>
    </w:p>
    <w:p>
      <w:pPr>
        <w:ind w:firstLine="420" w:firstLineChars="200"/>
        <w:rPr>
          <w:rFonts w:ascii="宋体" w:hAnsi="宋体"/>
          <w:szCs w:val="21"/>
        </w:rPr>
      </w:pPr>
      <w:r>
        <w:rPr>
          <w:rFonts w:ascii="宋体" w:hAnsi="宋体" w:hint="eastAsia"/>
          <w:szCs w:val="21"/>
        </w:rPr>
        <w:t>（7）提出质疑的日期。</w:t>
      </w:r>
    </w:p>
    <w:p>
      <w:pPr>
        <w:ind w:firstLine="420" w:firstLineChars="20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ascii="宋体" w:hAnsi="宋体" w:hint="eastAsia"/>
          <w:szCs w:val="21"/>
        </w:rPr>
        <w:t>52.4提交</w:t>
      </w:r>
      <w:r>
        <w:rPr>
          <w:rFonts w:ascii="宋体" w:hAnsi="宋体"/>
          <w:szCs w:val="21"/>
        </w:rPr>
        <w:t>材料</w:t>
      </w:r>
    </w:p>
    <w:p>
      <w:pPr>
        <w:ind w:firstLine="420" w:firstLineChars="200"/>
        <w:rPr>
          <w:rFonts w:ascii="宋体" w:hAnsi="宋体"/>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ascii="宋体" w:hAnsi="宋体" w:hint="eastAsia"/>
          <w:szCs w:val="21"/>
        </w:rPr>
        <w:t>52.5收文地点</w:t>
      </w:r>
    </w:p>
    <w:p>
      <w:pPr>
        <w:ind w:firstLine="420" w:firstLineChars="200"/>
        <w:rPr>
          <w:rFonts w:ascii="宋体" w:hAnsi="宋体"/>
          <w:b/>
          <w:bCs/>
          <w:szCs w:val="21"/>
        </w:rPr>
      </w:pPr>
      <w:r>
        <w:rPr>
          <w:rFonts w:ascii="宋体" w:hAnsi="宋体" w:hint="eastAsia"/>
          <w:b/>
          <w:bCs/>
          <w:szCs w:val="21"/>
        </w:rPr>
        <w:t>地址：</w:t>
      </w:r>
      <w:r>
        <w:rPr>
          <w:rFonts w:ascii="宋体" w:hAnsi="宋体" w:hint="eastAsia"/>
          <w:b/>
          <w:bCs/>
          <w:szCs w:val="21"/>
          <w:lang w:eastAsia="zh-CN"/>
        </w:rPr>
        <w:t>深圳公共资源交易中心（深圳交易集团有限公司大鹏分公司）（</w:t>
      </w:r>
      <w:r>
        <w:rPr>
          <w:rFonts w:asciiTheme="minorEastAsia" w:eastAsiaTheme="minorEastAsia" w:hAnsiTheme="minorEastAsia" w:cstheme="minorEastAsia" w:hint="eastAsia"/>
          <w:b/>
          <w:bCs/>
          <w:color w:val="FF0000"/>
          <w:szCs w:val="21"/>
        </w:rPr>
        <w:t>深圳市大鹏新区葵涌街道生命科学产业园A8栋203室</w:t>
      </w:r>
      <w:r>
        <w:rPr>
          <w:rFonts w:asciiTheme="minorEastAsia" w:eastAsiaTheme="minorEastAsia" w:hAnsiTheme="minorEastAsia" w:cstheme="minorEastAsia" w:hint="eastAsia"/>
          <w:b/>
          <w:bCs/>
          <w:color w:val="FF0000"/>
          <w:szCs w:val="21"/>
          <w:lang w:eastAsia="zh-CN"/>
        </w:rPr>
        <w:t>）</w:t>
      </w:r>
      <w:r>
        <w:rPr>
          <w:rFonts w:ascii="宋体" w:hAnsi="宋体" w:hint="eastAsia"/>
          <w:b/>
          <w:bCs/>
          <w:szCs w:val="21"/>
        </w:rPr>
        <w:t>，质疑咨询电话：0755-28333190。</w:t>
      </w:r>
    </w:p>
    <w:p>
      <w:pPr>
        <w:ind w:firstLine="420" w:firstLineChars="200"/>
        <w:rPr>
          <w:rFonts w:ascii="宋体" w:hAnsi="宋体"/>
          <w:szCs w:val="21"/>
        </w:rPr>
      </w:pPr>
      <w:r>
        <w:rPr>
          <w:rFonts w:ascii="宋体" w:hAnsi="宋体" w:hint="eastAsia"/>
          <w:szCs w:val="21"/>
        </w:rPr>
        <w:t>52.6收文办理</w:t>
      </w:r>
      <w:r>
        <w:rPr>
          <w:rFonts w:ascii="宋体" w:hAnsi="宋体"/>
          <w:szCs w:val="21"/>
        </w:rPr>
        <w:t>程序</w:t>
      </w:r>
    </w:p>
    <w:p>
      <w:pPr>
        <w:ind w:firstLine="420" w:firstLineChars="200"/>
        <w:rPr>
          <w:rFonts w:ascii="宋体" w:hAnsi="宋体"/>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eastAsia="仿宋" w:hAnsi="仿宋"/>
          <w:sz w:val="28"/>
          <w:szCs w:val="28"/>
        </w:rPr>
      </w:pPr>
      <w:r>
        <w:rPr>
          <w:rFonts w:ascii="宋体" w:hAnsi="宋体" w:hint="eastAsia"/>
          <w:szCs w:val="21"/>
        </w:rPr>
        <w:t>52.6.2供应商提交的质疑材料不符合质疑条件的，视情况处理：</w:t>
      </w:r>
    </w:p>
    <w:p>
      <w:pPr>
        <w:ind w:firstLine="420" w:firstLineChars="200"/>
        <w:rPr>
          <w:rFonts w:ascii="宋体" w:hAnsi="宋体"/>
          <w:szCs w:val="21"/>
        </w:rPr>
      </w:pPr>
      <w:r>
        <w:rPr>
          <w:rFonts w:ascii="宋体" w:hAnsi="宋体" w:hint="eastAsia"/>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ascii="宋体" w:hAnsi="宋体" w:hint="eastAsia"/>
          <w:szCs w:val="21"/>
        </w:rPr>
        <w:t>供应商提交的质疑存在下列情形之一的，不予受理：</w:t>
      </w:r>
    </w:p>
    <w:p>
      <w:pPr>
        <w:ind w:firstLine="420" w:firstLineChars="200"/>
        <w:rPr>
          <w:rFonts w:ascii="宋体" w:hAnsi="宋体"/>
          <w:szCs w:val="21"/>
        </w:rPr>
      </w:pPr>
      <w:r>
        <w:rPr>
          <w:rFonts w:ascii="宋体" w:hAnsi="宋体" w:hint="eastAsia"/>
          <w:szCs w:val="21"/>
        </w:rPr>
        <w:t>（1）质疑主体不满足要求的；</w:t>
      </w:r>
    </w:p>
    <w:p>
      <w:pPr>
        <w:ind w:firstLine="420" w:firstLineChars="200"/>
        <w:rPr>
          <w:rFonts w:ascii="宋体" w:hAnsi="宋体"/>
          <w:szCs w:val="21"/>
        </w:rPr>
      </w:pPr>
      <w:r>
        <w:rPr>
          <w:rFonts w:ascii="宋体" w:hAnsi="宋体" w:hint="eastAsia"/>
          <w:szCs w:val="21"/>
        </w:rPr>
        <w:t>（2）供应商自身权益未受到损害的；</w:t>
      </w:r>
    </w:p>
    <w:p>
      <w:pPr>
        <w:ind w:firstLine="420" w:firstLineChars="200"/>
        <w:rPr>
          <w:rFonts w:ascii="宋体" w:hAnsi="宋体"/>
          <w:szCs w:val="21"/>
        </w:rPr>
      </w:pPr>
      <w:r>
        <w:rPr>
          <w:rFonts w:ascii="宋体" w:hAnsi="宋体" w:hint="eastAsia"/>
          <w:szCs w:val="21"/>
        </w:rPr>
        <w:t>（3）供应商未在法定质疑期限内提出质疑的；</w:t>
      </w:r>
    </w:p>
    <w:p>
      <w:pPr>
        <w:ind w:firstLine="420" w:firstLineChars="200"/>
        <w:rPr>
          <w:rFonts w:ascii="宋体" w:hAnsi="宋体"/>
          <w:szCs w:val="21"/>
        </w:rPr>
      </w:pPr>
      <w:r>
        <w:rPr>
          <w:rFonts w:ascii="宋体" w:hAnsi="宋体" w:hint="eastAsia"/>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ascii="宋体" w:hAnsi="宋体" w:hint="eastAsia"/>
          <w:szCs w:val="21"/>
        </w:rPr>
        <w:t>（5）其他不符合受理条件情形的。</w:t>
      </w:r>
    </w:p>
    <w:p>
      <w:pPr>
        <w:ind w:firstLine="420" w:firstLineChars="200"/>
        <w:rPr>
          <w:rFonts w:ascii="宋体" w:hAnsi="宋体"/>
          <w:szCs w:val="21"/>
        </w:rPr>
      </w:pPr>
      <w:r>
        <w:rPr>
          <w:rFonts w:ascii="宋体" w:hAnsi="宋体" w:hint="eastAsia"/>
          <w:szCs w:val="21"/>
        </w:rPr>
        <w:t>质疑事项不予受理的，政府集中采购机构应当向供应商出具不符合质疑条件告知书。</w:t>
      </w:r>
    </w:p>
    <w:p>
      <w:pPr>
        <w:rPr>
          <w:rFonts w:ascii="宋体" w:hAnsi="宋体"/>
          <w:szCs w:val="21"/>
        </w:rPr>
      </w:pPr>
      <w:r>
        <w:rPr>
          <w:rFonts w:ascii="宋体" w:hAnsi="宋体" w:hint="eastAsia"/>
          <w:color w:val="FF0000"/>
          <w:szCs w:val="21"/>
        </w:rPr>
        <w:t xml:space="preserve">  </w:t>
      </w:r>
      <w:r>
        <w:rPr>
          <w:rFonts w:ascii="宋体" w:hAnsi="宋体" w:hint="eastAsia"/>
          <w:szCs w:val="21"/>
        </w:rPr>
        <w:t xml:space="preserve">  52.7质疑答复时限</w:t>
      </w:r>
    </w:p>
    <w:p>
      <w:pPr>
        <w:rPr>
          <w:rFonts w:ascii="宋体" w:hAnsi="宋体"/>
          <w:szCs w:val="21"/>
        </w:rPr>
      </w:pPr>
      <w:r>
        <w:rPr>
          <w:rFonts w:ascii="宋体" w:hAnsi="宋体" w:hint="eastAsia"/>
          <w:szCs w:val="21"/>
        </w:rPr>
        <w:t xml:space="preserve">    自收文之日起七个工作日内。</w:t>
      </w:r>
    </w:p>
    <w:p>
      <w:pPr>
        <w:rPr>
          <w:rFonts w:ascii="宋体" w:hAnsi="宋体"/>
          <w:szCs w:val="21"/>
        </w:rPr>
      </w:pPr>
      <w:r>
        <w:rPr>
          <w:rFonts w:ascii="宋体" w:hAnsi="宋体" w:hint="eastAsia"/>
          <w:szCs w:val="21"/>
        </w:rPr>
        <w:t xml:space="preserve">    52.8投诉</w:t>
      </w:r>
    </w:p>
    <w:p>
      <w:pPr>
        <w:rPr>
          <w:rFonts w:ascii="宋体" w:hAnsi="宋体"/>
          <w:szCs w:val="21"/>
        </w:rPr>
      </w:pPr>
      <w:r>
        <w:rPr>
          <w:rFonts w:ascii="宋体" w:hAnsi="宋体" w:hint="eastAsia"/>
          <w:szCs w:val="21"/>
        </w:rPr>
        <w:t xml:space="preserve">    对质疑答复不满意或者未在规定时间内答复的，提出质疑的供应商可以在答复期满后15个工作日内向同级财政部门投诉。</w:t>
      </w:r>
    </w:p>
    <w:p>
      <w:pPr>
        <w:rPr>
          <w:rFonts w:ascii="黑体" w:eastAsia="黑体" w:hAnsi="宋体"/>
          <w:sz w:val="24"/>
        </w:rPr>
      </w:pPr>
      <w:r>
        <w:rPr>
          <w:rFonts w:ascii="黑体" w:eastAsia="黑体" w:hAnsi="宋体" w:hint="eastAsia"/>
          <w:sz w:val="24"/>
        </w:rPr>
        <w:t>53. 质疑后续处理</w:t>
      </w:r>
    </w:p>
    <w:p>
      <w:pPr>
        <w:jc w:val="both"/>
        <w:rPr>
          <w:rFonts w:ascii="宋体" w:hAnsi="宋体"/>
          <w:szCs w:val="21"/>
        </w:rPr>
      </w:pPr>
      <w:r>
        <w:rPr>
          <w:rFonts w:ascii="宋体" w:hAnsi="宋体" w:hint="eastAsia"/>
          <w:szCs w:val="21"/>
        </w:rPr>
        <w:t xml:space="preserve">    53.1供应商质疑不成立，或者成立但未对中标、成交结果构成影响的，继续开展采购活动。</w:t>
      </w:r>
    </w:p>
    <w:p>
      <w:pPr>
        <w:ind w:firstLine="420"/>
        <w:jc w:val="both"/>
        <w:rPr>
          <w:rFonts w:ascii="宋体" w:hAnsi="宋体" w:hint="eastAsia"/>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pPr>
      <w:r>
        <w:t>---- END ----</w:t>
      </w:r>
      <w:bookmarkEnd w:id="144"/>
    </w:p>
    <w:p/>
    <w:p/>
    <w:p/>
    <w:p/>
    <w:sectPr>
      <w:pgSz w:w="11907" w:h="16840"/>
      <w:pgMar w:top="1440" w:right="1797" w:bottom="1440" w:left="1797" w:header="851" w:footer="992" w:gutter="0"/>
      <w:pgBorders>
        <w:top w:val="nil"/>
        <w:left w:val="nil"/>
        <w:bottom w:val="nil"/>
        <w:right w:val="nil"/>
      </w:pgBorders>
      <w:cols w:num="1" w:space="425"/>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38</w:t>
    </w:r>
    <w:r>
      <w:fldChar w:fldCharType="end"/>
    </w:r>
    <w:r>
      <w:t xml:space="preserve"> -</w:t>
    </w:r>
  </w:p>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il"/>
        <w:left w:val="nil"/>
        <w:bottom w:val="nil"/>
        <w:right w:val="nil"/>
        <w:between w:val="nil"/>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top w:val="nil"/>
        <w:left w:val="nil"/>
        <w:bottom w:val="nil"/>
        <w:right w:val="nil"/>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EFC674"/>
    <w:multiLevelType w:val="singleLevel"/>
    <w:tmpl w:val="FFEFC674"/>
    <w:lvl w:ilvl="0">
      <w:start w:val="1"/>
      <w:numFmt w:val="decimal"/>
      <w:suff w:val="nothing"/>
      <w:lvlText w:val="（%1）"/>
      <w:lvlJc w:val="left"/>
    </w:lvl>
  </w:abstractNum>
  <w:abstractNum w:abstractNumId="8">
    <w:nsid w:val="FFFFFF7C"/>
    <w:multiLevelType w:val="singleLevel"/>
    <w:tmpl w:val="FFFFFF7C"/>
    <w:lvl w:ilvl="0">
      <w:start w:val="1"/>
      <w:numFmt w:val="decimal"/>
      <w:pStyle w:val="41"/>
      <w:lvlText w:val="%1."/>
      <w:lvlJc w:val="left"/>
      <w:pPr>
        <w:tabs>
          <w:tab w:val="left" w:pos="7994"/>
        </w:tabs>
        <w:ind w:left="7994" w:hanging="360" w:leftChars="800" w:hangingChars="20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360" w:hangingChars="200"/>
      </w:pPr>
      <w:rPr>
        <w:rFonts w:ascii="Wingdings" w:hAnsi="Wingdings" w:hint="default"/>
      </w:rPr>
    </w:lvl>
  </w:abstractNum>
  <w:abstractNum w:abstractNumId="1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2503483"/>
    <w:multiLevelType w:val="multilevel"/>
    <w:tmpl w:val="12503483"/>
    <w:lvl w:ilvl="0">
      <w:start w:val="1"/>
      <w:numFmt w:val="bullet"/>
      <w:pStyle w:val="a5"/>
      <w:lvlText w:val=""/>
      <w:lvlJc w:val="left"/>
      <w:pPr>
        <w:tabs>
          <w:tab w:val="left" w:pos="420"/>
        </w:tabs>
        <w:ind w:left="420" w:hanging="420"/>
      </w:pPr>
      <w:rPr>
        <w:rFonts w:ascii="Wingdings" w:hAnsi="Wingdings" w:hint="default"/>
      </w:rPr>
    </w:lvl>
    <w:lvl w:ilvl="1">
      <w:start w:val="1"/>
      <w:numFmt w:val="bullet"/>
      <w:pStyle w:val="a4"/>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3"/>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
    <w:nsid w:val="2F395B7B"/>
    <w:multiLevelType w:val="multilevel"/>
    <w:tmpl w:val="2F395B7B"/>
    <w:lvl w:ilvl="0">
      <w:start w:val="1"/>
      <w:numFmt w:val="bullet"/>
      <w:pStyle w:val="1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
    <w:nsid w:val="7A0F6431"/>
    <w:multiLevelType w:val="singleLevel"/>
    <w:tmpl w:val="7A0F6431"/>
    <w:lvl w:ilvl="0">
      <w:start w:val="1"/>
      <w:numFmt w:val="decimal"/>
      <w:suff w:val="space"/>
      <w:lvlText w:val="%1."/>
      <w:lvlJc w:val="left"/>
    </w:lvl>
  </w:abstractNum>
  <w:abstractNum w:abstractNumId="15">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5"/>
  </w:num>
  <w:num w:numId="6">
    <w:abstractNumId w:val="13"/>
  </w:num>
  <w:num w:numId="7">
    <w:abstractNumId w:val="0"/>
  </w:num>
  <w:num w:numId="8">
    <w:abstractNumId w:val="1"/>
  </w:num>
  <w:num w:numId="9">
    <w:abstractNumId w:val="14"/>
  </w:num>
  <w:num w:numId="10">
    <w:abstractNumId w:val="3"/>
  </w:num>
  <w:num w:numId="11">
    <w:abstractNumId w:val="7"/>
  </w:num>
  <w:num w:numId="12">
    <w:abstractNumId w:val="5"/>
  </w:num>
  <w:num w:numId="13">
    <w:abstractNumId w:val="4"/>
  </w:num>
  <w:num w:numId="14">
    <w:abstractNumId w:val="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5"/>
  <w:trackRevisions/>
  <w:defaultTabStop w:val="420"/>
  <w:noPunctuationKerning/>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hYWQzZDE5M2I5OGJjOTk5NzYyNTJiYzFiNzc5M2QifQ=="/>
    <w:docVar w:name="KSO_WPS_MARK_KEY" w:val="a5980290-81d1-4166-b591-31e4936b8684"/>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unhideWhenUsed="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semiHidden="0"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0" w:uiPriority="0" w:unhideWhenUsed="0" w:qFormat="1"/>
    <w:lsdException w:name="footnote text" w:uiPriority="0"/>
    <w:lsdException w:name="annotation text" w:unhideWhenUsed="0" w:qFormat="1"/>
    <w:lsdException w:name="header" w:semiHidden="0" w:unhideWhenUsed="0" w:qFormat="1"/>
    <w:lsdException w:name="footer" w:semiHidden="0" w:uiPriority="0" w:unhideWhenUsed="0" w:qFormat="1"/>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uiPriority="0"/>
    <w:lsdException w:name="annotation reference" w:semiHidden="0" w:unhideWhenUsed="0" w:qFormat="1"/>
    <w:lsdException w:name="line number" w:uiPriority="0"/>
    <w:lsdException w:name="page number" w:semiHidden="0" w:uiPriority="0" w:unhideWhenUsed="0" w:qFormat="1"/>
    <w:lsdException w:name="endnote reference" w:uiPriority="0"/>
    <w:lsdException w:name="endnote text" w:uiPriority="0"/>
    <w:lsdException w:name="table of authorities" w:semiHidden="0" w:uiPriority="0" w:unhideWhenUsed="0"/>
    <w:lsdException w:name="macro" w:uiPriority="0"/>
    <w:lsdException w:name="toa heading" w:uiPriority="0"/>
    <w:lsdException w:name="List" w:semiHidden="0" w:uiPriority="0" w:unhideWhenUsed="0"/>
    <w:lsdException w:name="List Bullet" w:semiHidden="0" w:uiPriority="0" w:unhideWhenUsed="0" w:qFormat="1"/>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qFormat="1"/>
    <w:lsdException w:name="Body Text" w:semiHidden="0" w:uiPriority="0" w:unhideWhenUsed="0" w:qFormat="1"/>
    <w:lsdException w:name="Body Text Indent" w:semiHidden="0" w:uiPriority="0" w:unhideWhenUsed="0" w:qFormat="1"/>
    <w:lsdException w:name="List Continue"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uiPriority="0"/>
    <w:lsdException w:name="Date" w:semiHidden="0" w:uiPriority="0" w:unhideWhenUsed="0" w:qFormat="1"/>
    <w:lsdException w:name="Body Text First Indent" w:semiHidden="0" w:uiPriority="0" w:unhideWhenUsed="0" w:qFormat="1"/>
    <w:lsdException w:name="Body Text First Indent 2" w:uiPriority="0"/>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uiPriority="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uiPriority="0"/>
    <w:lsdException w:name="Normal (Web)" w:semiHidden="0" w:unhideWhenUsed="0" w:qFormat="1"/>
    <w:lsdException w:name="HTML Acronym" w:uiPriority="0" w:qFormat="1"/>
    <w:lsdException w:name="HTML Address" w:uiPriority="0"/>
    <w:lsdException w:name="HTML Cite" w:uiPriority="0" w:qFormat="1"/>
    <w:lsdException w:name="HTML Code" w:uiPriority="0" w:qFormat="1"/>
    <w:lsdException w:name="HTML Definition" w:uiPriority="0" w:qFormat="1"/>
    <w:lsdException w:name="HTML Keyboard" w:uiPriority="0" w:qFormat="1"/>
    <w:lsdException w:name="HTML Preformatted" w:semiHidden="0" w:uiPriority="0" w:unhideWhenUsed="0" w:qFormat="1"/>
    <w:lsdException w:name="HTML Sample" w:uiPriority="0" w:qFormat="1"/>
    <w:lsdException w:name="HTML Typewriter" w:uiPriority="0" w:qFormat="1"/>
    <w:lsdException w:name="HTML Variable" w:uiPriority="0" w:qFormat="1"/>
    <w:lsdException w:name="Normal Table" w:qFormat="1"/>
    <w:lsdException w:name="annotation subject" w:semiHidden="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semiHidden="0" w:uiPriority="0" w:unhideWhenUsed="0" w:qFormat="1"/>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nhideWhenUsed="0" w:qFormat="1"/>
    <w:lsdException w:name="Table Grid" w:semiHidden="0" w:uiPriority="0" w:unhideWhenUsed="0" w:qFormat="1"/>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Indent"/>
    <w:link w:val="5Char"/>
    <w:qFormat/>
    <w:pPr>
      <w:keepNext/>
      <w:keepLines/>
      <w:spacing w:before="280" w:after="290" w:line="376" w:lineRule="auto"/>
      <w:outlineLvl w:val="4"/>
    </w:pPr>
    <w:rPr>
      <w:b/>
      <w:sz w:val="28"/>
      <w:szCs w:val="20"/>
    </w:rPr>
  </w:style>
  <w:style w:type="paragraph" w:styleId="Heading6">
    <w:name w:val="heading 6"/>
    <w:basedOn w:val="Normal"/>
    <w:next w:val="NormalIndent"/>
    <w:link w:val="6Char"/>
    <w:qFormat/>
    <w:pPr>
      <w:keepNext/>
      <w:keepLines/>
      <w:spacing w:before="240" w:after="64" w:line="320" w:lineRule="auto"/>
      <w:outlineLvl w:val="5"/>
    </w:pPr>
    <w:rPr>
      <w:rFonts w:ascii="Arial" w:eastAsia="黑体" w:hAnsi="Arial"/>
      <w:b/>
      <w:sz w:val="24"/>
      <w:szCs w:val="20"/>
    </w:rPr>
  </w:style>
  <w:style w:type="paragraph" w:styleId="Heading7">
    <w:name w:val="heading 7"/>
    <w:basedOn w:val="Normal"/>
    <w:next w:val="NormalIndent"/>
    <w:link w:val="7Char"/>
    <w:qFormat/>
    <w:pPr>
      <w:keepNext/>
      <w:keepLines/>
      <w:spacing w:before="240" w:after="64" w:line="320" w:lineRule="auto"/>
      <w:outlineLvl w:val="6"/>
    </w:pPr>
    <w:rPr>
      <w:b/>
      <w:sz w:val="24"/>
      <w:szCs w:val="20"/>
    </w:rPr>
  </w:style>
  <w:style w:type="paragraph" w:styleId="Heading8">
    <w:name w:val="heading 8"/>
    <w:basedOn w:val="Normal"/>
    <w:next w:val="NormalIndent"/>
    <w:link w:val="8Char"/>
    <w:qFormat/>
    <w:pPr>
      <w:keepNext/>
      <w:keepLines/>
      <w:spacing w:before="240" w:after="64" w:line="320" w:lineRule="auto"/>
      <w:outlineLvl w:val="7"/>
    </w:pPr>
    <w:rPr>
      <w:rFonts w:ascii="Arial" w:eastAsia="黑体" w:hAnsi="Arial"/>
      <w:sz w:val="24"/>
      <w:szCs w:val="20"/>
    </w:rPr>
  </w:style>
  <w:style w:type="paragraph" w:styleId="Heading9">
    <w:name w:val="heading 9"/>
    <w:basedOn w:val="Normal"/>
    <w:next w:val="NormalIndent"/>
    <w:link w:val="9Char"/>
    <w:qFormat/>
    <w:pPr>
      <w:keepNext/>
      <w:keepLines/>
      <w:spacing w:before="240" w:after="64" w:line="320" w:lineRule="auto"/>
      <w:outlineLvl w:val="8"/>
    </w:pPr>
    <w:rPr>
      <w:rFonts w:ascii="Arial" w:eastAsia="黑体" w:hAnsi="Arial"/>
      <w:szCs w:val="20"/>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Normal"/>
    <w:link w:val="Char7"/>
    <w:qFormat/>
    <w:pPr>
      <w:spacing w:line="360" w:lineRule="auto"/>
    </w:pPr>
    <w:rPr>
      <w:b/>
      <w:bCs/>
      <w:sz w:val="24"/>
    </w:rPr>
  </w:style>
  <w:style w:type="paragraph" w:styleId="NormalIndent">
    <w:name w:val="Normal Indent"/>
    <w:basedOn w:val="Normal"/>
    <w:next w:val="BodyText"/>
    <w:link w:val="Char0"/>
    <w:qFormat/>
    <w:pPr>
      <w:ind w:firstLine="420"/>
    </w:pPr>
    <w:rPr>
      <w:szCs w:val="20"/>
    </w:rPr>
  </w:style>
  <w:style w:type="paragraph" w:styleId="TOC7">
    <w:name w:val="toc 7"/>
    <w:basedOn w:val="Normal"/>
    <w:next w:val="Normal"/>
    <w:semiHidden/>
    <w:qFormat/>
    <w:pPr>
      <w:ind w:left="1260"/>
      <w:jc w:val="left"/>
    </w:pPr>
    <w:rPr>
      <w:szCs w:val="21"/>
    </w:rPr>
  </w:style>
  <w:style w:type="paragraph" w:styleId="Caption">
    <w:name w:val="caption"/>
    <w:basedOn w:val="Normal"/>
    <w:next w:val="Normal"/>
    <w:qFormat/>
    <w:pPr>
      <w:widowControl/>
      <w:spacing w:line="360" w:lineRule="auto"/>
      <w:ind w:firstLine="1940" w:firstLineChars="920"/>
      <w:jc w:val="left"/>
    </w:pPr>
    <w:rPr>
      <w:rFonts w:ascii="宋体" w:hAnsi="宋体"/>
      <w:b/>
      <w:bCs/>
      <w:kern w:val="0"/>
      <w:sz w:val="20"/>
      <w:szCs w:val="20"/>
    </w:rPr>
  </w:style>
  <w:style w:type="paragraph" w:styleId="ListBullet">
    <w:name w:val="List Bullet"/>
    <w:basedOn w:val="Normal"/>
    <w:qFormat/>
    <w:pPr>
      <w:numPr>
        <w:ilvl w:val="0"/>
        <w:numId w:val="1"/>
      </w:numPr>
    </w:pPr>
    <w:rPr>
      <w:szCs w:val="20"/>
    </w:rPr>
  </w:style>
  <w:style w:type="paragraph" w:styleId="DocumentMap">
    <w:name w:val="Document Map"/>
    <w:basedOn w:val="Normal"/>
    <w:semiHidden/>
    <w:qFormat/>
    <w:pPr>
      <w:shd w:val="clear" w:color="auto" w:fill="000080"/>
    </w:pPr>
  </w:style>
  <w:style w:type="paragraph" w:styleId="CommentText">
    <w:name w:val="annotation text"/>
    <w:basedOn w:val="Normal"/>
    <w:link w:val="Char16"/>
    <w:uiPriority w:val="99"/>
    <w:semiHidden/>
    <w:qFormat/>
    <w:pPr>
      <w:autoSpaceDE w:val="0"/>
      <w:autoSpaceDN w:val="0"/>
      <w:adjustRightInd w:val="0"/>
      <w:jc w:val="left"/>
      <w:textAlignment w:val="baseline"/>
    </w:pPr>
    <w:rPr>
      <w:rFonts w:ascii="宋体"/>
      <w:kern w:val="0"/>
      <w:sz w:val="34"/>
      <w:szCs w:val="20"/>
    </w:rPr>
  </w:style>
  <w:style w:type="paragraph" w:styleId="BodyText3">
    <w:name w:val="Body Text 3"/>
    <w:basedOn w:val="Normal"/>
    <w:link w:val="3Char2"/>
    <w:qFormat/>
    <w:pPr>
      <w:spacing w:after="120"/>
    </w:pPr>
    <w:rPr>
      <w:sz w:val="16"/>
      <w:szCs w:val="16"/>
    </w:rPr>
  </w:style>
  <w:style w:type="paragraph" w:styleId="BodyTextIndent">
    <w:name w:val="Body Text Indent"/>
    <w:basedOn w:val="Normal"/>
    <w:link w:val="Char1"/>
    <w:qFormat/>
    <w:pPr>
      <w:spacing w:line="360" w:lineRule="auto"/>
      <w:ind w:firstLine="420" w:firstLineChars="200"/>
    </w:pPr>
  </w:style>
  <w:style w:type="paragraph" w:styleId="TOC5">
    <w:name w:val="toc 5"/>
    <w:basedOn w:val="Normal"/>
    <w:next w:val="Normal"/>
    <w:semiHidden/>
    <w:qFormat/>
    <w:pPr>
      <w:ind w:left="840"/>
      <w:jc w:val="left"/>
    </w:pPr>
    <w:rPr>
      <w:szCs w:val="21"/>
    </w:rPr>
  </w:style>
  <w:style w:type="paragraph" w:styleId="TOC3">
    <w:name w:val="toc 3"/>
    <w:basedOn w:val="Normal"/>
    <w:next w:val="Normal"/>
    <w:semiHidden/>
    <w:qFormat/>
    <w:pPr>
      <w:ind w:left="420"/>
      <w:jc w:val="left"/>
    </w:pPr>
    <w:rPr>
      <w:i/>
      <w:iCs/>
    </w:rPr>
  </w:style>
  <w:style w:type="paragraph" w:styleId="PlainText">
    <w:name w:val="Plain Text"/>
    <w:basedOn w:val="Normal"/>
    <w:link w:val="Char5"/>
    <w:qFormat/>
    <w:rPr>
      <w:rFonts w:ascii="宋体" w:hAnsi="Courier New"/>
      <w:szCs w:val="20"/>
    </w:rPr>
  </w:style>
  <w:style w:type="paragraph" w:styleId="TOC8">
    <w:name w:val="toc 8"/>
    <w:basedOn w:val="Normal"/>
    <w:next w:val="Normal"/>
    <w:semiHidden/>
    <w:qFormat/>
    <w:pPr>
      <w:ind w:left="1470"/>
      <w:jc w:val="left"/>
    </w:pPr>
    <w:rPr>
      <w:szCs w:val="21"/>
    </w:rPr>
  </w:style>
  <w:style w:type="paragraph" w:styleId="Date">
    <w:name w:val="Date"/>
    <w:basedOn w:val="Normal"/>
    <w:next w:val="Normal"/>
    <w:link w:val="Char4"/>
    <w:qFormat/>
    <w:rPr>
      <w:rFonts w:ascii="宋体" w:hAnsi="Courier New"/>
      <w:sz w:val="32"/>
      <w:szCs w:val="20"/>
    </w:rPr>
  </w:style>
  <w:style w:type="paragraph" w:styleId="BodyTextIndent2">
    <w:name w:val="Body Text Indent 2"/>
    <w:basedOn w:val="Normal"/>
    <w:link w:val="2Char0"/>
    <w:qFormat/>
    <w:pPr>
      <w:spacing w:beforeLines="50" w:afterLines="50" w:line="120" w:lineRule="auto"/>
      <w:ind w:firstLine="840" w:firstLineChars="400"/>
      <w:jc w:val="left"/>
    </w:pPr>
    <w:rPr>
      <w:rFonts w:ascii="宋体" w:hAnsi="宋体"/>
    </w:rPr>
  </w:style>
  <w:style w:type="paragraph" w:styleId="BalloonText">
    <w:name w:val="Balloon Text"/>
    <w:basedOn w:val="Normal"/>
    <w:link w:val="Char10"/>
    <w:uiPriority w:val="99"/>
    <w:semiHidden/>
    <w:qFormat/>
    <w:rPr>
      <w:sz w:val="18"/>
      <w:szCs w:val="18"/>
    </w:rPr>
  </w:style>
  <w:style w:type="paragraph" w:styleId="Footer">
    <w:name w:val="footer"/>
    <w:basedOn w:val="Normal"/>
    <w:link w:val="Char9"/>
    <w:qFormat/>
    <w:pPr>
      <w:tabs>
        <w:tab w:val="center" w:pos="4153"/>
        <w:tab w:val="right" w:pos="8306"/>
      </w:tabs>
      <w:snapToGrid w:val="0"/>
      <w:jc w:val="left"/>
    </w:pPr>
    <w:rPr>
      <w:sz w:val="18"/>
      <w:szCs w:val="18"/>
    </w:rPr>
  </w:style>
  <w:style w:type="paragraph" w:styleId="Header">
    <w:name w:val="header"/>
    <w:basedOn w:val="Normal"/>
    <w:link w:val="Char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qFormat/>
    <w:pPr>
      <w:spacing w:before="120" w:after="120"/>
      <w:jc w:val="left"/>
    </w:pPr>
    <w:rPr>
      <w:b/>
      <w:bCs/>
      <w:caps/>
    </w:rPr>
  </w:style>
  <w:style w:type="paragraph" w:styleId="TOC4">
    <w:name w:val="toc 4"/>
    <w:basedOn w:val="Normal"/>
    <w:next w:val="Normal"/>
    <w:semiHidden/>
    <w:qFormat/>
    <w:pPr>
      <w:ind w:left="630"/>
      <w:jc w:val="left"/>
    </w:pPr>
    <w:rPr>
      <w:szCs w:val="21"/>
    </w:rPr>
  </w:style>
  <w:style w:type="paragraph" w:styleId="Subtitle">
    <w:name w:val="Subtitle"/>
    <w:next w:val="Normal"/>
    <w:link w:val="Char21"/>
    <w:qFormat/>
    <w:pPr>
      <w:wordWrap w:val="0"/>
      <w:spacing w:after="60"/>
      <w:jc w:val="center"/>
    </w:pPr>
    <w:rPr>
      <w:rFonts w:ascii="Calibri" w:eastAsia="宋体" w:hAnsi="Calibri" w:cs="Times New Roman"/>
      <w:sz w:val="24"/>
      <w:lang w:val="en-US" w:eastAsia="zh-CN" w:bidi="ar-SA"/>
    </w:rPr>
  </w:style>
  <w:style w:type="paragraph" w:styleId="TOC6">
    <w:name w:val="toc 6"/>
    <w:basedOn w:val="Normal"/>
    <w:next w:val="Normal"/>
    <w:semiHidden/>
    <w:qFormat/>
    <w:pPr>
      <w:ind w:left="1050"/>
      <w:jc w:val="left"/>
    </w:pPr>
    <w:rPr>
      <w:szCs w:val="21"/>
    </w:rPr>
  </w:style>
  <w:style w:type="paragraph" w:styleId="BodyTextIndent3">
    <w:name w:val="Body Text Indent 3"/>
    <w:basedOn w:val="Normal"/>
    <w:link w:val="3Char0"/>
    <w:qFormat/>
    <w:pPr>
      <w:spacing w:line="360" w:lineRule="auto"/>
      <w:ind w:firstLine="482" w:firstLineChars="200"/>
    </w:pPr>
    <w:rPr>
      <w:rFonts w:ascii="宋体"/>
      <w:b/>
      <w:bCs/>
      <w:sz w:val="24"/>
    </w:rPr>
  </w:style>
  <w:style w:type="paragraph" w:styleId="TOC2">
    <w:name w:val="toc 2"/>
    <w:basedOn w:val="Normal"/>
    <w:next w:val="Normal"/>
    <w:semiHidden/>
    <w:qFormat/>
    <w:pPr>
      <w:tabs>
        <w:tab w:val="right" w:leader="dot" w:pos="8296"/>
      </w:tabs>
      <w:ind w:left="210"/>
      <w:jc w:val="left"/>
    </w:pPr>
    <w:rPr>
      <w:smallCaps/>
    </w:rPr>
  </w:style>
  <w:style w:type="paragraph" w:styleId="TOC9">
    <w:name w:val="toc 9"/>
    <w:basedOn w:val="Normal"/>
    <w:next w:val="Normal"/>
    <w:semiHidden/>
    <w:qFormat/>
    <w:pPr>
      <w:ind w:left="1680"/>
      <w:jc w:val="left"/>
    </w:pPr>
    <w:rPr>
      <w:szCs w:val="21"/>
    </w:rPr>
  </w:style>
  <w:style w:type="paragraph" w:styleId="BodyText2">
    <w:name w:val="Body Text 2"/>
    <w:basedOn w:val="Normal"/>
    <w:link w:val="2Char1"/>
    <w:qFormat/>
    <w:pPr>
      <w:spacing w:line="360" w:lineRule="auto"/>
    </w:pPr>
    <w:rPr>
      <w:sz w:val="24"/>
    </w:rPr>
  </w:style>
  <w:style w:type="paragraph" w:styleId="HTMLPreformatted">
    <w:name w:val="HTML Preformatted"/>
    <w:basedOn w:val="Normal"/>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NormalWeb">
    <w:name w:val="Normal (Web)"/>
    <w:basedOn w:val="Normal"/>
    <w:uiPriority w:val="99"/>
    <w:qFormat/>
    <w:pPr>
      <w:spacing w:beforeAutospacing="1" w:afterAutospacing="1"/>
      <w:jc w:val="left"/>
    </w:pPr>
    <w:rPr>
      <w:kern w:val="0"/>
      <w:sz w:val="24"/>
    </w:rPr>
  </w:style>
  <w:style w:type="paragraph" w:styleId="Index1">
    <w:name w:val="index 1"/>
    <w:basedOn w:val="Normal"/>
    <w:next w:val="Normal"/>
    <w:semiHidden/>
    <w:qFormat/>
    <w:pPr>
      <w:tabs>
        <w:tab w:val="left" w:pos="3360"/>
      </w:tabs>
      <w:spacing w:line="520" w:lineRule="exact"/>
      <w:ind w:left="419" w:hanging="314" w:leftChars="50" w:hangingChars="131"/>
      <w:jc w:val="center"/>
      <w:outlineLvl w:val="3"/>
    </w:pPr>
    <w:rPr>
      <w:rFonts w:ascii="宋体" w:hAnsi="宋体"/>
      <w:sz w:val="24"/>
    </w:rPr>
  </w:style>
  <w:style w:type="paragraph" w:styleId="Title">
    <w:name w:val="Title"/>
    <w:basedOn w:val="Normal"/>
    <w:next w:val="Normal"/>
    <w:link w:val="Char3"/>
    <w:qFormat/>
    <w:pPr>
      <w:spacing w:before="240" w:after="60"/>
      <w:jc w:val="center"/>
      <w:outlineLvl w:val="0"/>
    </w:pPr>
    <w:rPr>
      <w:rFonts w:ascii="Arial" w:eastAsia="隶书" w:hAnsi="Arial" w:cs="Arial"/>
      <w:b/>
      <w:bCs/>
      <w:sz w:val="32"/>
      <w:szCs w:val="32"/>
    </w:rPr>
  </w:style>
  <w:style w:type="paragraph" w:styleId="CommentSubject">
    <w:name w:val="annotation subject"/>
    <w:basedOn w:val="CommentText"/>
    <w:next w:val="CommentText"/>
    <w:link w:val="Char17"/>
    <w:uiPriority w:val="99"/>
    <w:qFormat/>
    <w:pPr>
      <w:autoSpaceDE/>
      <w:autoSpaceDN/>
      <w:adjustRightInd/>
      <w:textAlignment w:val="auto"/>
    </w:pPr>
    <w:rPr>
      <w:rFonts w:ascii="Times New Roman"/>
      <w:b/>
      <w:bCs/>
      <w:kern w:val="2"/>
      <w:sz w:val="21"/>
      <w:szCs w:val="24"/>
    </w:rPr>
  </w:style>
  <w:style w:type="paragraph" w:styleId="BodyTextFirstIndent">
    <w:name w:val="Body Text First Indent"/>
    <w:basedOn w:val="BodyText"/>
    <w:link w:val="Char12"/>
    <w:qFormat/>
    <w:pPr>
      <w:spacing w:after="120" w:line="240" w:lineRule="auto"/>
      <w:ind w:firstLine="420" w:firstLineChars="100"/>
    </w:pPr>
    <w:rPr>
      <w:sz w:val="21"/>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qFormat/>
    <w:pPr>
      <w:widowControl w:val="0"/>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Strong">
    <w:name w:val="Strong"/>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b/>
      <w:bCs/>
      <w:sz w:val="20"/>
    </w:rPr>
  </w:style>
  <w:style w:type="character" w:styleId="HTMLDefinition">
    <w:name w:val="HTML Definition"/>
    <w:basedOn w:val="DefaultParagraphFont"/>
    <w:semiHidden/>
    <w:unhideWhenUsed/>
    <w:qFormat/>
  </w:style>
  <w:style w:type="character" w:styleId="HTMLTypewriter">
    <w:name w:val="HTML Typewriter"/>
    <w:basedOn w:val="DefaultParagraphFont"/>
    <w:semiHidden/>
    <w:unhideWhenUsed/>
    <w:qFormat/>
    <w:rPr>
      <w:rFonts w:ascii="monospace" w:eastAsia="monospace" w:hAnsi="monospace" w:cs="monospace" w:hint="default"/>
      <w:sz w:val="20"/>
    </w:rPr>
  </w:style>
  <w:style w:type="character" w:styleId="HTMLAcronym">
    <w:name w:val="HTML Acronym"/>
    <w:basedOn w:val="DefaultParagraphFont"/>
    <w:semiHidden/>
    <w:unhideWhenUsed/>
    <w:qFormat/>
    <w:rPr>
      <w:color w:val="D6D6D6"/>
    </w:rPr>
  </w:style>
  <w:style w:type="character" w:styleId="HTMLVariable">
    <w:name w:val="HTML Variable"/>
    <w:basedOn w:val="DefaultParagraphFont"/>
    <w:semiHidden/>
    <w:unhideWhenUsed/>
    <w:qFormat/>
  </w:style>
  <w:style w:type="character" w:styleId="Hyperlink">
    <w:name w:val="Hyperlink"/>
    <w:qFormat/>
    <w:rPr>
      <w:color w:val="0000FF"/>
      <w:u w:val="single"/>
    </w:rPr>
  </w:style>
  <w:style w:type="character" w:styleId="HTMLCode">
    <w:name w:val="HTML Code"/>
    <w:basedOn w:val="DefaultParagraphFont"/>
    <w:semiHidden/>
    <w:unhideWhenUsed/>
    <w:qFormat/>
    <w:rPr>
      <w:rFonts w:ascii="monospace" w:eastAsia="monospace" w:hAnsi="monospace" w:cs="monospace"/>
      <w:sz w:val="20"/>
    </w:rPr>
  </w:style>
  <w:style w:type="character" w:styleId="CommentReference">
    <w:name w:val="annotation reference"/>
    <w:basedOn w:val="DefaultParagraphFont"/>
    <w:uiPriority w:val="99"/>
    <w:qFormat/>
    <w:rPr>
      <w:sz w:val="21"/>
      <w:szCs w:val="21"/>
    </w:rPr>
  </w:style>
  <w:style w:type="character" w:styleId="HTMLCite">
    <w:name w:val="HTML Cite"/>
    <w:basedOn w:val="DefaultParagraphFont"/>
    <w:semiHidden/>
    <w:unhideWhenUsed/>
    <w:qFormat/>
  </w:style>
  <w:style w:type="character" w:styleId="HTMLKeyboard">
    <w:name w:val="HTML Keyboard"/>
    <w:basedOn w:val="DefaultParagraphFont"/>
    <w:semiHidden/>
    <w:unhideWhenUsed/>
    <w:qFormat/>
    <w:rPr>
      <w:rFonts w:ascii="monospace" w:eastAsia="monospace" w:hAnsi="monospace" w:cs="monospace" w:hint="default"/>
      <w:sz w:val="20"/>
    </w:rPr>
  </w:style>
  <w:style w:type="character" w:styleId="HTMLSample">
    <w:name w:val="HTML Sample"/>
    <w:basedOn w:val="DefaultParagraphFont"/>
    <w:semiHidden/>
    <w:unhideWhenUsed/>
    <w:qFormat/>
    <w:rPr>
      <w:rFonts w:ascii="monospace" w:eastAsia="monospace" w:hAnsi="monospace" w:cs="monospace" w:hint="default"/>
    </w:rPr>
  </w:style>
  <w:style w:type="paragraph" w:styleId="Quote">
    <w:name w:val="Quote"/>
    <w:next w:val="Normal"/>
    <w:link w:val="Char22"/>
    <w:qFormat/>
    <w:pPr>
      <w:wordWrap w:val="0"/>
      <w:spacing w:before="200" w:after="160"/>
      <w:ind w:left="864" w:right="864"/>
      <w:jc w:val="center"/>
    </w:pPr>
    <w:rPr>
      <w:rFonts w:ascii="Calibri" w:eastAsia="宋体" w:hAnsi="Calibri" w:cs="Times New Roman"/>
      <w:i/>
      <w:sz w:val="21"/>
      <w:lang w:val="en-US" w:eastAsia="zh-CN" w:bidi="ar-SA"/>
    </w:rPr>
  </w:style>
  <w:style w:type="paragraph" w:styleId="NoSpacing">
    <w:name w:val="No Spacing"/>
    <w:uiPriority w:val="1"/>
    <w:qFormat/>
    <w:pPr>
      <w:widowControl w:val="0"/>
      <w:jc w:val="both"/>
    </w:pPr>
    <w:rPr>
      <w:rFonts w:ascii="Calibri" w:eastAsia="宋体" w:hAnsi="Calibri" w:cs="Times New Roman"/>
      <w:kern w:val="2"/>
      <w:sz w:val="21"/>
      <w:szCs w:val="22"/>
      <w:lang w:val="en-US" w:eastAsia="zh-CN" w:bidi="ar-SA"/>
    </w:rPr>
  </w:style>
  <w:style w:type="character" w:customStyle="1" w:styleId="4Char">
    <w:name w:val="标题 4 Char"/>
    <w:link w:val="Heading4"/>
    <w:uiPriority w:val="9"/>
    <w:qFormat/>
    <w:rPr>
      <w:rFonts w:ascii="Arial" w:eastAsia="黑体" w:hAnsi="Arial"/>
      <w:b/>
      <w:bCs/>
      <w:kern w:val="2"/>
      <w:sz w:val="28"/>
      <w:szCs w:val="28"/>
      <w:lang w:val="en-US" w:eastAsia="zh-CN" w:bidi="ar-SA"/>
    </w:rPr>
  </w:style>
  <w:style w:type="paragraph" w:customStyle="1" w:styleId="Char">
    <w:name w:val="Char"/>
    <w:basedOn w:val="Normal"/>
    <w:qFormat/>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link w:val="Heading3"/>
    <w:uiPriority w:val="9"/>
    <w:qFormat/>
    <w:rPr>
      <w:rFonts w:ascii="宋体" w:eastAsia="宋体" w:hAnsi="宋体"/>
      <w:b/>
      <w:bCs/>
      <w:kern w:val="2"/>
      <w:sz w:val="28"/>
      <w:szCs w:val="32"/>
      <w:lang w:val="en-US" w:eastAsia="zh-CN" w:bidi="ar-SA"/>
    </w:rPr>
  </w:style>
  <w:style w:type="character" w:customStyle="1" w:styleId="1Char">
    <w:name w:val="标题 1 Char"/>
    <w:link w:val="Heading1"/>
    <w:qFormat/>
    <w:rPr>
      <w:rFonts w:ascii="宋体" w:eastAsia="黑体" w:hAnsi="宋体"/>
      <w:b/>
      <w:bCs/>
      <w:kern w:val="44"/>
      <w:sz w:val="28"/>
      <w:szCs w:val="44"/>
      <w:lang w:val="en-US" w:eastAsia="zh-CN" w:bidi="ar-SA"/>
    </w:rPr>
  </w:style>
  <w:style w:type="character" w:customStyle="1" w:styleId="Char0">
    <w:name w:val="正文缩进 Char"/>
    <w:link w:val="NormalIndent"/>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Normal"/>
    <w:qFormat/>
    <w:pPr>
      <w:numPr>
        <w:ilvl w:val="0"/>
        <w:numId w:val="2"/>
      </w:numPr>
      <w:tabs>
        <w:tab w:val="left" w:pos="945"/>
      </w:tabs>
      <w:spacing w:line="360" w:lineRule="auto"/>
    </w:pPr>
    <w:rPr>
      <w:b/>
      <w:color w:val="000000"/>
      <w:sz w:val="24"/>
      <w:szCs w:val="20"/>
    </w:rPr>
  </w:style>
  <w:style w:type="paragraph" w:customStyle="1" w:styleId="a">
    <w:name w:val="图"/>
    <w:basedOn w:val="Normal"/>
    <w:qFormat/>
    <w:pPr>
      <w:keepNext/>
      <w:adjustRightInd w:val="0"/>
      <w:snapToGrid w:val="0"/>
      <w:spacing w:before="60" w:after="60" w:line="300" w:lineRule="auto"/>
      <w:jc w:val="center"/>
    </w:pPr>
    <w:rPr>
      <w:spacing w:val="20"/>
      <w:kern w:val="0"/>
      <w:sz w:val="24"/>
      <w:szCs w:val="20"/>
    </w:rPr>
  </w:style>
  <w:style w:type="paragraph" w:customStyle="1" w:styleId="a0">
    <w:name w:val="文档正文"/>
    <w:basedOn w:val="Normal"/>
    <w:qFormat/>
    <w:pPr>
      <w:adjustRightInd w:val="0"/>
      <w:spacing w:line="480" w:lineRule="atLeast"/>
      <w:ind w:firstLine="567" w:firstLineChars="200"/>
      <w:textAlignment w:val="baseline"/>
    </w:pPr>
    <w:rPr>
      <w:rFonts w:ascii="长城仿宋"/>
      <w:kern w:val="0"/>
      <w:szCs w:val="20"/>
    </w:rPr>
  </w:style>
  <w:style w:type="paragraph" w:customStyle="1" w:styleId="CharCharCharChar">
    <w:name w:val="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1">
    <w:name w:val="Char Char Char Char1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Normal"/>
    <w:qFormat/>
    <w:pPr>
      <w:suppressAutoHyphens/>
      <w:autoSpaceDE w:val="0"/>
      <w:spacing w:after="120"/>
      <w:jc w:val="left"/>
    </w:pPr>
    <w:rPr>
      <w:rFonts w:ascii="Helvetica" w:hAnsi="Helvetica"/>
      <w:kern w:val="1"/>
      <w:sz w:val="20"/>
      <w:szCs w:val="20"/>
    </w:rPr>
  </w:style>
  <w:style w:type="paragraph" w:customStyle="1" w:styleId="a1">
    <w:name w:val="自定义正文"/>
    <w:basedOn w:val="Normal"/>
    <w:qFormat/>
    <w:pPr>
      <w:spacing w:afterLines="50"/>
      <w:ind w:left="600" w:leftChars="600"/>
    </w:pPr>
  </w:style>
  <w:style w:type="paragraph" w:customStyle="1" w:styleId="CharCharCharCharChar">
    <w:name w:val="Char Char Char Char Char"/>
    <w:basedOn w:val="Normal"/>
    <w:qFormat/>
    <w:rPr>
      <w:rFonts w:ascii="Tahoma" w:hAnsi="Tahoma"/>
      <w:sz w:val="24"/>
      <w:szCs w:val="20"/>
    </w:rPr>
  </w:style>
  <w:style w:type="paragraph" w:customStyle="1" w:styleId="1">
    <w:name w:val="小标题 1"/>
    <w:basedOn w:val="Normal"/>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Normal"/>
    <w:qFormat/>
    <w:rPr>
      <w:rFonts w:ascii="Tahoma" w:hAnsi="Tahoma"/>
      <w:sz w:val="24"/>
      <w:szCs w:val="20"/>
    </w:rPr>
  </w:style>
  <w:style w:type="paragraph" w:customStyle="1" w:styleId="a2">
    <w:name w:val="È±Ê¡ÎÄ±¾"/>
    <w:basedOn w:val="Normal"/>
    <w:qFormat/>
    <w:pPr>
      <w:widowControl/>
      <w:overflowPunct w:val="0"/>
      <w:autoSpaceDE w:val="0"/>
      <w:autoSpaceDN w:val="0"/>
      <w:adjustRightInd w:val="0"/>
      <w:jc w:val="left"/>
      <w:textAlignment w:val="baseline"/>
    </w:pPr>
    <w:rPr>
      <w:kern w:val="0"/>
      <w:sz w:val="24"/>
      <w:szCs w:val="20"/>
    </w:rPr>
  </w:style>
  <w:style w:type="character" w:customStyle="1" w:styleId="2Char">
    <w:name w:val="标题 2 Char"/>
    <w:link w:val="Heading2"/>
    <w:qFormat/>
    <w:rPr>
      <w:rFonts w:ascii="宋体" w:eastAsia="宋体" w:hAnsi="宋体"/>
      <w:b/>
      <w:bCs/>
      <w:sz w:val="24"/>
      <w:lang w:val="en-US" w:eastAsia="zh-CN" w:bidi="ar-SA"/>
    </w:rPr>
  </w:style>
  <w:style w:type="paragraph" w:customStyle="1" w:styleId="CharCharCharCharCharChar1Char">
    <w:name w:val="Char Char Char Char Char Char1 Char"/>
    <w:basedOn w:val="Normal"/>
    <w:qFormat/>
    <w:pPr>
      <w:widowControl/>
      <w:spacing w:after="160" w:line="240" w:lineRule="exact"/>
      <w:jc w:val="left"/>
    </w:pPr>
    <w:rPr>
      <w:rFonts w:ascii="Verdana" w:hAnsi="Verdana"/>
      <w:kern w:val="0"/>
      <w:szCs w:val="20"/>
      <w:lang w:eastAsia="en-US"/>
    </w:rPr>
  </w:style>
  <w:style w:type="paragraph" w:styleId="ListParagraph">
    <w:name w:val="List Paragraph"/>
    <w:basedOn w:val="Normal"/>
    <w:qFormat/>
    <w:pPr>
      <w:ind w:firstLine="420" w:firstLineChars="200"/>
    </w:pPr>
    <w:rPr>
      <w:rFonts w:ascii="Calibri" w:hAnsi="Calibri"/>
      <w:szCs w:val="22"/>
    </w:rPr>
  </w:style>
  <w:style w:type="paragraph" w:customStyle="1" w:styleId="USE1">
    <w:name w:val="USE 1"/>
    <w:basedOn w:val="Normal"/>
    <w:qFormat/>
    <w:pPr>
      <w:spacing w:line="200" w:lineRule="atLeast"/>
      <w:jc w:val="left"/>
    </w:pPr>
    <w:rPr>
      <w:rFonts w:ascii="宋体" w:hAnsi="宋体"/>
      <w:b/>
      <w:sz w:val="24"/>
      <w:szCs w:val="28"/>
    </w:rPr>
  </w:style>
  <w:style w:type="paragraph" w:customStyle="1" w:styleId="RFItextfrom3rdLevel">
    <w:name w:val="RFI text from 3rd Level"/>
    <w:basedOn w:val="Normal"/>
    <w:qFormat/>
    <w:pPr>
      <w:widowControl/>
      <w:numPr>
        <w:ilvl w:val="0"/>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3">
    <w:name w:val="正文文字缩进项目"/>
    <w:basedOn w:val="BodyTextIndent"/>
    <w:qFormat/>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21313">
    <w:name w:val="样式 标题 2 + 段前: 13 磅 段后: 13 磅 行距: 单倍行距"/>
    <w:basedOn w:val="Heading2"/>
    <w:qFormat/>
    <w:pPr>
      <w:adjustRightInd/>
      <w:spacing w:before="0"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Char1">
    <w:name w:val="正文文本缩进 Char"/>
    <w:link w:val="BodyTextIndent"/>
    <w:qFormat/>
    <w:rPr>
      <w:rFonts w:eastAsia="宋体"/>
      <w:kern w:val="2"/>
      <w:sz w:val="21"/>
      <w:szCs w:val="24"/>
      <w:lang w:val="en-US" w:eastAsia="zh-CN" w:bidi="ar-SA"/>
    </w:rPr>
  </w:style>
  <w:style w:type="character" w:customStyle="1" w:styleId="5Char">
    <w:name w:val="标题 5 Char"/>
    <w:link w:val="Heading5"/>
    <w:qFormat/>
    <w:rPr>
      <w:rFonts w:eastAsia="宋体"/>
      <w:b/>
      <w:kern w:val="2"/>
      <w:sz w:val="28"/>
      <w:lang w:val="en-US" w:eastAsia="zh-CN" w:bidi="ar-SA"/>
    </w:rPr>
  </w:style>
  <w:style w:type="character" w:customStyle="1" w:styleId="Char2">
    <w:name w:val="第*章 Char"/>
    <w:qFormat/>
    <w:rPr>
      <w:rFonts w:ascii="Arial" w:eastAsia="黑体" w:hAnsi="Arial"/>
      <w:b/>
      <w:bCs/>
      <w:kern w:val="2"/>
      <w:sz w:val="32"/>
      <w:szCs w:val="32"/>
    </w:rPr>
  </w:style>
  <w:style w:type="character" w:customStyle="1" w:styleId="1Char0">
    <w:name w:val="章标题1 Char"/>
    <w:qFormat/>
    <w:rPr>
      <w:rFonts w:eastAsia="宋体"/>
      <w:b/>
      <w:bCs/>
      <w:kern w:val="2"/>
      <w:sz w:val="32"/>
      <w:szCs w:val="32"/>
      <w:lang w:val="en-US" w:eastAsia="zh-CN" w:bidi="ar-SA"/>
    </w:rPr>
  </w:style>
  <w:style w:type="character" w:customStyle="1" w:styleId="6Char">
    <w:name w:val="标题 6 Char"/>
    <w:link w:val="Heading6"/>
    <w:qFormat/>
    <w:rPr>
      <w:rFonts w:ascii="Arial" w:eastAsia="黑体" w:hAnsi="Arial"/>
      <w:b/>
      <w:kern w:val="2"/>
      <w:sz w:val="24"/>
      <w:lang w:val="en-US" w:eastAsia="zh-CN" w:bidi="ar-SA"/>
    </w:rPr>
  </w:style>
  <w:style w:type="character" w:customStyle="1" w:styleId="7Char">
    <w:name w:val="标题 7 Char"/>
    <w:link w:val="Heading7"/>
    <w:qFormat/>
    <w:rPr>
      <w:rFonts w:eastAsia="宋体"/>
      <w:b/>
      <w:kern w:val="2"/>
      <w:sz w:val="24"/>
      <w:lang w:val="en-US" w:eastAsia="zh-CN" w:bidi="ar-SA"/>
    </w:rPr>
  </w:style>
  <w:style w:type="character" w:customStyle="1" w:styleId="8Char">
    <w:name w:val="标题 8 Char"/>
    <w:link w:val="Heading8"/>
    <w:qFormat/>
    <w:rPr>
      <w:rFonts w:ascii="Arial" w:eastAsia="黑体" w:hAnsi="Arial"/>
      <w:kern w:val="2"/>
      <w:sz w:val="24"/>
      <w:lang w:val="en-US" w:eastAsia="zh-CN" w:bidi="ar-SA"/>
    </w:rPr>
  </w:style>
  <w:style w:type="character" w:customStyle="1" w:styleId="9Char">
    <w:name w:val="标题 9 Char"/>
    <w:link w:val="Heading9"/>
    <w:qFormat/>
    <w:rPr>
      <w:rFonts w:ascii="Arial" w:eastAsia="黑体" w:hAnsi="Arial"/>
      <w:kern w:val="2"/>
      <w:sz w:val="21"/>
      <w:lang w:val="en-US" w:eastAsia="zh-CN" w:bidi="ar-SA"/>
    </w:rPr>
  </w:style>
  <w:style w:type="character" w:customStyle="1" w:styleId="Char3">
    <w:name w:val="标题 Char"/>
    <w:link w:val="Title"/>
    <w:qFormat/>
    <w:rPr>
      <w:rFonts w:ascii="Arial" w:eastAsia="隶书" w:hAnsi="Arial" w:cs="Arial"/>
      <w:b/>
      <w:bCs/>
      <w:kern w:val="2"/>
      <w:sz w:val="32"/>
      <w:szCs w:val="32"/>
      <w:lang w:val="en-US" w:eastAsia="zh-CN" w:bidi="ar-SA"/>
    </w:rPr>
  </w:style>
  <w:style w:type="character" w:customStyle="1" w:styleId="Char4">
    <w:name w:val="日期 Char"/>
    <w:link w:val="Date"/>
    <w:qFormat/>
    <w:rPr>
      <w:rFonts w:ascii="宋体" w:eastAsia="宋体" w:hAnsi="Courier New"/>
      <w:kern w:val="2"/>
      <w:sz w:val="32"/>
      <w:lang w:val="en-US" w:eastAsia="zh-CN" w:bidi="ar-SA"/>
    </w:rPr>
  </w:style>
  <w:style w:type="character" w:customStyle="1" w:styleId="HTMLChar">
    <w:name w:val="HTML 预设格式 Char"/>
    <w:link w:val="HTMLPreformatted"/>
    <w:qFormat/>
    <w:rPr>
      <w:rFonts w:ascii="Arial Unicode MS" w:eastAsia="Arial Unicode MS" w:hAnsi="Arial Unicode MS"/>
      <w:color w:val="000000"/>
      <w:lang w:val="en-US" w:eastAsia="zh-CN" w:bidi="ar-SA"/>
    </w:rPr>
  </w:style>
  <w:style w:type="character" w:customStyle="1" w:styleId="Char5">
    <w:name w:val="纯文本 Char"/>
    <w:link w:val="PlainText"/>
    <w:qFormat/>
    <w:rPr>
      <w:rFonts w:ascii="宋体" w:eastAsia="宋体" w:hAnsi="Courier New"/>
      <w:kern w:val="2"/>
      <w:sz w:val="21"/>
      <w:lang w:val="en-US" w:eastAsia="zh-CN" w:bidi="ar-SA"/>
    </w:rPr>
  </w:style>
  <w:style w:type="character" w:customStyle="1" w:styleId="Char6">
    <w:name w:val="正文文字首行缩进 Char"/>
    <w:qFormat/>
    <w:rPr>
      <w:kern w:val="2"/>
      <w:sz w:val="21"/>
      <w:szCs w:val="24"/>
    </w:rPr>
  </w:style>
  <w:style w:type="character" w:customStyle="1" w:styleId="Char7">
    <w:name w:val="正文文本 Char"/>
    <w:link w:val="BodyText"/>
    <w:qFormat/>
    <w:rPr>
      <w:rFonts w:eastAsia="宋体"/>
      <w:b/>
      <w:bCs/>
      <w:kern w:val="2"/>
      <w:sz w:val="24"/>
      <w:szCs w:val="24"/>
      <w:lang w:val="en-US" w:eastAsia="zh-CN" w:bidi="ar-SA"/>
    </w:rPr>
  </w:style>
  <w:style w:type="character" w:customStyle="1" w:styleId="2Char0">
    <w:name w:val="正文文本缩进 2 Char"/>
    <w:link w:val="BodyTextIndent2"/>
    <w:qFormat/>
    <w:rPr>
      <w:rFonts w:ascii="宋体" w:eastAsia="宋体" w:hAnsi="宋体"/>
      <w:kern w:val="2"/>
      <w:sz w:val="21"/>
      <w:szCs w:val="24"/>
      <w:lang w:val="en-US" w:eastAsia="zh-CN" w:bidi="ar-SA"/>
    </w:rPr>
  </w:style>
  <w:style w:type="character" w:customStyle="1" w:styleId="Char8">
    <w:name w:val="页眉 Char"/>
    <w:link w:val="Header"/>
    <w:uiPriority w:val="99"/>
    <w:qFormat/>
    <w:rPr>
      <w:rFonts w:eastAsia="宋体"/>
      <w:kern w:val="2"/>
      <w:sz w:val="18"/>
      <w:szCs w:val="18"/>
      <w:lang w:val="en-US" w:eastAsia="zh-CN" w:bidi="ar-SA"/>
    </w:rPr>
  </w:style>
  <w:style w:type="character" w:customStyle="1" w:styleId="3Char0">
    <w:name w:val="正文文本缩进 3 Char"/>
    <w:link w:val="BodyTextIndent3"/>
    <w:qFormat/>
    <w:rPr>
      <w:rFonts w:ascii="宋体" w:eastAsia="宋体"/>
      <w:b/>
      <w:bCs/>
      <w:kern w:val="2"/>
      <w:sz w:val="24"/>
      <w:szCs w:val="24"/>
      <w:lang w:val="en-US" w:eastAsia="zh-CN" w:bidi="ar-SA"/>
    </w:rPr>
  </w:style>
  <w:style w:type="character" w:customStyle="1" w:styleId="2Char1">
    <w:name w:val="正文文本 2 Char"/>
    <w:link w:val="BodyText2"/>
    <w:qFormat/>
    <w:rPr>
      <w:rFonts w:eastAsia="宋体"/>
      <w:kern w:val="2"/>
      <w:sz w:val="24"/>
      <w:szCs w:val="24"/>
      <w:lang w:val="en-US" w:eastAsia="zh-CN" w:bidi="ar-SA"/>
    </w:rPr>
  </w:style>
  <w:style w:type="character" w:customStyle="1" w:styleId="Char9">
    <w:name w:val="页脚 Char"/>
    <w:link w:val="Footer"/>
    <w:qFormat/>
    <w:rPr>
      <w:rFonts w:eastAsia="宋体"/>
      <w:kern w:val="2"/>
      <w:sz w:val="18"/>
      <w:szCs w:val="18"/>
      <w:lang w:val="en-US" w:eastAsia="zh-CN" w:bidi="ar-SA"/>
    </w:rPr>
  </w:style>
  <w:style w:type="character" w:customStyle="1" w:styleId="3Char2">
    <w:name w:val="正文文本 3 Char"/>
    <w:link w:val="BodyText3"/>
    <w:qFormat/>
    <w:rPr>
      <w:rFonts w:eastAsia="宋体"/>
      <w:kern w:val="2"/>
      <w:sz w:val="16"/>
      <w:szCs w:val="16"/>
      <w:lang w:val="en-US" w:eastAsia="zh-CN" w:bidi="ar-SA"/>
    </w:rPr>
  </w:style>
  <w:style w:type="character" w:customStyle="1" w:styleId="Char10">
    <w:name w:val="批注框文本 Char"/>
    <w:link w:val="BalloonText"/>
    <w:uiPriority w:val="99"/>
    <w:semiHidden/>
    <w:qFormat/>
    <w:rPr>
      <w:rFonts w:eastAsia="宋体"/>
      <w:kern w:val="2"/>
      <w:sz w:val="18"/>
      <w:szCs w:val="18"/>
      <w:lang w:val="en-US" w:eastAsia="zh-CN" w:bidi="ar-SA"/>
    </w:rPr>
  </w:style>
  <w:style w:type="paragraph" w:customStyle="1" w:styleId="10">
    <w:name w:val="样式1"/>
    <w:basedOn w:val="Title"/>
    <w:qFormat/>
    <w:pPr>
      <w:spacing w:before="120" w:after="120"/>
    </w:pPr>
    <w:rPr>
      <w:rFonts w:eastAsia="黑体"/>
      <w:b w:val="0"/>
      <w:sz w:val="30"/>
      <w:szCs w:val="21"/>
    </w:rPr>
  </w:style>
  <w:style w:type="paragraph" w:customStyle="1" w:styleId="2">
    <w:name w:val="样式2"/>
    <w:basedOn w:val="Title"/>
    <w:next w:val="10"/>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Normal"/>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Normal"/>
    <w:qFormat/>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
    <w:name w:val="--规划正文"/>
    <w:basedOn w:val="Normal"/>
    <w:qFormat/>
    <w:pPr>
      <w:spacing w:line="360" w:lineRule="auto"/>
      <w:ind w:firstLine="200" w:firstLineChars="200"/>
    </w:pPr>
    <w:rPr>
      <w:szCs w:val="20"/>
    </w:rPr>
  </w:style>
  <w:style w:type="paragraph" w:customStyle="1" w:styleId="a4">
    <w:name w:val="设计依据"/>
    <w:basedOn w:val="BodyText"/>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5">
    <w:name w:val="方案要点"/>
    <w:basedOn w:val="Normal"/>
    <w:qFormat/>
    <w:pPr>
      <w:numPr>
        <w:ilvl w:val="0"/>
        <w:numId w:val="4"/>
      </w:numPr>
      <w:spacing w:line="360" w:lineRule="auto"/>
    </w:pPr>
    <w:rPr>
      <w:rFonts w:ascii="仿宋_GB2312" w:eastAsia="仿宋_GB2312" w:hAnsi="宋体"/>
      <w:color w:val="000000"/>
      <w:sz w:val="28"/>
      <w:szCs w:val="28"/>
    </w:rPr>
  </w:style>
  <w:style w:type="paragraph" w:customStyle="1" w:styleId="4">
    <w:name w:val="样式4"/>
    <w:basedOn w:val="Normal"/>
    <w:qFormat/>
    <w:pPr>
      <w:tabs>
        <w:tab w:val="left" w:pos="842"/>
      </w:tabs>
      <w:spacing w:line="360" w:lineRule="auto"/>
      <w:ind w:left="842" w:hanging="420"/>
    </w:pPr>
    <w:rPr>
      <w:sz w:val="24"/>
    </w:rPr>
  </w:style>
  <w:style w:type="paragraph" w:customStyle="1" w:styleId="a6">
    <w:name w:val="文字"/>
    <w:basedOn w:val="Normal"/>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0" w:firstLineChars="0"/>
    </w:pPr>
    <w:rPr>
      <w:sz w:val="20"/>
    </w:rPr>
  </w:style>
  <w:style w:type="paragraph" w:customStyle="1" w:styleId="----0">
    <w:name w:val="--规划-表格-居中"/>
    <w:basedOn w:val="--"/>
    <w:qFormat/>
    <w:pPr>
      <w:spacing w:line="240" w:lineRule="auto"/>
      <w:ind w:firstLine="0" w:firstLineChars="0"/>
      <w:jc w:val="center"/>
    </w:pPr>
    <w:rPr>
      <w:sz w:val="20"/>
    </w:rPr>
  </w:style>
  <w:style w:type="paragraph" w:customStyle="1" w:styleId="--0">
    <w:name w:val="--编号内缩进"/>
    <w:basedOn w:val="Normal"/>
    <w:qFormat/>
    <w:pPr>
      <w:spacing w:line="360" w:lineRule="auto"/>
      <w:ind w:left="420" w:firstLine="200" w:firstLineChars="200"/>
    </w:pPr>
    <w:rPr>
      <w:szCs w:val="21"/>
    </w:rPr>
  </w:style>
  <w:style w:type="paragraph" w:customStyle="1" w:styleId="---">
    <w:name w:val="--规划-题注"/>
    <w:basedOn w:val="Normal"/>
    <w:next w:val="--"/>
    <w:qFormat/>
    <w:pPr>
      <w:spacing w:line="360" w:lineRule="auto"/>
      <w:jc w:val="center"/>
    </w:pPr>
    <w:rPr>
      <w:rFonts w:eastAsia="黑体"/>
    </w:rPr>
  </w:style>
  <w:style w:type="paragraph" w:customStyle="1" w:styleId="---0">
    <w:name w:val="--规划-图和表"/>
    <w:next w:val="--"/>
    <w:qFormat/>
    <w:pPr>
      <w:jc w:val="center"/>
    </w:pPr>
    <w:rPr>
      <w:rFonts w:ascii="Times New Roman" w:eastAsia="宋体" w:hAnsi="Times New Roman" w:cs="Times New Roman"/>
      <w:kern w:val="2"/>
      <w:sz w:val="21"/>
      <w:lang w:val="en-US" w:eastAsia="zh-CN" w:bidi="ar-SA"/>
    </w:rPr>
  </w:style>
  <w:style w:type="paragraph" w:customStyle="1" w:styleId="---1">
    <w:name w:val="--规划-小标题"/>
    <w:basedOn w:val="Normal"/>
    <w:next w:val="--"/>
    <w:qFormat/>
    <w:pPr>
      <w:keepNext/>
      <w:keepLines/>
      <w:spacing w:line="360" w:lineRule="auto"/>
      <w:outlineLvl w:val="4"/>
    </w:pPr>
    <w:rPr>
      <w:rFonts w:eastAsia="黑体"/>
    </w:rPr>
  </w:style>
  <w:style w:type="paragraph" w:customStyle="1" w:styleId="--Char">
    <w:name w:val="--规划正文 Char"/>
    <w:basedOn w:val="Normal"/>
    <w:qFormat/>
    <w:pPr>
      <w:spacing w:line="360" w:lineRule="auto"/>
      <w:ind w:firstLine="200" w:firstLineChars="200"/>
    </w:pPr>
    <w:rPr>
      <w:sz w:val="24"/>
    </w:rPr>
  </w:style>
  <w:style w:type="paragraph" w:customStyle="1" w:styleId="a7">
    <w:name w:val="缺省文本"/>
    <w:basedOn w:val="Normal"/>
    <w:qFormat/>
    <w:pPr>
      <w:autoSpaceDE w:val="0"/>
      <w:autoSpaceDN w:val="0"/>
      <w:adjustRightInd w:val="0"/>
      <w:jc w:val="left"/>
    </w:pPr>
    <w:rPr>
      <w:kern w:val="0"/>
    </w:rPr>
  </w:style>
  <w:style w:type="paragraph" w:customStyle="1" w:styleId="a8">
    <w:name w:val="封面文档标题"/>
    <w:basedOn w:val="Normal"/>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Heading1"/>
    <w:qFormat/>
    <w:pPr>
      <w:numPr>
        <w:ilvl w:val="0"/>
        <w:numId w:val="5"/>
      </w:numPr>
      <w:spacing w:before="240" w:after="240" w:line="480" w:lineRule="auto"/>
      <w:ind w:right="210" w:rightChars="10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Normal"/>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9">
    <w:name w:val="列表项目"/>
    <w:basedOn w:val="Normal"/>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DefaultParagraphFont"/>
    <w:qFormat/>
  </w:style>
  <w:style w:type="character" w:customStyle="1" w:styleId="font2">
    <w:name w:val="font2"/>
    <w:basedOn w:val="DefaultParagraphFont"/>
    <w:qFormat/>
  </w:style>
  <w:style w:type="character" w:customStyle="1" w:styleId="font41">
    <w:name w:val="font41"/>
    <w:qFormat/>
    <w:rPr>
      <w:color w:val="000000"/>
      <w:spacing w:val="260"/>
      <w:sz w:val="18"/>
      <w:szCs w:val="18"/>
      <w:u w:val="none"/>
    </w:rPr>
  </w:style>
  <w:style w:type="paragraph" w:customStyle="1" w:styleId="a10">
    <w:name w:val="正文(首行缩进)"/>
    <w:qFormat/>
    <w:pPr>
      <w:spacing w:line="360" w:lineRule="auto"/>
      <w:ind w:firstLine="488" w:firstLineChars="200"/>
      <w:jc w:val="both"/>
    </w:pPr>
    <w:rPr>
      <w:rFonts w:ascii="Times New Roman" w:eastAsia="仿宋_GB2312" w:hAnsi="Times New Roman" w:cs="Times New Roman"/>
      <w:spacing w:val="2"/>
      <w:sz w:val="24"/>
      <w:szCs w:val="24"/>
      <w:lang w:val="en-US" w:eastAsia="zh-CN" w:bidi="ar-SA"/>
    </w:rPr>
  </w:style>
  <w:style w:type="paragraph" w:customStyle="1" w:styleId="xl72">
    <w:name w:val="xl72"/>
    <w:basedOn w:val="Normal"/>
    <w:qFormat/>
    <w:pPr>
      <w:widowControl/>
      <w:spacing w:before="100" w:beforeAutospacing="1" w:after="100" w:afterAutospacing="1"/>
      <w:jc w:val="left"/>
    </w:pPr>
    <w:rPr>
      <w:rFonts w:ascii="宋体" w:hAnsi="宋体"/>
      <w:b/>
      <w:bCs/>
      <w:kern w:val="0"/>
      <w:sz w:val="28"/>
      <w:szCs w:val="28"/>
    </w:rPr>
  </w:style>
  <w:style w:type="character" w:customStyle="1" w:styleId="Char12">
    <w:name w:val="正文首行缩进 Char"/>
    <w:link w:val="BodyTextFirstIndent"/>
    <w:qFormat/>
    <w:rPr>
      <w:rFonts w:eastAsia="宋体"/>
      <w:b/>
      <w:bCs/>
      <w:kern w:val="2"/>
      <w:sz w:val="21"/>
      <w:szCs w:val="24"/>
      <w:lang w:val="en-US" w:eastAsia="zh-CN" w:bidi="ar-SA"/>
    </w:rPr>
  </w:style>
  <w:style w:type="paragraph" w:customStyle="1" w:styleId="Char13">
    <w:name w:val="正文(首行缩进) Char"/>
    <w:qFormat/>
    <w:pPr>
      <w:spacing w:before="120" w:after="60" w:line="360" w:lineRule="auto"/>
      <w:ind w:firstLine="200" w:firstLineChars="200"/>
    </w:pPr>
    <w:rPr>
      <w:rFonts w:ascii="Times New Roman" w:eastAsia="仿宋_GB2312" w:hAnsi="Times New Roman" w:cs="Times New Roman"/>
      <w:spacing w:val="2"/>
      <w:kern w:val="24"/>
      <w:sz w:val="24"/>
      <w:szCs w:val="24"/>
      <w:lang w:val="en-US" w:eastAsia="zh-CN" w:bidi="ar-SA"/>
    </w:rPr>
  </w:style>
  <w:style w:type="paragraph" w:customStyle="1" w:styleId="8">
    <w:name w:val="汉议细等线简8"/>
    <w:qFormat/>
    <w:pPr>
      <w:widowControl w:val="0"/>
      <w:autoSpaceDE w:val="0"/>
      <w:autoSpaceDN w:val="0"/>
      <w:adjustRightInd w:val="0"/>
      <w:spacing w:line="260" w:lineRule="atLeast"/>
      <w:jc w:val="both"/>
    </w:pPr>
    <w:rPr>
      <w:rFonts w:ascii="汉仪细等线简" w:eastAsia="汉仪细等线简" w:hAnsi="Times New Roman" w:cs="Times New Roman"/>
      <w:color w:val="000000"/>
      <w:sz w:val="16"/>
      <w:szCs w:val="16"/>
      <w:lang w:val="en-US" w:eastAsia="zh-CN" w:bidi="ar-SA"/>
    </w:rPr>
  </w:style>
  <w:style w:type="paragraph" w:customStyle="1" w:styleId="9BOLD">
    <w:name w:val="汉仪细等线简9BOLD"/>
    <w:basedOn w:val="Normal"/>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DefaultParagraphFont"/>
    <w:qFormat/>
  </w:style>
  <w:style w:type="paragraph" w:customStyle="1" w:styleId="9">
    <w:name w:val="9"/>
    <w:basedOn w:val="Normal"/>
    <w:next w:val="NormalIndent"/>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DefaultParagraphFont"/>
    <w:qFormat/>
  </w:style>
  <w:style w:type="paragraph" w:customStyle="1" w:styleId="80">
    <w:name w:val="8"/>
    <w:basedOn w:val="Normal"/>
    <w:next w:val="BodyTextIndent"/>
    <w:qFormat/>
    <w:pPr>
      <w:spacing w:after="120"/>
      <w:ind w:left="420" w:leftChars="200"/>
    </w:pPr>
  </w:style>
  <w:style w:type="paragraph" w:customStyle="1" w:styleId="7">
    <w:name w:val="7"/>
    <w:basedOn w:val="Normal"/>
    <w:qFormat/>
    <w:pPr>
      <w:autoSpaceDE w:val="0"/>
      <w:autoSpaceDN w:val="0"/>
      <w:adjustRightInd w:val="0"/>
      <w:spacing w:line="270" w:lineRule="atLeast"/>
      <w:jc w:val="left"/>
    </w:pPr>
    <w:rPr>
      <w:rFonts w:ascii="宋体"/>
      <w:kern w:val="0"/>
      <w:sz w:val="18"/>
      <w:szCs w:val="18"/>
    </w:rPr>
  </w:style>
  <w:style w:type="paragraph" w:customStyle="1" w:styleId="00">
    <w:name w:val="00"/>
    <w:basedOn w:val="Normal"/>
    <w:qFormat/>
    <w:pPr>
      <w:autoSpaceDE w:val="0"/>
      <w:autoSpaceDN w:val="0"/>
      <w:adjustRightInd w:val="0"/>
      <w:jc w:val="left"/>
    </w:pPr>
    <w:rPr>
      <w:rFonts w:ascii="黑体" w:eastAsia="黑体"/>
      <w:b/>
      <w:bCs/>
      <w:kern w:val="0"/>
      <w:sz w:val="20"/>
      <w:szCs w:val="20"/>
    </w:rPr>
  </w:style>
  <w:style w:type="paragraph" w:customStyle="1" w:styleId="5">
    <w:name w:val="5"/>
    <w:basedOn w:val="Normal"/>
    <w:qFormat/>
    <w:pPr>
      <w:autoSpaceDE w:val="0"/>
      <w:autoSpaceDN w:val="0"/>
      <w:adjustRightInd w:val="0"/>
      <w:jc w:val="left"/>
    </w:pPr>
    <w:rPr>
      <w:rFonts w:ascii="宋体"/>
      <w:b/>
      <w:bCs/>
      <w:kern w:val="0"/>
      <w:sz w:val="18"/>
      <w:szCs w:val="18"/>
    </w:rPr>
  </w:style>
  <w:style w:type="paragraph" w:customStyle="1" w:styleId="6">
    <w:name w:val="6"/>
    <w:basedOn w:val="5"/>
    <w:qFormat/>
    <w:pPr>
      <w:spacing w:line="270" w:lineRule="atLeast"/>
      <w:jc w:val="both"/>
    </w:pPr>
    <w:rPr>
      <w:b w:val="0"/>
      <w:bCs w:val="0"/>
    </w:rPr>
  </w:style>
  <w:style w:type="paragraph" w:customStyle="1" w:styleId="a11">
    <w:name w:val="产品描述"/>
    <w:qFormat/>
    <w:pPr>
      <w:widowControl w:val="0"/>
      <w:autoSpaceDE w:val="0"/>
      <w:autoSpaceDN w:val="0"/>
      <w:adjustRightInd w:val="0"/>
      <w:spacing w:line="270" w:lineRule="atLeast"/>
      <w:ind w:firstLine="397"/>
      <w:jc w:val="both"/>
    </w:pPr>
    <w:rPr>
      <w:rFonts w:ascii="宋体" w:eastAsia="宋体" w:hAnsi="Times New Roman" w:cs="Times New Roman"/>
      <w:sz w:val="18"/>
      <w:szCs w:val="18"/>
      <w:lang w:val="en-US" w:eastAsia="zh-CN" w:bidi="ar-SA"/>
    </w:rPr>
  </w:style>
  <w:style w:type="paragraph" w:customStyle="1" w:styleId="a12">
    <w:name w:val="姜文清定义的正文"/>
    <w:basedOn w:val="Normal"/>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hAnsi="Times New Roman" w:cs="H Yb 2gj"/>
      <w:color w:val="000000"/>
      <w:sz w:val="24"/>
      <w:szCs w:val="24"/>
      <w:lang w:val="en-US" w:eastAsia="zh-CN" w:bidi="ar-SA"/>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Normal"/>
    <w:qFormat/>
    <w:pPr>
      <w:widowControl/>
      <w:spacing w:before="120" w:line="360" w:lineRule="auto"/>
      <w:ind w:firstLine="425"/>
    </w:pPr>
    <w:rPr>
      <w:kern w:val="0"/>
      <w:sz w:val="24"/>
    </w:rPr>
  </w:style>
  <w:style w:type="character" w:customStyle="1" w:styleId="blue">
    <w:name w:val="blue"/>
    <w:basedOn w:val="DefaultParagraphFont"/>
    <w:qFormat/>
  </w:style>
  <w:style w:type="paragraph" w:customStyle="1" w:styleId="blue1">
    <w:name w:val="blue1"/>
    <w:basedOn w:val="Normal"/>
    <w:qFormat/>
    <w:pPr>
      <w:widowControl/>
      <w:spacing w:before="100" w:beforeAutospacing="1" w:after="100" w:afterAutospacing="1"/>
      <w:jc w:val="left"/>
    </w:pPr>
    <w:rPr>
      <w:rFonts w:ascii="宋体" w:hAnsi="宋体" w:cs="宋体"/>
      <w:kern w:val="0"/>
      <w:sz w:val="24"/>
    </w:rPr>
  </w:style>
  <w:style w:type="character" w:customStyle="1" w:styleId="font">
    <w:name w:val="font"/>
    <w:basedOn w:val="DefaultParagraphFont"/>
    <w:qFormat/>
  </w:style>
  <w:style w:type="character" w:customStyle="1" w:styleId="font11">
    <w:name w:val="font11"/>
    <w:qFormat/>
    <w:rPr>
      <w:rFonts w:ascii="ˎ̥" w:hAnsi="ˎ̥" w:hint="default"/>
    </w:rPr>
  </w:style>
  <w:style w:type="paragraph" w:customStyle="1" w:styleId="a14">
    <w:name w:val="a14"/>
    <w:basedOn w:val="Normal"/>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DefaultParagraphFont"/>
    <w:qFormat/>
  </w:style>
  <w:style w:type="character" w:customStyle="1" w:styleId="prodheadlines">
    <w:name w:val="prodheadlines"/>
    <w:basedOn w:val="DefaultParagraphFont"/>
    <w:qFormat/>
  </w:style>
  <w:style w:type="character" w:customStyle="1" w:styleId="text">
    <w:name w:val="text"/>
    <w:basedOn w:val="DefaultParagraphFont"/>
    <w:qFormat/>
  </w:style>
  <w:style w:type="paragraph" w:customStyle="1" w:styleId="text1">
    <w:name w:val="text1"/>
    <w:basedOn w:val="Normal"/>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Normal"/>
    <w:next w:val="Normal"/>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Normal"/>
    <w:next w:val="Normal"/>
    <w:hidden/>
    <w:qFormat/>
    <w:pPr>
      <w:widowControl/>
      <w:pBdr>
        <w:top w:val="single" w:sz="6" w:space="1" w:color="auto"/>
      </w:pBdr>
      <w:jc w:val="center"/>
    </w:pPr>
    <w:rPr>
      <w:rFonts w:ascii="Arial" w:hAnsi="Arial" w:cs="Arial"/>
      <w:vanish/>
      <w:kern w:val="0"/>
      <w:sz w:val="16"/>
      <w:szCs w:val="16"/>
    </w:rPr>
  </w:style>
  <w:style w:type="paragraph" w:customStyle="1" w:styleId="a13">
    <w:name w:val="正文样式"/>
    <w:basedOn w:val="Normal"/>
    <w:qFormat/>
    <w:pPr>
      <w:adjustRightInd w:val="0"/>
      <w:spacing w:line="400" w:lineRule="atLeast"/>
      <w:ind w:firstLine="570" w:firstLineChars="203"/>
      <w:textAlignment w:val="baseline"/>
    </w:pPr>
    <w:rPr>
      <w:rFonts w:eastAsia="仿宋_GB2312"/>
      <w:kern w:val="0"/>
      <w:sz w:val="28"/>
      <w:szCs w:val="20"/>
    </w:rPr>
  </w:style>
  <w:style w:type="paragraph" w:customStyle="1" w:styleId="xl34">
    <w:name w:val="xl34"/>
    <w:basedOn w:val="Normal"/>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15">
    <w:name w:val="段落正文"/>
    <w:basedOn w:val="PlainText"/>
    <w:qFormat/>
    <w:pPr>
      <w:ind w:firstLine="560" w:firstLineChars="200"/>
    </w:pPr>
    <w:rPr>
      <w:sz w:val="28"/>
    </w:rPr>
  </w:style>
  <w:style w:type="character" w:customStyle="1" w:styleId="gray6">
    <w:name w:val="gray6"/>
    <w:basedOn w:val="DefaultParagraphFont"/>
    <w:qFormat/>
  </w:style>
  <w:style w:type="character" w:customStyle="1" w:styleId="style9">
    <w:name w:val="style9"/>
    <w:basedOn w:val="DefaultParagraphFont"/>
    <w:qFormat/>
  </w:style>
  <w:style w:type="paragraph" w:customStyle="1" w:styleId="24">
    <w:name w:val="2册标题4"/>
    <w:basedOn w:val="Normal"/>
    <w:next w:val="Normal"/>
    <w:qFormat/>
    <w:pPr>
      <w:spacing w:beforeLines="50" w:afterLines="50" w:line="300" w:lineRule="auto"/>
      <w:ind w:left="420" w:leftChars="200"/>
      <w:outlineLvl w:val="3"/>
    </w:pPr>
    <w:rPr>
      <w:rFonts w:ascii="Arial" w:eastAsia="幼圆" w:hAnsi="Arial" w:cs="Arial"/>
      <w:b/>
      <w:sz w:val="24"/>
    </w:rPr>
  </w:style>
  <w:style w:type="character" w:customStyle="1" w:styleId="grame">
    <w:name w:val="grame"/>
    <w:basedOn w:val="DefaultParagraphFont"/>
    <w:qFormat/>
  </w:style>
  <w:style w:type="paragraph" w:customStyle="1" w:styleId="style2">
    <w:name w:val="style2"/>
    <w:basedOn w:val="Normal"/>
    <w:qFormat/>
    <w:pPr>
      <w:widowControl/>
      <w:spacing w:before="100" w:beforeAutospacing="1" w:after="100" w:afterAutospacing="1"/>
      <w:jc w:val="left"/>
    </w:pPr>
    <w:rPr>
      <w:rFonts w:ascii="宋体" w:hAnsi="宋体" w:cs="宋体"/>
      <w:kern w:val="0"/>
      <w:sz w:val="18"/>
      <w:szCs w:val="18"/>
    </w:rPr>
  </w:style>
  <w:style w:type="paragraph" w:customStyle="1" w:styleId="Char14">
    <w:name w:val="Char1"/>
    <w:basedOn w:val="Normal"/>
    <w:qFormat/>
    <w:pPr>
      <w:jc w:val="left"/>
    </w:pPr>
    <w:rPr>
      <w:rFonts w:ascii="Tahoma" w:hAnsi="Tahoma"/>
      <w:sz w:val="24"/>
      <w:szCs w:val="20"/>
    </w:rPr>
  </w:style>
  <w:style w:type="paragraph" w:customStyle="1" w:styleId="11">
    <w:name w:val="编号1"/>
    <w:basedOn w:val="Normal"/>
    <w:qFormat/>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pPr>
      <w:widowControl/>
      <w:spacing w:line="400" w:lineRule="exact"/>
      <w:jc w:val="center"/>
    </w:pPr>
    <w:rPr>
      <w:rFonts w:ascii="Verdana" w:hAnsi="Verdana"/>
      <w:kern w:val="0"/>
      <w:szCs w:val="20"/>
      <w:lang w:eastAsia="en-US"/>
    </w:rPr>
  </w:style>
  <w:style w:type="paragraph" w:customStyle="1" w:styleId="font0">
    <w:name w:val="font0"/>
    <w:basedOn w:val="Normal"/>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Normal"/>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Normal"/>
    <w:qFormat/>
    <w:pPr>
      <w:widowControl/>
      <w:spacing w:before="100" w:beforeAutospacing="1" w:after="100" w:afterAutospacing="1"/>
      <w:jc w:val="left"/>
    </w:pPr>
    <w:rPr>
      <w:kern w:val="0"/>
      <w:sz w:val="24"/>
    </w:rPr>
  </w:style>
  <w:style w:type="paragraph" w:customStyle="1" w:styleId="xl24">
    <w:name w:val="xl2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16">
    <w:name w:val="表格字"/>
    <w:basedOn w:val="Normal"/>
    <w:qFormat/>
    <w:pPr>
      <w:adjustRightInd w:val="0"/>
      <w:jc w:val="center"/>
    </w:pPr>
    <w:rPr>
      <w:rFonts w:ascii="宋体"/>
      <w:sz w:val="24"/>
      <w:szCs w:val="20"/>
    </w:rPr>
  </w:style>
  <w:style w:type="character" w:customStyle="1" w:styleId="a17">
    <w:name w:val="样式 小三 加粗"/>
    <w:qFormat/>
    <w:rPr>
      <w:rFonts w:eastAsia="宋体"/>
      <w:b/>
      <w:bCs/>
      <w:sz w:val="32"/>
    </w:rPr>
  </w:style>
  <w:style w:type="paragraph" w:customStyle="1" w:styleId="xl28">
    <w:name w:val="xl2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20">
    <w:name w:val="Char2"/>
    <w:basedOn w:val="Normal"/>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DefaultParagraphFont"/>
    <w:qFormat/>
  </w:style>
  <w:style w:type="paragraph" w:customStyle="1" w:styleId="a18">
    <w:name w:val="缩进正文"/>
    <w:basedOn w:val="Normal"/>
    <w:link w:val="Char15"/>
    <w:qFormat/>
    <w:pPr>
      <w:ind w:firstLine="560" w:firstLineChars="200"/>
    </w:pPr>
    <w:rPr>
      <w:rFonts w:eastAsia="仿宋_GB2312" w:cs="宋体"/>
      <w:sz w:val="28"/>
      <w:szCs w:val="20"/>
    </w:rPr>
  </w:style>
  <w:style w:type="character" w:customStyle="1" w:styleId="Char15">
    <w:name w:val="缩进正文 Char"/>
    <w:link w:val="a18"/>
    <w:qFormat/>
    <w:rPr>
      <w:rFonts w:eastAsia="仿宋_GB2312" w:cs="宋体"/>
      <w:kern w:val="2"/>
      <w:sz w:val="28"/>
      <w:lang w:val="en-US" w:eastAsia="zh-CN" w:bidi="ar-SA"/>
    </w:rPr>
  </w:style>
  <w:style w:type="paragraph" w:customStyle="1" w:styleId="12">
    <w:name w:val="列出段落1"/>
    <w:basedOn w:val="Normal"/>
    <w:qFormat/>
    <w:pPr>
      <w:ind w:firstLine="420" w:firstLineChars="200"/>
    </w:pPr>
    <w:rPr>
      <w:rFonts w:ascii="Calibri" w:hAnsi="Calibri" w:cs="Calibri"/>
      <w:szCs w:val="21"/>
    </w:rPr>
  </w:style>
  <w:style w:type="character" w:customStyle="1" w:styleId="Char16">
    <w:name w:val="批注文字 Char"/>
    <w:basedOn w:val="DefaultParagraphFont"/>
    <w:link w:val="CommentText"/>
    <w:uiPriority w:val="99"/>
    <w:semiHidden/>
    <w:qFormat/>
    <w:rPr>
      <w:rFonts w:ascii="宋体"/>
      <w:sz w:val="34"/>
    </w:rPr>
  </w:style>
  <w:style w:type="character" w:customStyle="1" w:styleId="Char17">
    <w:name w:val="批注主题 Char"/>
    <w:basedOn w:val="Char16"/>
    <w:link w:val="CommentSubject"/>
    <w:uiPriority w:val="99"/>
    <w:qFormat/>
    <w:rPr>
      <w:rFonts w:ascii="宋体"/>
      <w:sz w:val="34"/>
    </w:rPr>
  </w:style>
  <w:style w:type="paragraph" w:customStyle="1" w:styleId="a19">
    <w:name w:val="评价"/>
    <w:basedOn w:val="Normal"/>
    <w:qFormat/>
    <w:pPr>
      <w:spacing w:afterLines="20"/>
      <w:ind w:firstLine="1446" w:firstLineChars="200"/>
    </w:pPr>
    <w:rPr>
      <w:rFonts w:ascii="Calibri" w:hAnsi="Calibri"/>
      <w:sz w:val="24"/>
    </w:rPr>
  </w:style>
  <w:style w:type="paragraph" w:customStyle="1" w:styleId="13">
    <w:name w:val="修订1"/>
    <w:hidden/>
    <w:uiPriority w:val="99"/>
    <w:semiHidden/>
    <w:qFormat/>
    <w:rPr>
      <w:rFonts w:ascii="Times New Roman" w:eastAsia="宋体" w:hAnsi="Times New Roman" w:cs="Times New Roman"/>
      <w:kern w:val="2"/>
      <w:sz w:val="21"/>
      <w:szCs w:val="24"/>
      <w:lang w:val="en-US" w:eastAsia="zh-CN" w:bidi="ar-SA"/>
    </w:rPr>
  </w:style>
  <w:style w:type="character" w:customStyle="1" w:styleId="alt-edited1">
    <w:name w:val="alt-edited1"/>
    <w:qFormat/>
    <w:rPr>
      <w:color w:val="4D90F0"/>
    </w:rPr>
  </w:style>
  <w:style w:type="paragraph" w:customStyle="1" w:styleId="toc14">
    <w:name w:val="toc 14"/>
    <w:next w:val="Normal"/>
    <w:qFormat/>
    <w:pPr>
      <w:wordWrap w:val="0"/>
      <w:jc w:val="both"/>
    </w:pPr>
    <w:rPr>
      <w:rFonts w:ascii="Calibri" w:eastAsia="宋体" w:hAnsi="Calibri" w:cs="Times New Roman"/>
      <w:sz w:val="21"/>
      <w:lang w:val="en-US" w:eastAsia="zh-CN" w:bidi="ar-SA"/>
    </w:rPr>
  </w:style>
  <w:style w:type="character" w:customStyle="1" w:styleId="Char18">
    <w:name w:val="文档结构图 Char1"/>
    <w:semiHidden/>
    <w:qFormat/>
    <w:rPr>
      <w:sz w:val="20"/>
    </w:rPr>
  </w:style>
  <w:style w:type="character" w:customStyle="1" w:styleId="Char19">
    <w:name w:val="文档结构图 Char"/>
    <w:semiHidden/>
    <w:qFormat/>
    <w:rPr>
      <w:sz w:val="20"/>
    </w:rPr>
  </w:style>
  <w:style w:type="character" w:customStyle="1" w:styleId="shorttext">
    <w:name w:val="short_text"/>
    <w:basedOn w:val="DefaultParagraphFont"/>
    <w:qFormat/>
    <w:rPr>
      <w:sz w:val="20"/>
    </w:rPr>
  </w:style>
  <w:style w:type="character" w:customStyle="1" w:styleId="Char110">
    <w:name w:val="标题 Char1"/>
    <w:qFormat/>
    <w:rPr>
      <w:b/>
      <w:sz w:val="20"/>
    </w:rPr>
  </w:style>
  <w:style w:type="character" w:customStyle="1" w:styleId="3Char10">
    <w:name w:val="正文文本缩进 3 Char1"/>
    <w:semiHidden/>
    <w:qFormat/>
    <w:rPr>
      <w:sz w:val="20"/>
    </w:rPr>
  </w:style>
  <w:style w:type="character" w:customStyle="1" w:styleId="font21">
    <w:name w:val="font21"/>
    <w:qFormat/>
    <w:rPr>
      <w:color w:val="FF0000"/>
      <w:sz w:val="20"/>
      <w:u w:val="none"/>
    </w:rPr>
  </w:style>
  <w:style w:type="character" w:customStyle="1" w:styleId="14">
    <w:name w:val="不明显强调1"/>
    <w:qFormat/>
    <w:rPr>
      <w:i/>
      <w:sz w:val="20"/>
    </w:rPr>
  </w:style>
  <w:style w:type="character" w:customStyle="1" w:styleId="font71">
    <w:name w:val="font71"/>
    <w:qFormat/>
    <w:rPr>
      <w:sz w:val="20"/>
      <w:u w:val="none"/>
    </w:rPr>
  </w:style>
  <w:style w:type="character" w:customStyle="1" w:styleId="Char111">
    <w:name w:val="页眉 Char1"/>
    <w:semiHidden/>
    <w:qFormat/>
    <w:rPr>
      <w:sz w:val="20"/>
    </w:rPr>
  </w:style>
  <w:style w:type="character" w:customStyle="1" w:styleId="2Char10">
    <w:name w:val="正文文本缩进 2 Char1"/>
    <w:semiHidden/>
    <w:qFormat/>
    <w:rPr>
      <w:sz w:val="20"/>
    </w:rPr>
  </w:style>
  <w:style w:type="character" w:customStyle="1" w:styleId="font61">
    <w:name w:val="font61"/>
    <w:qFormat/>
    <w:rPr>
      <w:sz w:val="20"/>
      <w:u w:val="none"/>
    </w:rPr>
  </w:style>
  <w:style w:type="character" w:customStyle="1" w:styleId="Char112">
    <w:name w:val="纯文本 Char1"/>
    <w:semiHidden/>
    <w:qFormat/>
    <w:rPr>
      <w:sz w:val="20"/>
    </w:rPr>
  </w:style>
  <w:style w:type="character" w:customStyle="1" w:styleId="3Char11">
    <w:name w:val="正文文本 3 Char1"/>
    <w:semiHidden/>
    <w:qFormat/>
    <w:rPr>
      <w:sz w:val="20"/>
    </w:rPr>
  </w:style>
  <w:style w:type="character" w:customStyle="1" w:styleId="Char113">
    <w:name w:val="正文文本缩进 Char1"/>
    <w:semiHidden/>
    <w:qFormat/>
    <w:rPr>
      <w:sz w:val="20"/>
    </w:rPr>
  </w:style>
  <w:style w:type="character" w:customStyle="1" w:styleId="15">
    <w:name w:val="明显参考1"/>
    <w:qFormat/>
    <w:rPr>
      <w:b/>
      <w:sz w:val="20"/>
    </w:rPr>
  </w:style>
  <w:style w:type="character" w:customStyle="1" w:styleId="apple-converted-space">
    <w:name w:val="apple-converted-space"/>
    <w:qFormat/>
    <w:rPr>
      <w:sz w:val="20"/>
    </w:rPr>
  </w:style>
  <w:style w:type="character" w:customStyle="1" w:styleId="16">
    <w:name w:val="书籍标题1"/>
    <w:qFormat/>
    <w:rPr>
      <w:b/>
      <w:i/>
      <w:sz w:val="20"/>
    </w:rPr>
  </w:style>
  <w:style w:type="character" w:customStyle="1" w:styleId="longtext">
    <w:name w:val="long_text"/>
    <w:qFormat/>
    <w:rPr>
      <w:sz w:val="20"/>
    </w:rPr>
  </w:style>
  <w:style w:type="character" w:customStyle="1" w:styleId="Char114">
    <w:name w:val="日期 Char1"/>
    <w:semiHidden/>
    <w:qFormat/>
    <w:rPr>
      <w:sz w:val="20"/>
    </w:rPr>
  </w:style>
  <w:style w:type="character" w:customStyle="1" w:styleId="Char115">
    <w:name w:val="批注文字 Char1"/>
    <w:semiHidden/>
    <w:qFormat/>
    <w:rPr>
      <w:sz w:val="20"/>
    </w:rPr>
  </w:style>
  <w:style w:type="character" w:customStyle="1" w:styleId="17">
    <w:name w:val="明显强调1"/>
    <w:qFormat/>
    <w:rPr>
      <w:i/>
      <w:sz w:val="20"/>
    </w:rPr>
  </w:style>
  <w:style w:type="character" w:customStyle="1" w:styleId="160">
    <w:name w:val="16"/>
    <w:qFormat/>
    <w:rPr>
      <w:b/>
      <w:color w:val="FF0356"/>
      <w:sz w:val="20"/>
    </w:rPr>
  </w:style>
  <w:style w:type="character" w:customStyle="1" w:styleId="Char116">
    <w:name w:val="批注主题 Char1"/>
    <w:semiHidden/>
    <w:qFormat/>
    <w:rPr>
      <w:b/>
      <w:sz w:val="20"/>
    </w:rPr>
  </w:style>
  <w:style w:type="character" w:customStyle="1" w:styleId="2Char11">
    <w:name w:val="正文文本 2 Char1"/>
    <w:semiHidden/>
    <w:qFormat/>
    <w:rPr>
      <w:sz w:val="20"/>
    </w:rPr>
  </w:style>
  <w:style w:type="character" w:customStyle="1" w:styleId="font31">
    <w:name w:val="font31"/>
    <w:qFormat/>
    <w:rPr>
      <w:color w:val="FF0000"/>
      <w:sz w:val="20"/>
      <w:u w:val="none"/>
      <w:vertAlign w:val="superscript"/>
    </w:rPr>
  </w:style>
  <w:style w:type="character" w:customStyle="1" w:styleId="18">
    <w:name w:val="不明显参考1"/>
    <w:qFormat/>
    <w:rPr>
      <w:sz w:val="20"/>
    </w:rPr>
  </w:style>
  <w:style w:type="character" w:customStyle="1" w:styleId="HTMLChar1">
    <w:name w:val="HTML 预设格式 Char1"/>
    <w:semiHidden/>
    <w:qFormat/>
    <w:rPr>
      <w:sz w:val="20"/>
    </w:rPr>
  </w:style>
  <w:style w:type="character" w:customStyle="1" w:styleId="font01">
    <w:name w:val="font01"/>
    <w:basedOn w:val="DefaultParagraphFont"/>
    <w:qFormat/>
    <w:rPr>
      <w:color w:val="FF0000"/>
      <w:sz w:val="20"/>
      <w:u w:val="none"/>
      <w:vertAlign w:val="superscript"/>
    </w:rPr>
  </w:style>
  <w:style w:type="character" w:customStyle="1" w:styleId="Char117">
    <w:name w:val="页脚 Char1"/>
    <w:semiHidden/>
    <w:qFormat/>
    <w:rPr>
      <w:sz w:val="20"/>
    </w:rPr>
  </w:style>
  <w:style w:type="character" w:customStyle="1" w:styleId="Char118">
    <w:name w:val="批注框文本 Char1"/>
    <w:semiHidden/>
    <w:qFormat/>
    <w:rPr>
      <w:sz w:val="20"/>
    </w:rPr>
  </w:style>
  <w:style w:type="paragraph" w:customStyle="1" w:styleId="20">
    <w:name w:val="列出段落2"/>
    <w:basedOn w:val="Normal"/>
    <w:next w:val="toc814"/>
    <w:qFormat/>
    <w:pPr>
      <w:ind w:firstLine="420"/>
    </w:pPr>
    <w:rPr>
      <w:rFonts w:hAnsi="Calibri"/>
      <w:kern w:val="0"/>
      <w:szCs w:val="20"/>
    </w:rPr>
  </w:style>
  <w:style w:type="paragraph" w:customStyle="1" w:styleId="toc814">
    <w:name w:val="toc 814"/>
    <w:next w:val="Normal"/>
    <w:qFormat/>
    <w:pPr>
      <w:wordWrap w:val="0"/>
      <w:ind w:left="2975"/>
      <w:jc w:val="both"/>
    </w:pPr>
    <w:rPr>
      <w:rFonts w:ascii="Calibri" w:eastAsia="宋体" w:hAnsi="Calibri" w:cs="Times New Roman"/>
      <w:sz w:val="21"/>
      <w:lang w:val="en-US" w:eastAsia="zh-CN" w:bidi="ar-SA"/>
    </w:rPr>
  </w:style>
  <w:style w:type="paragraph" w:customStyle="1" w:styleId="toc62">
    <w:name w:val="toc 62"/>
    <w:next w:val="Normal"/>
    <w:qFormat/>
    <w:pPr>
      <w:wordWrap w:val="0"/>
      <w:ind w:left="2125"/>
      <w:jc w:val="both"/>
    </w:pPr>
    <w:rPr>
      <w:rFonts w:ascii="Calibri" w:eastAsia="宋体" w:hAnsi="Calibri" w:cs="Times New Roman"/>
      <w:sz w:val="21"/>
      <w:lang w:val="en-US" w:eastAsia="zh-CN" w:bidi="ar-SA"/>
    </w:rPr>
  </w:style>
  <w:style w:type="paragraph" w:customStyle="1" w:styleId="toc414">
    <w:name w:val="toc 414"/>
    <w:next w:val="Normal"/>
    <w:qFormat/>
    <w:pPr>
      <w:wordWrap w:val="0"/>
      <w:ind w:left="1275"/>
      <w:jc w:val="both"/>
    </w:pPr>
    <w:rPr>
      <w:rFonts w:ascii="Calibri" w:eastAsia="宋体" w:hAnsi="Calibri" w:cs="Times New Roman"/>
      <w:sz w:val="21"/>
      <w:lang w:val="en-US" w:eastAsia="zh-CN" w:bidi="ar-SA"/>
    </w:rPr>
  </w:style>
  <w:style w:type="paragraph" w:customStyle="1" w:styleId="toc411">
    <w:name w:val="toc 411"/>
    <w:next w:val="Normal"/>
    <w:qFormat/>
    <w:pPr>
      <w:wordWrap w:val="0"/>
      <w:ind w:left="1275"/>
      <w:jc w:val="both"/>
    </w:pPr>
    <w:rPr>
      <w:rFonts w:ascii="Calibri" w:eastAsia="宋体" w:hAnsi="Calibri" w:cs="Times New Roman"/>
      <w:sz w:val="21"/>
      <w:lang w:val="en-US" w:eastAsia="zh-CN" w:bidi="ar-SA"/>
    </w:rPr>
  </w:style>
  <w:style w:type="paragraph" w:customStyle="1" w:styleId="xl86">
    <w:name w:val="xl86"/>
    <w:basedOn w:val="Normal"/>
    <w:next w:val="toc515"/>
    <w:qFormat/>
    <w:pPr>
      <w:widowControl/>
      <w:shd w:val="clear" w:color="000000" w:fill="FFFFFF"/>
      <w:spacing w:before="280" w:after="280"/>
      <w:jc w:val="center"/>
    </w:pPr>
    <w:rPr>
      <w:rFonts w:ascii="宋体" w:hAnsi="Calibri"/>
      <w:kern w:val="0"/>
      <w:sz w:val="20"/>
      <w:szCs w:val="20"/>
    </w:rPr>
  </w:style>
  <w:style w:type="paragraph" w:customStyle="1" w:styleId="toc515">
    <w:name w:val="toc 515"/>
    <w:next w:val="Normal"/>
    <w:qFormat/>
    <w:pPr>
      <w:wordWrap w:val="0"/>
      <w:ind w:left="1700"/>
      <w:jc w:val="both"/>
    </w:pPr>
    <w:rPr>
      <w:rFonts w:ascii="Calibri" w:eastAsia="宋体" w:hAnsi="Calibri" w:cs="Times New Roman"/>
      <w:sz w:val="21"/>
      <w:lang w:val="en-US" w:eastAsia="zh-CN" w:bidi="ar-SA"/>
    </w:rPr>
  </w:style>
  <w:style w:type="paragraph" w:customStyle="1" w:styleId="TOCHeading4">
    <w:name w:val="TOC Heading4"/>
    <w:next w:val="Normal"/>
    <w:qFormat/>
    <w:pPr>
      <w:wordWrap w:val="0"/>
    </w:pPr>
    <w:rPr>
      <w:rFonts w:ascii="Calibri" w:eastAsia="宋体" w:hAnsi="Calibri" w:cs="Times New Roman"/>
      <w:sz w:val="32"/>
      <w:lang w:val="en-US" w:eastAsia="zh-CN" w:bidi="ar-SA"/>
    </w:rPr>
  </w:style>
  <w:style w:type="paragraph" w:customStyle="1" w:styleId="toc15">
    <w:name w:val="toc 15"/>
    <w:next w:val="Normal"/>
    <w:qFormat/>
    <w:pPr>
      <w:wordWrap w:val="0"/>
      <w:jc w:val="both"/>
    </w:pPr>
    <w:rPr>
      <w:rFonts w:ascii="Calibri" w:eastAsia="宋体" w:hAnsi="Calibri" w:cs="Times New Roman"/>
      <w:sz w:val="21"/>
      <w:lang w:val="en-US" w:eastAsia="zh-CN" w:bidi="ar-SA"/>
    </w:rPr>
  </w:style>
  <w:style w:type="paragraph" w:customStyle="1" w:styleId="TOCHeading2">
    <w:name w:val="TOC Heading2"/>
    <w:next w:val="Normal"/>
    <w:qFormat/>
    <w:pPr>
      <w:wordWrap w:val="0"/>
    </w:pPr>
    <w:rPr>
      <w:rFonts w:ascii="Calibri" w:eastAsia="宋体" w:hAnsi="Calibri" w:cs="Times New Roman"/>
      <w:sz w:val="32"/>
      <w:lang w:val="en-US" w:eastAsia="zh-CN" w:bidi="ar-SA"/>
    </w:rPr>
  </w:style>
  <w:style w:type="paragraph" w:customStyle="1" w:styleId="TOCHeading1">
    <w:name w:val="TOC Heading1"/>
    <w:next w:val="Normal"/>
    <w:qFormat/>
    <w:pPr>
      <w:wordWrap w:val="0"/>
    </w:pPr>
    <w:rPr>
      <w:rFonts w:ascii="Calibri" w:eastAsia="宋体" w:hAnsi="Calibri" w:cs="Times New Roman"/>
      <w:sz w:val="32"/>
      <w:lang w:val="en-US" w:eastAsia="zh-CN" w:bidi="ar-SA"/>
    </w:rPr>
  </w:style>
  <w:style w:type="paragraph" w:customStyle="1" w:styleId="toc73">
    <w:name w:val="toc 73"/>
    <w:next w:val="Normal"/>
    <w:qFormat/>
    <w:pPr>
      <w:wordWrap w:val="0"/>
      <w:ind w:left="2550"/>
      <w:jc w:val="both"/>
    </w:pPr>
    <w:rPr>
      <w:rFonts w:ascii="Calibri" w:eastAsia="宋体" w:hAnsi="Calibri" w:cs="Times New Roman"/>
      <w:sz w:val="21"/>
      <w:lang w:val="en-US" w:eastAsia="zh-CN" w:bidi="ar-SA"/>
    </w:rPr>
  </w:style>
  <w:style w:type="paragraph" w:customStyle="1" w:styleId="font7">
    <w:name w:val="font7"/>
    <w:basedOn w:val="Normal"/>
    <w:next w:val="toc810"/>
    <w:qFormat/>
    <w:pPr>
      <w:widowControl/>
      <w:spacing w:before="280" w:after="280"/>
    </w:pPr>
    <w:rPr>
      <w:rFonts w:ascii="Arial" w:hAnsi="Calibri"/>
      <w:kern w:val="0"/>
      <w:sz w:val="18"/>
      <w:szCs w:val="20"/>
    </w:rPr>
  </w:style>
  <w:style w:type="paragraph" w:customStyle="1" w:styleId="toc810">
    <w:name w:val="toc 810"/>
    <w:next w:val="Normal"/>
    <w:qFormat/>
    <w:pPr>
      <w:wordWrap w:val="0"/>
      <w:ind w:left="2975"/>
      <w:jc w:val="both"/>
    </w:pPr>
    <w:rPr>
      <w:rFonts w:ascii="Calibri" w:eastAsia="宋体" w:hAnsi="Calibri" w:cs="Times New Roman"/>
      <w:sz w:val="21"/>
      <w:lang w:val="en-US" w:eastAsia="zh-CN" w:bidi="ar-SA"/>
    </w:rPr>
  </w:style>
  <w:style w:type="paragraph" w:customStyle="1" w:styleId="xl113">
    <w:name w:val="xl113"/>
    <w:basedOn w:val="Normal"/>
    <w:next w:val="TOCHeading10"/>
    <w:qFormat/>
    <w:pPr>
      <w:widowControl/>
      <w:shd w:val="clear" w:color="000000" w:fill="FFFFFF"/>
      <w:spacing w:before="280" w:after="280"/>
      <w:jc w:val="center"/>
    </w:pPr>
    <w:rPr>
      <w:rFonts w:ascii="宋体" w:hAnsi="Calibri"/>
      <w:b/>
      <w:kern w:val="0"/>
      <w:sz w:val="20"/>
      <w:szCs w:val="20"/>
    </w:rPr>
  </w:style>
  <w:style w:type="paragraph" w:customStyle="1" w:styleId="TOCHeading10">
    <w:name w:val="TOC Heading10"/>
    <w:next w:val="Normal"/>
    <w:qFormat/>
    <w:pPr>
      <w:wordWrap w:val="0"/>
    </w:pPr>
    <w:rPr>
      <w:rFonts w:ascii="Calibri" w:eastAsia="宋体" w:hAnsi="Calibri" w:cs="Times New Roman"/>
      <w:sz w:val="32"/>
      <w:lang w:val="en-US" w:eastAsia="zh-CN" w:bidi="ar-SA"/>
    </w:rPr>
  </w:style>
  <w:style w:type="paragraph" w:customStyle="1" w:styleId="toc89">
    <w:name w:val="toc 89"/>
    <w:next w:val="Normal"/>
    <w:qFormat/>
    <w:pPr>
      <w:wordWrap w:val="0"/>
      <w:ind w:left="2975"/>
      <w:jc w:val="both"/>
    </w:pPr>
    <w:rPr>
      <w:rFonts w:ascii="Calibri" w:eastAsia="宋体" w:hAnsi="Calibri" w:cs="Times New Roman"/>
      <w:sz w:val="21"/>
      <w:lang w:val="en-US" w:eastAsia="zh-CN" w:bidi="ar-SA"/>
    </w:rPr>
  </w:style>
  <w:style w:type="paragraph" w:customStyle="1" w:styleId="xl73">
    <w:name w:val="xl73"/>
    <w:basedOn w:val="Normal"/>
    <w:next w:val="toc613"/>
    <w:qFormat/>
    <w:pPr>
      <w:widowControl/>
      <w:shd w:val="clear" w:color="000000" w:fill="FFFFFF"/>
      <w:spacing w:before="280" w:after="280"/>
      <w:jc w:val="center"/>
    </w:pPr>
    <w:rPr>
      <w:rFonts w:ascii="宋体" w:hAnsi="Calibri"/>
      <w:kern w:val="0"/>
      <w:sz w:val="20"/>
      <w:szCs w:val="20"/>
    </w:rPr>
  </w:style>
  <w:style w:type="paragraph" w:customStyle="1" w:styleId="toc613">
    <w:name w:val="toc 613"/>
    <w:next w:val="Normal"/>
    <w:qFormat/>
    <w:pPr>
      <w:wordWrap w:val="0"/>
      <w:ind w:left="2125"/>
      <w:jc w:val="both"/>
    </w:pPr>
    <w:rPr>
      <w:rFonts w:ascii="Calibri" w:eastAsia="宋体" w:hAnsi="Calibri" w:cs="Times New Roman"/>
      <w:sz w:val="21"/>
      <w:lang w:val="en-US" w:eastAsia="zh-CN" w:bidi="ar-SA"/>
    </w:rPr>
  </w:style>
  <w:style w:type="paragraph" w:customStyle="1" w:styleId="xl79">
    <w:name w:val="xl79"/>
    <w:basedOn w:val="Normal"/>
    <w:next w:val="toc87"/>
    <w:qFormat/>
    <w:pPr>
      <w:widowControl/>
      <w:shd w:val="clear" w:color="000000" w:fill="FFFFFF"/>
      <w:spacing w:before="280" w:after="280"/>
    </w:pPr>
    <w:rPr>
      <w:rFonts w:ascii="宋体" w:hAnsi="Calibri"/>
      <w:b/>
      <w:kern w:val="0"/>
      <w:sz w:val="20"/>
      <w:szCs w:val="20"/>
    </w:rPr>
  </w:style>
  <w:style w:type="paragraph" w:customStyle="1" w:styleId="toc87">
    <w:name w:val="toc 87"/>
    <w:next w:val="Normal"/>
    <w:qFormat/>
    <w:pPr>
      <w:wordWrap w:val="0"/>
      <w:ind w:left="2975"/>
      <w:jc w:val="both"/>
    </w:pPr>
    <w:rPr>
      <w:rFonts w:ascii="Calibri" w:eastAsia="宋体" w:hAnsi="Calibri" w:cs="Times New Roman"/>
      <w:sz w:val="21"/>
      <w:lang w:val="en-US" w:eastAsia="zh-CN" w:bidi="ar-SA"/>
    </w:rPr>
  </w:style>
  <w:style w:type="paragraph" w:customStyle="1" w:styleId="toc11">
    <w:name w:val="toc 11"/>
    <w:next w:val="Normal"/>
    <w:qFormat/>
    <w:pPr>
      <w:wordWrap w:val="0"/>
      <w:jc w:val="both"/>
    </w:pPr>
    <w:rPr>
      <w:rFonts w:ascii="Calibri" w:eastAsia="宋体" w:hAnsi="Calibri" w:cs="Times New Roman"/>
      <w:sz w:val="21"/>
      <w:lang w:val="en-US" w:eastAsia="zh-CN" w:bidi="ar-SA"/>
    </w:rPr>
  </w:style>
  <w:style w:type="paragraph" w:customStyle="1" w:styleId="toc410">
    <w:name w:val="toc 410"/>
    <w:next w:val="Normal"/>
    <w:qFormat/>
    <w:pPr>
      <w:wordWrap w:val="0"/>
      <w:ind w:left="1275"/>
      <w:jc w:val="both"/>
    </w:pPr>
    <w:rPr>
      <w:rFonts w:ascii="Calibri" w:eastAsia="宋体" w:hAnsi="Calibri" w:cs="Times New Roman"/>
      <w:sz w:val="21"/>
      <w:lang w:val="en-US" w:eastAsia="zh-CN" w:bidi="ar-SA"/>
    </w:rPr>
  </w:style>
  <w:style w:type="paragraph" w:customStyle="1" w:styleId="toc611">
    <w:name w:val="toc 611"/>
    <w:next w:val="Normal"/>
    <w:qFormat/>
    <w:pPr>
      <w:wordWrap w:val="0"/>
      <w:ind w:left="2125"/>
      <w:jc w:val="both"/>
    </w:pPr>
    <w:rPr>
      <w:rFonts w:ascii="Calibri" w:eastAsia="宋体" w:hAnsi="Calibri" w:cs="Times New Roman"/>
      <w:sz w:val="21"/>
      <w:lang w:val="en-US" w:eastAsia="zh-CN" w:bidi="ar-SA"/>
    </w:rPr>
  </w:style>
  <w:style w:type="paragraph" w:customStyle="1" w:styleId="xl112">
    <w:name w:val="xl112"/>
    <w:basedOn w:val="Normal"/>
    <w:next w:val="toc611"/>
    <w:qFormat/>
    <w:pPr>
      <w:widowControl/>
      <w:shd w:val="clear" w:color="000000" w:fill="FFFFFF"/>
      <w:spacing w:before="280" w:after="280"/>
      <w:jc w:val="center"/>
    </w:pPr>
    <w:rPr>
      <w:rFonts w:ascii="宋体" w:hAnsi="Calibri"/>
      <w:b/>
      <w:kern w:val="0"/>
      <w:sz w:val="20"/>
      <w:szCs w:val="20"/>
    </w:rPr>
  </w:style>
  <w:style w:type="paragraph" w:customStyle="1" w:styleId="toc514">
    <w:name w:val="toc 514"/>
    <w:next w:val="Normal"/>
    <w:qFormat/>
    <w:pPr>
      <w:wordWrap w:val="0"/>
      <w:ind w:left="1700"/>
      <w:jc w:val="both"/>
    </w:pPr>
    <w:rPr>
      <w:rFonts w:ascii="Calibri" w:eastAsia="宋体" w:hAnsi="Calibri" w:cs="Times New Roman"/>
      <w:sz w:val="21"/>
      <w:lang w:val="en-US" w:eastAsia="zh-CN" w:bidi="ar-SA"/>
    </w:rPr>
  </w:style>
  <w:style w:type="paragraph" w:customStyle="1" w:styleId="toc44">
    <w:name w:val="toc 44"/>
    <w:next w:val="Normal"/>
    <w:qFormat/>
    <w:pPr>
      <w:wordWrap w:val="0"/>
      <w:ind w:left="1275"/>
      <w:jc w:val="both"/>
    </w:pPr>
    <w:rPr>
      <w:rFonts w:ascii="Calibri" w:eastAsia="宋体" w:hAnsi="Calibri" w:cs="Times New Roman"/>
      <w:sz w:val="21"/>
      <w:lang w:val="en-US" w:eastAsia="zh-CN" w:bidi="ar-SA"/>
    </w:rPr>
  </w:style>
  <w:style w:type="paragraph" w:customStyle="1" w:styleId="toc412">
    <w:name w:val="toc 412"/>
    <w:next w:val="Normal"/>
    <w:qFormat/>
    <w:pPr>
      <w:wordWrap w:val="0"/>
      <w:ind w:left="1275"/>
      <w:jc w:val="both"/>
    </w:pPr>
    <w:rPr>
      <w:rFonts w:ascii="Calibri" w:eastAsia="宋体" w:hAnsi="Calibri" w:cs="Times New Roman"/>
      <w:sz w:val="21"/>
      <w:lang w:val="en-US" w:eastAsia="zh-CN" w:bidi="ar-SA"/>
    </w:rPr>
  </w:style>
  <w:style w:type="paragraph" w:customStyle="1" w:styleId="xl74">
    <w:name w:val="xl74"/>
    <w:basedOn w:val="Normal"/>
    <w:next w:val="toc57"/>
    <w:qFormat/>
    <w:pPr>
      <w:widowControl/>
      <w:shd w:val="clear" w:color="000000" w:fill="FFFFFF"/>
      <w:spacing w:before="280" w:after="280"/>
    </w:pPr>
    <w:rPr>
      <w:rFonts w:ascii="宋体" w:hAnsi="Calibri"/>
      <w:kern w:val="0"/>
      <w:sz w:val="20"/>
      <w:szCs w:val="20"/>
    </w:rPr>
  </w:style>
  <w:style w:type="paragraph" w:customStyle="1" w:styleId="toc57">
    <w:name w:val="toc 57"/>
    <w:next w:val="Normal"/>
    <w:qFormat/>
    <w:pPr>
      <w:wordWrap w:val="0"/>
      <w:ind w:left="1700"/>
      <w:jc w:val="both"/>
    </w:pPr>
    <w:rPr>
      <w:rFonts w:ascii="Calibri" w:eastAsia="宋体" w:hAnsi="Calibri" w:cs="Times New Roman"/>
      <w:sz w:val="21"/>
      <w:lang w:val="en-US" w:eastAsia="zh-CN" w:bidi="ar-SA"/>
    </w:rPr>
  </w:style>
  <w:style w:type="paragraph" w:customStyle="1" w:styleId="toc912">
    <w:name w:val="toc 912"/>
    <w:next w:val="Normal"/>
    <w:qFormat/>
    <w:pPr>
      <w:wordWrap w:val="0"/>
      <w:ind w:left="3400"/>
      <w:jc w:val="both"/>
    </w:pPr>
    <w:rPr>
      <w:rFonts w:ascii="Calibri" w:eastAsia="宋体" w:hAnsi="Calibri" w:cs="Times New Roman"/>
      <w:sz w:val="21"/>
      <w:lang w:val="en-US" w:eastAsia="zh-CN" w:bidi="ar-SA"/>
    </w:rPr>
  </w:style>
  <w:style w:type="paragraph" w:customStyle="1" w:styleId="toc91">
    <w:name w:val="toc 91"/>
    <w:next w:val="Normal"/>
    <w:qFormat/>
    <w:pPr>
      <w:wordWrap w:val="0"/>
      <w:ind w:left="3400"/>
      <w:jc w:val="both"/>
    </w:pPr>
    <w:rPr>
      <w:rFonts w:ascii="Calibri" w:eastAsia="宋体" w:hAnsi="Calibri" w:cs="Times New Roman"/>
      <w:sz w:val="21"/>
      <w:lang w:val="en-US" w:eastAsia="zh-CN" w:bidi="ar-SA"/>
    </w:rPr>
  </w:style>
  <w:style w:type="paragraph" w:customStyle="1" w:styleId="toc38">
    <w:name w:val="toc 38"/>
    <w:next w:val="Normal"/>
    <w:qFormat/>
    <w:pPr>
      <w:wordWrap w:val="0"/>
      <w:ind w:left="850"/>
      <w:jc w:val="both"/>
    </w:pPr>
    <w:rPr>
      <w:rFonts w:ascii="Calibri" w:eastAsia="宋体" w:hAnsi="Calibri" w:cs="Times New Roman"/>
      <w:sz w:val="21"/>
      <w:lang w:val="en-US" w:eastAsia="zh-CN" w:bidi="ar-SA"/>
    </w:rPr>
  </w:style>
  <w:style w:type="paragraph" w:customStyle="1" w:styleId="toc95">
    <w:name w:val="toc 95"/>
    <w:next w:val="Normal"/>
    <w:qFormat/>
    <w:pPr>
      <w:wordWrap w:val="0"/>
      <w:ind w:left="3400"/>
      <w:jc w:val="both"/>
    </w:pPr>
    <w:rPr>
      <w:rFonts w:ascii="Calibri" w:eastAsia="宋体" w:hAnsi="Calibri" w:cs="Times New Roman"/>
      <w:sz w:val="21"/>
      <w:lang w:val="en-US" w:eastAsia="zh-CN" w:bidi="ar-SA"/>
    </w:rPr>
  </w:style>
  <w:style w:type="paragraph" w:customStyle="1" w:styleId="50">
    <w:name w:val="列出段落5"/>
    <w:basedOn w:val="Normal"/>
    <w:next w:val="toc312"/>
    <w:qFormat/>
    <w:pPr>
      <w:ind w:firstLine="420"/>
    </w:pPr>
    <w:rPr>
      <w:rFonts w:hAnsi="Calibri"/>
      <w:kern w:val="0"/>
      <w:szCs w:val="20"/>
    </w:rPr>
  </w:style>
  <w:style w:type="paragraph" w:customStyle="1" w:styleId="toc312">
    <w:name w:val="toc 312"/>
    <w:next w:val="Normal"/>
    <w:qFormat/>
    <w:pPr>
      <w:wordWrap w:val="0"/>
      <w:ind w:left="850"/>
      <w:jc w:val="both"/>
    </w:pPr>
    <w:rPr>
      <w:rFonts w:ascii="Calibri" w:eastAsia="宋体" w:hAnsi="Calibri" w:cs="Times New Roman"/>
      <w:sz w:val="21"/>
      <w:lang w:val="en-US" w:eastAsia="zh-CN" w:bidi="ar-SA"/>
    </w:rPr>
  </w:style>
  <w:style w:type="paragraph" w:customStyle="1" w:styleId="xl66">
    <w:name w:val="xl66"/>
    <w:basedOn w:val="Normal"/>
    <w:next w:val="toc56"/>
    <w:qFormat/>
    <w:pPr>
      <w:widowControl/>
      <w:shd w:val="clear" w:color="000000" w:fill="FFFFFF"/>
      <w:spacing w:before="280" w:after="280"/>
    </w:pPr>
    <w:rPr>
      <w:rFonts w:ascii="宋体" w:hAnsi="Calibri"/>
      <w:kern w:val="0"/>
      <w:sz w:val="20"/>
      <w:szCs w:val="20"/>
    </w:rPr>
  </w:style>
  <w:style w:type="paragraph" w:customStyle="1" w:styleId="toc56">
    <w:name w:val="toc 56"/>
    <w:next w:val="Normal"/>
    <w:qFormat/>
    <w:pPr>
      <w:wordWrap w:val="0"/>
      <w:ind w:left="1700"/>
      <w:jc w:val="both"/>
    </w:pPr>
    <w:rPr>
      <w:rFonts w:ascii="Calibri" w:eastAsia="宋体" w:hAnsi="Calibri" w:cs="Times New Roman"/>
      <w:sz w:val="21"/>
      <w:lang w:val="en-US" w:eastAsia="zh-CN" w:bidi="ar-SA"/>
    </w:rPr>
  </w:style>
  <w:style w:type="paragraph" w:customStyle="1" w:styleId="TOCHeading3">
    <w:name w:val="TOC Heading3"/>
    <w:next w:val="Normal"/>
    <w:qFormat/>
    <w:pPr>
      <w:wordWrap w:val="0"/>
    </w:pPr>
    <w:rPr>
      <w:rFonts w:ascii="Calibri" w:eastAsia="宋体" w:hAnsi="Calibri" w:cs="Times New Roman"/>
      <w:sz w:val="32"/>
      <w:lang w:val="en-US" w:eastAsia="zh-CN" w:bidi="ar-SA"/>
    </w:rPr>
  </w:style>
  <w:style w:type="paragraph" w:customStyle="1" w:styleId="toc65">
    <w:name w:val="toc 65"/>
    <w:next w:val="Normal"/>
    <w:qFormat/>
    <w:pPr>
      <w:wordWrap w:val="0"/>
      <w:ind w:left="2125"/>
      <w:jc w:val="both"/>
    </w:pPr>
    <w:rPr>
      <w:rFonts w:ascii="Calibri" w:eastAsia="宋体" w:hAnsi="Calibri" w:cs="Times New Roman"/>
      <w:sz w:val="21"/>
      <w:lang w:val="en-US" w:eastAsia="zh-CN" w:bidi="ar-SA"/>
    </w:rPr>
  </w:style>
  <w:style w:type="paragraph" w:customStyle="1" w:styleId="toc25">
    <w:name w:val="toc 25"/>
    <w:next w:val="Normal"/>
    <w:qFormat/>
    <w:pPr>
      <w:wordWrap w:val="0"/>
      <w:ind w:left="425"/>
      <w:jc w:val="both"/>
    </w:pPr>
    <w:rPr>
      <w:rFonts w:ascii="Calibri" w:eastAsia="宋体" w:hAnsi="Calibri" w:cs="Times New Roman"/>
      <w:sz w:val="21"/>
      <w:lang w:val="en-US" w:eastAsia="zh-CN" w:bidi="ar-SA"/>
    </w:rPr>
  </w:style>
  <w:style w:type="paragraph" w:customStyle="1" w:styleId="xl84">
    <w:name w:val="xl84"/>
    <w:basedOn w:val="Normal"/>
    <w:next w:val="toc99"/>
    <w:qFormat/>
    <w:pPr>
      <w:widowControl/>
      <w:shd w:val="clear" w:color="000000" w:fill="FFFFFF"/>
      <w:spacing w:before="280" w:after="280"/>
      <w:jc w:val="center"/>
    </w:pPr>
    <w:rPr>
      <w:rFonts w:ascii="宋体" w:hAnsi="Calibri"/>
      <w:kern w:val="0"/>
      <w:sz w:val="20"/>
      <w:szCs w:val="20"/>
    </w:rPr>
  </w:style>
  <w:style w:type="paragraph" w:customStyle="1" w:styleId="toc99">
    <w:name w:val="toc 99"/>
    <w:next w:val="Normal"/>
    <w:qFormat/>
    <w:pPr>
      <w:wordWrap w:val="0"/>
      <w:ind w:left="3400"/>
      <w:jc w:val="both"/>
    </w:pPr>
    <w:rPr>
      <w:rFonts w:ascii="Calibri" w:eastAsia="宋体" w:hAnsi="Calibri" w:cs="Times New Roman"/>
      <w:sz w:val="21"/>
      <w:lang w:val="en-US" w:eastAsia="zh-CN" w:bidi="ar-SA"/>
    </w:rPr>
  </w:style>
  <w:style w:type="paragraph" w:customStyle="1" w:styleId="xl81">
    <w:name w:val="xl81"/>
    <w:basedOn w:val="Normal"/>
    <w:next w:val="toc59"/>
    <w:qFormat/>
    <w:pPr>
      <w:widowControl/>
      <w:shd w:val="clear" w:color="000000" w:fill="FFFFFF"/>
      <w:spacing w:before="280" w:after="280"/>
    </w:pPr>
    <w:rPr>
      <w:rFonts w:ascii="宋体" w:hAnsi="Calibri"/>
      <w:kern w:val="0"/>
      <w:sz w:val="20"/>
      <w:szCs w:val="20"/>
    </w:rPr>
  </w:style>
  <w:style w:type="paragraph" w:customStyle="1" w:styleId="toc59">
    <w:name w:val="toc 59"/>
    <w:next w:val="Normal"/>
    <w:qFormat/>
    <w:pPr>
      <w:wordWrap w:val="0"/>
      <w:ind w:left="1700"/>
      <w:jc w:val="both"/>
    </w:pPr>
    <w:rPr>
      <w:rFonts w:ascii="Calibri" w:eastAsia="宋体" w:hAnsi="Calibri" w:cs="Times New Roman"/>
      <w:sz w:val="21"/>
      <w:lang w:val="en-US" w:eastAsia="zh-CN" w:bidi="ar-SA"/>
    </w:rPr>
  </w:style>
  <w:style w:type="paragraph" w:customStyle="1" w:styleId="110">
    <w:name w:val="目录 11"/>
    <w:next w:val="Normal"/>
    <w:qFormat/>
    <w:pPr>
      <w:wordWrap w:val="0"/>
      <w:jc w:val="both"/>
    </w:pPr>
    <w:rPr>
      <w:rFonts w:ascii="Calibri" w:eastAsia="宋体" w:hAnsi="Calibri" w:cs="Times New Roman"/>
      <w:sz w:val="21"/>
      <w:lang w:val="en-US" w:eastAsia="zh-CN" w:bidi="ar-SA"/>
    </w:rPr>
  </w:style>
  <w:style w:type="paragraph" w:customStyle="1" w:styleId="toc513">
    <w:name w:val="toc 513"/>
    <w:next w:val="Normal"/>
    <w:qFormat/>
    <w:pPr>
      <w:wordWrap w:val="0"/>
      <w:ind w:left="1700"/>
      <w:jc w:val="both"/>
    </w:pPr>
    <w:rPr>
      <w:rFonts w:ascii="Calibri" w:eastAsia="宋体" w:hAnsi="Calibri" w:cs="Times New Roman"/>
      <w:sz w:val="21"/>
      <w:lang w:val="en-US" w:eastAsia="zh-CN" w:bidi="ar-SA"/>
    </w:rPr>
  </w:style>
  <w:style w:type="paragraph" w:customStyle="1" w:styleId="TOCHeading12">
    <w:name w:val="TOC Heading12"/>
    <w:next w:val="Normal"/>
    <w:qFormat/>
    <w:pPr>
      <w:wordWrap w:val="0"/>
    </w:pPr>
    <w:rPr>
      <w:rFonts w:ascii="Calibri" w:eastAsia="宋体" w:hAnsi="Calibri" w:cs="Times New Roman"/>
      <w:sz w:val="32"/>
      <w:lang w:val="en-US" w:eastAsia="zh-CN" w:bidi="ar-SA"/>
    </w:rPr>
  </w:style>
  <w:style w:type="paragraph" w:customStyle="1" w:styleId="TOCHeading8">
    <w:name w:val="TOC Heading8"/>
    <w:next w:val="Normal"/>
    <w:qFormat/>
    <w:pPr>
      <w:wordWrap w:val="0"/>
    </w:pPr>
    <w:rPr>
      <w:rFonts w:ascii="Calibri" w:eastAsia="宋体" w:hAnsi="Calibri" w:cs="Times New Roman"/>
      <w:sz w:val="32"/>
      <w:lang w:val="en-US" w:eastAsia="zh-CN" w:bidi="ar-SA"/>
    </w:rPr>
  </w:style>
  <w:style w:type="paragraph" w:customStyle="1" w:styleId="toc711">
    <w:name w:val="toc 711"/>
    <w:next w:val="Normal"/>
    <w:qFormat/>
    <w:pPr>
      <w:wordWrap w:val="0"/>
      <w:ind w:left="2550"/>
      <w:jc w:val="both"/>
    </w:pPr>
    <w:rPr>
      <w:rFonts w:ascii="Calibri" w:eastAsia="宋体" w:hAnsi="Calibri" w:cs="Times New Roman"/>
      <w:sz w:val="21"/>
      <w:lang w:val="en-US" w:eastAsia="zh-CN" w:bidi="ar-SA"/>
    </w:rPr>
  </w:style>
  <w:style w:type="paragraph" w:customStyle="1" w:styleId="toc212">
    <w:name w:val="toc 212"/>
    <w:next w:val="Normal"/>
    <w:qFormat/>
    <w:pPr>
      <w:wordWrap w:val="0"/>
      <w:ind w:left="425"/>
      <w:jc w:val="both"/>
    </w:pPr>
    <w:rPr>
      <w:rFonts w:ascii="Calibri" w:eastAsia="宋体" w:hAnsi="Calibri" w:cs="Times New Roman"/>
      <w:sz w:val="21"/>
      <w:lang w:val="en-US" w:eastAsia="zh-CN" w:bidi="ar-SA"/>
    </w:rPr>
  </w:style>
  <w:style w:type="paragraph" w:customStyle="1" w:styleId="21">
    <w:name w:val="目录 21"/>
    <w:next w:val="Normal"/>
    <w:qFormat/>
    <w:pPr>
      <w:wordWrap w:val="0"/>
      <w:ind w:left="425"/>
      <w:jc w:val="both"/>
    </w:pPr>
    <w:rPr>
      <w:rFonts w:ascii="Calibri" w:eastAsia="宋体" w:hAnsi="Calibri" w:cs="Times New Roman"/>
      <w:sz w:val="21"/>
      <w:lang w:val="en-US" w:eastAsia="zh-CN" w:bidi="ar-SA"/>
    </w:rPr>
  </w:style>
  <w:style w:type="paragraph" w:customStyle="1" w:styleId="toc45">
    <w:name w:val="toc 45"/>
    <w:next w:val="Normal"/>
    <w:qFormat/>
    <w:pPr>
      <w:wordWrap w:val="0"/>
      <w:ind w:left="1275"/>
      <w:jc w:val="both"/>
    </w:pPr>
    <w:rPr>
      <w:rFonts w:ascii="Calibri" w:eastAsia="宋体" w:hAnsi="Calibri" w:cs="Times New Roman"/>
      <w:sz w:val="21"/>
      <w:lang w:val="en-US" w:eastAsia="zh-CN" w:bidi="ar-SA"/>
    </w:rPr>
  </w:style>
  <w:style w:type="paragraph" w:customStyle="1" w:styleId="xl116">
    <w:name w:val="xl116"/>
    <w:basedOn w:val="Normal"/>
    <w:next w:val="toc78"/>
    <w:qFormat/>
    <w:pPr>
      <w:widowControl/>
      <w:shd w:val="clear" w:color="000000" w:fill="FFFFFF"/>
      <w:spacing w:before="280" w:after="280"/>
      <w:jc w:val="center"/>
    </w:pPr>
    <w:rPr>
      <w:rFonts w:ascii="Arial Narrow" w:hAnsi="Calibri"/>
      <w:kern w:val="0"/>
      <w:sz w:val="20"/>
      <w:szCs w:val="20"/>
    </w:rPr>
  </w:style>
  <w:style w:type="paragraph" w:customStyle="1" w:styleId="toc78">
    <w:name w:val="toc 78"/>
    <w:next w:val="Normal"/>
    <w:qFormat/>
    <w:pPr>
      <w:wordWrap w:val="0"/>
      <w:ind w:left="2550"/>
      <w:jc w:val="both"/>
    </w:pPr>
    <w:rPr>
      <w:rFonts w:ascii="Calibri" w:eastAsia="宋体" w:hAnsi="Calibri" w:cs="Times New Roman"/>
      <w:sz w:val="21"/>
      <w:lang w:val="en-US" w:eastAsia="zh-CN" w:bidi="ar-SA"/>
    </w:rPr>
  </w:style>
  <w:style w:type="paragraph" w:customStyle="1" w:styleId="font8">
    <w:name w:val="font8"/>
    <w:basedOn w:val="Normal"/>
    <w:next w:val="TOCHeading11"/>
    <w:qFormat/>
    <w:pPr>
      <w:widowControl/>
      <w:spacing w:before="280" w:after="280"/>
    </w:pPr>
    <w:rPr>
      <w:rFonts w:ascii="Arial" w:hAnsi="Calibri"/>
      <w:kern w:val="0"/>
      <w:sz w:val="20"/>
      <w:szCs w:val="20"/>
    </w:rPr>
  </w:style>
  <w:style w:type="paragraph" w:customStyle="1" w:styleId="TOCHeading11">
    <w:name w:val="TOC Heading11"/>
    <w:next w:val="Normal"/>
    <w:qFormat/>
    <w:pPr>
      <w:wordWrap w:val="0"/>
    </w:pPr>
    <w:rPr>
      <w:rFonts w:ascii="Calibri" w:eastAsia="宋体" w:hAnsi="Calibri" w:cs="Times New Roman"/>
      <w:sz w:val="32"/>
      <w:lang w:val="en-US" w:eastAsia="zh-CN" w:bidi="ar-SA"/>
    </w:rPr>
  </w:style>
  <w:style w:type="paragraph" w:customStyle="1" w:styleId="xl69">
    <w:name w:val="xl69"/>
    <w:basedOn w:val="Normal"/>
    <w:next w:val="toc48"/>
    <w:qFormat/>
    <w:pPr>
      <w:widowControl/>
      <w:shd w:val="clear" w:color="000000" w:fill="FFFFFF"/>
      <w:spacing w:before="280" w:after="280"/>
    </w:pPr>
    <w:rPr>
      <w:rFonts w:ascii="宋体" w:hAnsi="Calibri"/>
      <w:b/>
      <w:kern w:val="0"/>
      <w:sz w:val="20"/>
      <w:szCs w:val="20"/>
    </w:rPr>
  </w:style>
  <w:style w:type="paragraph" w:customStyle="1" w:styleId="toc48">
    <w:name w:val="toc 48"/>
    <w:next w:val="Normal"/>
    <w:qFormat/>
    <w:pPr>
      <w:wordWrap w:val="0"/>
      <w:ind w:left="1275"/>
      <w:jc w:val="both"/>
    </w:pPr>
    <w:rPr>
      <w:rFonts w:ascii="Calibri" w:eastAsia="宋体" w:hAnsi="Calibri" w:cs="Times New Roman"/>
      <w:sz w:val="21"/>
      <w:lang w:val="en-US" w:eastAsia="zh-CN" w:bidi="ar-SA"/>
    </w:rPr>
  </w:style>
  <w:style w:type="paragraph" w:customStyle="1" w:styleId="toc813">
    <w:name w:val="toc 813"/>
    <w:next w:val="Normal"/>
    <w:qFormat/>
    <w:pPr>
      <w:wordWrap w:val="0"/>
      <w:ind w:left="2975"/>
      <w:jc w:val="both"/>
    </w:pPr>
    <w:rPr>
      <w:rFonts w:ascii="Calibri" w:eastAsia="宋体" w:hAnsi="Calibri" w:cs="Times New Roman"/>
      <w:sz w:val="21"/>
      <w:lang w:val="en-US" w:eastAsia="zh-CN" w:bidi="ar-SA"/>
    </w:rPr>
  </w:style>
  <w:style w:type="paragraph" w:customStyle="1" w:styleId="91">
    <w:name w:val="目录 91"/>
    <w:next w:val="Normal"/>
    <w:qFormat/>
    <w:pPr>
      <w:wordWrap w:val="0"/>
      <w:ind w:left="3400"/>
      <w:jc w:val="both"/>
    </w:pPr>
    <w:rPr>
      <w:rFonts w:ascii="Calibri" w:eastAsia="宋体" w:hAnsi="Calibri" w:cs="Times New Roman"/>
      <w:sz w:val="21"/>
      <w:lang w:val="en-US" w:eastAsia="zh-CN" w:bidi="ar-SA"/>
    </w:rPr>
  </w:style>
  <w:style w:type="paragraph" w:customStyle="1" w:styleId="30">
    <w:name w:val="列出段落3"/>
    <w:basedOn w:val="Normal"/>
    <w:next w:val="toc213"/>
    <w:qFormat/>
    <w:pPr>
      <w:ind w:firstLine="420"/>
    </w:pPr>
    <w:rPr>
      <w:rFonts w:hAnsi="Calibri"/>
      <w:kern w:val="0"/>
      <w:szCs w:val="20"/>
    </w:rPr>
  </w:style>
  <w:style w:type="paragraph" w:customStyle="1" w:styleId="toc213">
    <w:name w:val="toc 213"/>
    <w:next w:val="Normal"/>
    <w:qFormat/>
    <w:pPr>
      <w:wordWrap w:val="0"/>
      <w:ind w:left="425"/>
      <w:jc w:val="both"/>
    </w:pPr>
    <w:rPr>
      <w:rFonts w:ascii="Calibri" w:eastAsia="宋体" w:hAnsi="Calibri" w:cs="Times New Roman"/>
      <w:sz w:val="21"/>
      <w:lang w:val="en-US" w:eastAsia="zh-CN" w:bidi="ar-SA"/>
    </w:rPr>
  </w:style>
  <w:style w:type="paragraph" w:customStyle="1" w:styleId="TOC10">
    <w:name w:val="TOC 标题1"/>
    <w:next w:val="Normal"/>
    <w:qFormat/>
    <w:pPr>
      <w:wordWrap w:val="0"/>
    </w:pPr>
    <w:rPr>
      <w:rFonts w:ascii="Calibri" w:eastAsia="宋体" w:hAnsi="Calibri" w:cs="Times New Roman"/>
      <w:sz w:val="32"/>
      <w:lang w:val="en-US" w:eastAsia="zh-CN" w:bidi="ar-SA"/>
    </w:rPr>
  </w:style>
  <w:style w:type="paragraph" w:customStyle="1" w:styleId="TOCHeading5">
    <w:name w:val="TOC Heading5"/>
    <w:next w:val="Normal"/>
    <w:qFormat/>
    <w:pPr>
      <w:wordWrap w:val="0"/>
    </w:pPr>
    <w:rPr>
      <w:rFonts w:ascii="Calibri" w:eastAsia="宋体" w:hAnsi="Calibri" w:cs="Times New Roman"/>
      <w:sz w:val="32"/>
      <w:lang w:val="en-US" w:eastAsia="zh-CN" w:bidi="ar-SA"/>
    </w:rPr>
  </w:style>
  <w:style w:type="paragraph" w:customStyle="1" w:styleId="toc313">
    <w:name w:val="toc 313"/>
    <w:next w:val="Normal"/>
    <w:qFormat/>
    <w:pPr>
      <w:wordWrap w:val="0"/>
      <w:ind w:left="850"/>
      <w:jc w:val="both"/>
    </w:pPr>
    <w:rPr>
      <w:rFonts w:ascii="Calibri" w:eastAsia="宋体" w:hAnsi="Calibri" w:cs="Times New Roman"/>
      <w:sz w:val="21"/>
      <w:lang w:val="en-US" w:eastAsia="zh-CN" w:bidi="ar-SA"/>
    </w:rPr>
  </w:style>
  <w:style w:type="paragraph" w:customStyle="1" w:styleId="toc716">
    <w:name w:val="toc 716"/>
    <w:next w:val="Normal"/>
    <w:qFormat/>
    <w:pPr>
      <w:wordWrap w:val="0"/>
      <w:ind w:left="2550"/>
      <w:jc w:val="both"/>
    </w:pPr>
    <w:rPr>
      <w:rFonts w:ascii="Calibri" w:eastAsia="宋体" w:hAnsi="Calibri" w:cs="Times New Roman"/>
      <w:sz w:val="21"/>
      <w:lang w:val="en-US" w:eastAsia="zh-CN" w:bidi="ar-SA"/>
    </w:rPr>
  </w:style>
  <w:style w:type="paragraph" w:customStyle="1" w:styleId="xl115">
    <w:name w:val="xl115"/>
    <w:basedOn w:val="Normal"/>
    <w:next w:val="toc712"/>
    <w:qFormat/>
    <w:pPr>
      <w:widowControl/>
      <w:shd w:val="clear" w:color="000000" w:fill="FFFFFF"/>
      <w:spacing w:before="280" w:after="280"/>
      <w:jc w:val="center"/>
    </w:pPr>
    <w:rPr>
      <w:rFonts w:ascii="宋体" w:hAnsi="Calibri"/>
      <w:b/>
      <w:kern w:val="0"/>
      <w:sz w:val="20"/>
      <w:szCs w:val="20"/>
    </w:rPr>
  </w:style>
  <w:style w:type="paragraph" w:customStyle="1" w:styleId="toc712">
    <w:name w:val="toc 712"/>
    <w:next w:val="Normal"/>
    <w:qFormat/>
    <w:pPr>
      <w:wordWrap w:val="0"/>
      <w:ind w:left="2550"/>
      <w:jc w:val="both"/>
    </w:pPr>
    <w:rPr>
      <w:rFonts w:ascii="Calibri" w:eastAsia="宋体" w:hAnsi="Calibri" w:cs="Times New Roman"/>
      <w:sz w:val="21"/>
      <w:lang w:val="en-US" w:eastAsia="zh-CN" w:bidi="ar-SA"/>
    </w:rPr>
  </w:style>
  <w:style w:type="paragraph" w:customStyle="1" w:styleId="toc64">
    <w:name w:val="toc 64"/>
    <w:next w:val="Normal"/>
    <w:qFormat/>
    <w:pPr>
      <w:wordWrap w:val="0"/>
      <w:ind w:left="2125"/>
      <w:jc w:val="both"/>
    </w:pPr>
    <w:rPr>
      <w:rFonts w:ascii="Calibri" w:eastAsia="宋体" w:hAnsi="Calibri" w:cs="Times New Roman"/>
      <w:sz w:val="21"/>
      <w:lang w:val="en-US" w:eastAsia="zh-CN" w:bidi="ar-SA"/>
    </w:rPr>
  </w:style>
  <w:style w:type="paragraph" w:customStyle="1" w:styleId="toc24">
    <w:name w:val="toc 24"/>
    <w:next w:val="Normal"/>
    <w:qFormat/>
    <w:pPr>
      <w:wordWrap w:val="0"/>
      <w:ind w:left="425"/>
      <w:jc w:val="both"/>
    </w:pPr>
    <w:rPr>
      <w:rFonts w:ascii="Calibri" w:eastAsia="宋体" w:hAnsi="Calibri" w:cs="Times New Roman"/>
      <w:sz w:val="21"/>
      <w:lang w:val="en-US" w:eastAsia="zh-CN" w:bidi="ar-SA"/>
    </w:rPr>
  </w:style>
  <w:style w:type="paragraph" w:customStyle="1" w:styleId="toc54">
    <w:name w:val="toc 54"/>
    <w:next w:val="Normal"/>
    <w:qFormat/>
    <w:pPr>
      <w:wordWrap w:val="0"/>
      <w:ind w:left="1700"/>
      <w:jc w:val="both"/>
    </w:pPr>
    <w:rPr>
      <w:rFonts w:ascii="Calibri" w:eastAsia="宋体" w:hAnsi="Calibri" w:cs="Times New Roman"/>
      <w:sz w:val="21"/>
      <w:lang w:val="en-US" w:eastAsia="zh-CN" w:bidi="ar-SA"/>
    </w:rPr>
  </w:style>
  <w:style w:type="paragraph" w:customStyle="1" w:styleId="xl93">
    <w:name w:val="xl93"/>
    <w:basedOn w:val="Normal"/>
    <w:next w:val="toc112"/>
    <w:qFormat/>
    <w:pPr>
      <w:widowControl/>
      <w:shd w:val="clear" w:color="000000" w:fill="FFFFFF"/>
      <w:spacing w:before="280" w:after="280"/>
      <w:jc w:val="center"/>
    </w:pPr>
    <w:rPr>
      <w:rFonts w:ascii="宋体" w:hAnsi="Calibri"/>
      <w:kern w:val="0"/>
      <w:sz w:val="20"/>
      <w:szCs w:val="20"/>
    </w:rPr>
  </w:style>
  <w:style w:type="paragraph" w:customStyle="1" w:styleId="toc112">
    <w:name w:val="toc 112"/>
    <w:next w:val="Normal"/>
    <w:qFormat/>
    <w:pPr>
      <w:wordWrap w:val="0"/>
      <w:jc w:val="both"/>
    </w:pPr>
    <w:rPr>
      <w:rFonts w:ascii="Calibri" w:eastAsia="宋体" w:hAnsi="Calibri" w:cs="Times New Roman"/>
      <w:sz w:val="21"/>
      <w:lang w:val="en-US" w:eastAsia="zh-CN" w:bidi="ar-SA"/>
    </w:rPr>
  </w:style>
  <w:style w:type="paragraph" w:customStyle="1" w:styleId="xl96">
    <w:name w:val="xl96"/>
    <w:basedOn w:val="Normal"/>
    <w:next w:val="toc514"/>
    <w:qFormat/>
    <w:pPr>
      <w:widowControl/>
      <w:shd w:val="clear" w:color="000000" w:fill="FFFFFF"/>
      <w:spacing w:before="280" w:after="280"/>
      <w:jc w:val="center"/>
    </w:pPr>
    <w:rPr>
      <w:rFonts w:ascii="宋体" w:hAnsi="Calibri"/>
      <w:kern w:val="0"/>
      <w:sz w:val="20"/>
      <w:szCs w:val="20"/>
    </w:rPr>
  </w:style>
  <w:style w:type="paragraph" w:customStyle="1" w:styleId="xl106">
    <w:name w:val="xl106"/>
    <w:basedOn w:val="Normal"/>
    <w:next w:val="toc813"/>
    <w:qFormat/>
    <w:pPr>
      <w:widowControl/>
      <w:shd w:val="clear" w:color="000000" w:fill="FFFFFF"/>
      <w:spacing w:before="280" w:after="280"/>
    </w:pPr>
    <w:rPr>
      <w:rFonts w:ascii="宋体" w:hAnsi="Calibri"/>
      <w:kern w:val="0"/>
      <w:sz w:val="20"/>
      <w:szCs w:val="20"/>
    </w:rPr>
  </w:style>
  <w:style w:type="paragraph" w:customStyle="1" w:styleId="toc35">
    <w:name w:val="toc 35"/>
    <w:next w:val="Normal"/>
    <w:qFormat/>
    <w:pPr>
      <w:wordWrap w:val="0"/>
      <w:ind w:left="850"/>
      <w:jc w:val="both"/>
    </w:pPr>
    <w:rPr>
      <w:rFonts w:ascii="Calibri" w:eastAsia="宋体" w:hAnsi="Calibri" w:cs="Times New Roman"/>
      <w:sz w:val="21"/>
      <w:lang w:val="en-US" w:eastAsia="zh-CN" w:bidi="ar-SA"/>
    </w:rPr>
  </w:style>
  <w:style w:type="paragraph" w:customStyle="1" w:styleId="TOCHeading14">
    <w:name w:val="TOC Heading14"/>
    <w:next w:val="Normal"/>
    <w:qFormat/>
    <w:pPr>
      <w:wordWrap w:val="0"/>
    </w:pPr>
    <w:rPr>
      <w:rFonts w:ascii="Calibri" w:eastAsia="宋体" w:hAnsi="Calibri" w:cs="Times New Roman"/>
      <w:sz w:val="32"/>
      <w:lang w:val="en-US" w:eastAsia="zh-CN" w:bidi="ar-SA"/>
    </w:rPr>
  </w:style>
  <w:style w:type="paragraph" w:customStyle="1" w:styleId="CharCharCharCharCharCharChar1">
    <w:name w:val="Char Char Char Char Char Char Char1"/>
    <w:basedOn w:val="Normal"/>
    <w:next w:val="toc67"/>
    <w:qFormat/>
    <w:pPr>
      <w:widowControl/>
      <w:spacing w:after="160" w:line="240" w:lineRule="exact"/>
    </w:pPr>
    <w:rPr>
      <w:rFonts w:hAnsi="Calibri"/>
      <w:kern w:val="0"/>
      <w:szCs w:val="20"/>
    </w:rPr>
  </w:style>
  <w:style w:type="paragraph" w:customStyle="1" w:styleId="toc67">
    <w:name w:val="toc 67"/>
    <w:next w:val="Normal"/>
    <w:qFormat/>
    <w:pPr>
      <w:wordWrap w:val="0"/>
      <w:ind w:left="2125"/>
      <w:jc w:val="both"/>
    </w:pPr>
    <w:rPr>
      <w:rFonts w:ascii="Calibri" w:eastAsia="宋体" w:hAnsi="Calibri" w:cs="Times New Roman"/>
      <w:sz w:val="21"/>
      <w:lang w:val="en-US" w:eastAsia="zh-CN" w:bidi="ar-SA"/>
    </w:rPr>
  </w:style>
  <w:style w:type="paragraph" w:customStyle="1" w:styleId="40">
    <w:name w:val="列出段落4"/>
    <w:basedOn w:val="Normal"/>
    <w:next w:val="TOCHeading9"/>
    <w:qFormat/>
    <w:pPr>
      <w:ind w:firstLine="420"/>
    </w:pPr>
    <w:rPr>
      <w:rFonts w:hAnsi="Calibri"/>
      <w:kern w:val="0"/>
      <w:szCs w:val="20"/>
    </w:rPr>
  </w:style>
  <w:style w:type="paragraph" w:customStyle="1" w:styleId="TOCHeading9">
    <w:name w:val="TOC Heading9"/>
    <w:next w:val="Normal"/>
    <w:qFormat/>
    <w:pPr>
      <w:wordWrap w:val="0"/>
    </w:pPr>
    <w:rPr>
      <w:rFonts w:ascii="Calibri" w:eastAsia="宋体" w:hAnsi="Calibri" w:cs="Times New Roman"/>
      <w:sz w:val="32"/>
      <w:lang w:val="en-US" w:eastAsia="zh-CN" w:bidi="ar-SA"/>
    </w:rPr>
  </w:style>
  <w:style w:type="paragraph" w:customStyle="1" w:styleId="xl71">
    <w:name w:val="xl71"/>
    <w:basedOn w:val="Normal"/>
    <w:next w:val="toc115"/>
    <w:qFormat/>
    <w:pPr>
      <w:widowControl/>
      <w:shd w:val="clear" w:color="000000" w:fill="FFFFFF"/>
      <w:spacing w:before="280" w:after="280"/>
    </w:pPr>
    <w:rPr>
      <w:rFonts w:ascii="宋体" w:hAnsi="Calibri"/>
      <w:kern w:val="0"/>
      <w:sz w:val="24"/>
      <w:szCs w:val="20"/>
    </w:rPr>
  </w:style>
  <w:style w:type="paragraph" w:customStyle="1" w:styleId="toc115">
    <w:name w:val="toc 115"/>
    <w:next w:val="Normal"/>
    <w:qFormat/>
    <w:pPr>
      <w:wordWrap w:val="0"/>
      <w:jc w:val="both"/>
    </w:pPr>
    <w:rPr>
      <w:rFonts w:ascii="Calibri" w:eastAsia="宋体" w:hAnsi="Calibri" w:cs="Times New Roman"/>
      <w:sz w:val="21"/>
      <w:lang w:val="en-US" w:eastAsia="zh-CN" w:bidi="ar-SA"/>
    </w:rPr>
  </w:style>
  <w:style w:type="paragraph" w:customStyle="1" w:styleId="toc51">
    <w:name w:val="toc 51"/>
    <w:next w:val="Normal"/>
    <w:qFormat/>
    <w:pPr>
      <w:wordWrap w:val="0"/>
      <w:ind w:left="1700"/>
      <w:jc w:val="both"/>
    </w:pPr>
    <w:rPr>
      <w:rFonts w:ascii="Calibri" w:eastAsia="宋体" w:hAnsi="Calibri" w:cs="Times New Roman"/>
      <w:sz w:val="21"/>
      <w:lang w:val="en-US" w:eastAsia="zh-CN" w:bidi="ar-SA"/>
    </w:rPr>
  </w:style>
  <w:style w:type="paragraph" w:customStyle="1" w:styleId="toc47">
    <w:name w:val="toc 47"/>
    <w:next w:val="Normal"/>
    <w:qFormat/>
    <w:pPr>
      <w:wordWrap w:val="0"/>
      <w:ind w:left="1275"/>
      <w:jc w:val="both"/>
    </w:pPr>
    <w:rPr>
      <w:rFonts w:ascii="Calibri" w:eastAsia="宋体" w:hAnsi="Calibri" w:cs="Times New Roman"/>
      <w:sz w:val="21"/>
      <w:lang w:val="en-US" w:eastAsia="zh-CN" w:bidi="ar-SA"/>
    </w:rPr>
  </w:style>
  <w:style w:type="paragraph" w:customStyle="1" w:styleId="xl108">
    <w:name w:val="xl108"/>
    <w:basedOn w:val="Normal"/>
    <w:next w:val="toc18"/>
    <w:qFormat/>
    <w:pPr>
      <w:widowControl/>
      <w:shd w:val="clear" w:color="000000" w:fill="FFFFFF"/>
      <w:spacing w:before="280" w:after="280"/>
    </w:pPr>
    <w:rPr>
      <w:rFonts w:ascii="宋体" w:hAnsi="Calibri"/>
      <w:kern w:val="0"/>
      <w:sz w:val="18"/>
      <w:szCs w:val="20"/>
    </w:rPr>
  </w:style>
  <w:style w:type="paragraph" w:customStyle="1" w:styleId="toc18">
    <w:name w:val="toc 18"/>
    <w:next w:val="Normal"/>
    <w:qFormat/>
    <w:pPr>
      <w:wordWrap w:val="0"/>
      <w:jc w:val="both"/>
    </w:pPr>
    <w:rPr>
      <w:rFonts w:ascii="Calibri" w:eastAsia="宋体" w:hAnsi="Calibri" w:cs="Times New Roman"/>
      <w:sz w:val="21"/>
      <w:lang w:val="en-US" w:eastAsia="zh-CN" w:bidi="ar-SA"/>
    </w:rPr>
  </w:style>
  <w:style w:type="paragraph" w:customStyle="1" w:styleId="TOCHeading7">
    <w:name w:val="TOC Heading7"/>
    <w:next w:val="Normal"/>
    <w:qFormat/>
    <w:pPr>
      <w:wordWrap w:val="0"/>
    </w:pPr>
    <w:rPr>
      <w:rFonts w:ascii="Calibri" w:eastAsia="宋体" w:hAnsi="Calibri" w:cs="Times New Roman"/>
      <w:sz w:val="32"/>
      <w:lang w:val="en-US" w:eastAsia="zh-CN" w:bidi="ar-SA"/>
    </w:rPr>
  </w:style>
  <w:style w:type="character" w:customStyle="1" w:styleId="Char21">
    <w:name w:val="副标题 Char"/>
    <w:basedOn w:val="DefaultParagraphFont"/>
    <w:link w:val="Subtitle"/>
    <w:qFormat/>
    <w:rPr>
      <w:rFonts w:ascii="Calibri" w:hAnsi="Calibri"/>
      <w:sz w:val="24"/>
    </w:rPr>
  </w:style>
  <w:style w:type="paragraph" w:customStyle="1" w:styleId="71">
    <w:name w:val="目录 71"/>
    <w:next w:val="Normal"/>
    <w:qFormat/>
    <w:pPr>
      <w:wordWrap w:val="0"/>
      <w:ind w:left="2550"/>
      <w:jc w:val="both"/>
    </w:pPr>
    <w:rPr>
      <w:rFonts w:ascii="Calibri" w:eastAsia="宋体" w:hAnsi="Calibri" w:cs="Times New Roman"/>
      <w:sz w:val="21"/>
      <w:lang w:val="en-US" w:eastAsia="zh-CN" w:bidi="ar-SA"/>
    </w:rPr>
  </w:style>
  <w:style w:type="paragraph" w:customStyle="1" w:styleId="toc413">
    <w:name w:val="toc 413"/>
    <w:next w:val="Normal"/>
    <w:qFormat/>
    <w:pPr>
      <w:wordWrap w:val="0"/>
      <w:ind w:left="1275"/>
      <w:jc w:val="both"/>
    </w:pPr>
    <w:rPr>
      <w:rFonts w:ascii="Calibri" w:eastAsia="宋体" w:hAnsi="Calibri" w:cs="Times New Roman"/>
      <w:sz w:val="21"/>
      <w:lang w:val="en-US" w:eastAsia="zh-CN" w:bidi="ar-SA"/>
    </w:rPr>
  </w:style>
  <w:style w:type="paragraph" w:customStyle="1" w:styleId="toc85">
    <w:name w:val="toc 85"/>
    <w:next w:val="Normal"/>
    <w:qFormat/>
    <w:pPr>
      <w:wordWrap w:val="0"/>
      <w:ind w:left="2975"/>
      <w:jc w:val="both"/>
    </w:pPr>
    <w:rPr>
      <w:rFonts w:ascii="Calibri" w:eastAsia="宋体" w:hAnsi="Calibri" w:cs="Times New Roman"/>
      <w:sz w:val="21"/>
      <w:lang w:val="en-US" w:eastAsia="zh-CN" w:bidi="ar-SA"/>
    </w:rPr>
  </w:style>
  <w:style w:type="paragraph" w:customStyle="1" w:styleId="60">
    <w:name w:val="列出段落6"/>
    <w:basedOn w:val="Normal"/>
    <w:next w:val="toc86"/>
    <w:qFormat/>
    <w:pPr>
      <w:ind w:firstLine="420"/>
    </w:pPr>
    <w:rPr>
      <w:rFonts w:hAnsi="Calibri"/>
      <w:kern w:val="0"/>
      <w:szCs w:val="20"/>
    </w:rPr>
  </w:style>
  <w:style w:type="paragraph" w:customStyle="1" w:styleId="toc86">
    <w:name w:val="toc 86"/>
    <w:next w:val="Normal"/>
    <w:qFormat/>
    <w:pPr>
      <w:wordWrap w:val="0"/>
      <w:ind w:left="2975"/>
      <w:jc w:val="both"/>
    </w:pPr>
    <w:rPr>
      <w:rFonts w:ascii="Calibri" w:eastAsia="宋体" w:hAnsi="Calibri" w:cs="Times New Roman"/>
      <w:sz w:val="21"/>
      <w:lang w:val="en-US" w:eastAsia="zh-CN" w:bidi="ar-SA"/>
    </w:rPr>
  </w:style>
  <w:style w:type="paragraph" w:customStyle="1" w:styleId="xl80">
    <w:name w:val="xl80"/>
    <w:basedOn w:val="Normal"/>
    <w:next w:val="toc49"/>
    <w:qFormat/>
    <w:pPr>
      <w:widowControl/>
      <w:shd w:val="clear" w:color="000000" w:fill="FFFFFF"/>
      <w:spacing w:before="280" w:after="280"/>
      <w:jc w:val="center"/>
    </w:pPr>
    <w:rPr>
      <w:rFonts w:ascii="宋体" w:hAnsi="Calibri"/>
      <w:b/>
      <w:kern w:val="0"/>
      <w:sz w:val="20"/>
      <w:szCs w:val="20"/>
    </w:rPr>
  </w:style>
  <w:style w:type="paragraph" w:customStyle="1" w:styleId="toc49">
    <w:name w:val="toc 49"/>
    <w:next w:val="Normal"/>
    <w:qFormat/>
    <w:pPr>
      <w:wordWrap w:val="0"/>
      <w:ind w:left="1275"/>
      <w:jc w:val="both"/>
    </w:pPr>
    <w:rPr>
      <w:rFonts w:ascii="Calibri" w:eastAsia="宋体" w:hAnsi="Calibri" w:cs="Times New Roman"/>
      <w:sz w:val="21"/>
      <w:lang w:val="en-US" w:eastAsia="zh-CN" w:bidi="ar-SA"/>
    </w:rPr>
  </w:style>
  <w:style w:type="paragraph" w:customStyle="1" w:styleId="CharCharCharChar1">
    <w:name w:val="Char Char Char Char1"/>
    <w:basedOn w:val="Normal"/>
    <w:next w:val="toc713"/>
    <w:qFormat/>
    <w:pPr>
      <w:widowControl/>
      <w:spacing w:after="160" w:line="240" w:lineRule="exact"/>
    </w:pPr>
    <w:rPr>
      <w:rFonts w:ascii="Verdana" w:eastAsia="仿宋_GB2312" w:hAnsi="Calibri"/>
      <w:kern w:val="0"/>
      <w:sz w:val="24"/>
      <w:szCs w:val="20"/>
    </w:rPr>
  </w:style>
  <w:style w:type="paragraph" w:customStyle="1" w:styleId="toc713">
    <w:name w:val="toc 713"/>
    <w:next w:val="Normal"/>
    <w:qFormat/>
    <w:pPr>
      <w:wordWrap w:val="0"/>
      <w:ind w:left="2550"/>
      <w:jc w:val="both"/>
    </w:pPr>
    <w:rPr>
      <w:rFonts w:ascii="Calibri" w:eastAsia="宋体" w:hAnsi="Calibri" w:cs="Times New Roman"/>
      <w:sz w:val="21"/>
      <w:lang w:val="en-US" w:eastAsia="zh-CN" w:bidi="ar-SA"/>
    </w:rPr>
  </w:style>
  <w:style w:type="paragraph" w:customStyle="1" w:styleId="xl102">
    <w:name w:val="xl102"/>
    <w:basedOn w:val="Normal"/>
    <w:next w:val="toc17"/>
    <w:qFormat/>
    <w:pPr>
      <w:widowControl/>
      <w:shd w:val="clear" w:color="000000" w:fill="FFFFFF"/>
      <w:spacing w:before="280" w:after="280"/>
      <w:jc w:val="right"/>
    </w:pPr>
    <w:rPr>
      <w:rFonts w:ascii="宋体" w:hAnsi="Calibri"/>
      <w:kern w:val="0"/>
      <w:sz w:val="20"/>
      <w:szCs w:val="20"/>
    </w:rPr>
  </w:style>
  <w:style w:type="paragraph" w:customStyle="1" w:styleId="toc17">
    <w:name w:val="toc 17"/>
    <w:next w:val="Normal"/>
    <w:qFormat/>
    <w:pPr>
      <w:wordWrap w:val="0"/>
      <w:jc w:val="both"/>
    </w:pPr>
    <w:rPr>
      <w:rFonts w:ascii="Calibri" w:eastAsia="宋体" w:hAnsi="Calibri" w:cs="Times New Roman"/>
      <w:sz w:val="21"/>
      <w:lang w:val="en-US" w:eastAsia="zh-CN" w:bidi="ar-SA"/>
    </w:rPr>
  </w:style>
  <w:style w:type="paragraph" w:customStyle="1" w:styleId="toc46">
    <w:name w:val="toc 46"/>
    <w:next w:val="Normal"/>
    <w:qFormat/>
    <w:pPr>
      <w:wordWrap w:val="0"/>
      <w:ind w:left="1275"/>
      <w:jc w:val="both"/>
    </w:pPr>
    <w:rPr>
      <w:rFonts w:ascii="Calibri" w:eastAsia="宋体" w:hAnsi="Calibri" w:cs="Times New Roman"/>
      <w:sz w:val="21"/>
      <w:lang w:val="en-US" w:eastAsia="zh-CN" w:bidi="ar-SA"/>
    </w:rPr>
  </w:style>
  <w:style w:type="paragraph" w:customStyle="1" w:styleId="toc311">
    <w:name w:val="toc 311"/>
    <w:next w:val="Normal"/>
    <w:qFormat/>
    <w:pPr>
      <w:wordWrap w:val="0"/>
      <w:ind w:left="850"/>
      <w:jc w:val="both"/>
    </w:pPr>
    <w:rPr>
      <w:rFonts w:ascii="Calibri" w:eastAsia="宋体" w:hAnsi="Calibri" w:cs="Times New Roman"/>
      <w:sz w:val="21"/>
      <w:lang w:val="en-US" w:eastAsia="zh-CN" w:bidi="ar-SA"/>
    </w:rPr>
  </w:style>
  <w:style w:type="paragraph" w:customStyle="1" w:styleId="xl65">
    <w:name w:val="xl65"/>
    <w:basedOn w:val="Normal"/>
    <w:next w:val="toc411"/>
    <w:qFormat/>
    <w:pPr>
      <w:widowControl/>
      <w:shd w:val="clear" w:color="000000" w:fill="FFFFFF"/>
      <w:spacing w:before="280" w:after="280"/>
      <w:jc w:val="center"/>
    </w:pPr>
    <w:rPr>
      <w:rFonts w:ascii="宋体" w:hAnsi="Calibri"/>
      <w:kern w:val="0"/>
      <w:sz w:val="20"/>
      <w:szCs w:val="20"/>
    </w:rPr>
  </w:style>
  <w:style w:type="paragraph" w:customStyle="1" w:styleId="toc94">
    <w:name w:val="toc 94"/>
    <w:next w:val="Normal"/>
    <w:qFormat/>
    <w:pPr>
      <w:wordWrap w:val="0"/>
      <w:ind w:left="3400"/>
      <w:jc w:val="both"/>
    </w:pPr>
    <w:rPr>
      <w:rFonts w:ascii="Calibri" w:eastAsia="宋体" w:hAnsi="Calibri" w:cs="Times New Roman"/>
      <w:sz w:val="21"/>
      <w:lang w:val="en-US" w:eastAsia="zh-CN" w:bidi="ar-SA"/>
    </w:rPr>
  </w:style>
  <w:style w:type="paragraph" w:customStyle="1" w:styleId="toc55">
    <w:name w:val="toc 55"/>
    <w:next w:val="Normal"/>
    <w:qFormat/>
    <w:pPr>
      <w:wordWrap w:val="0"/>
      <w:ind w:left="1700"/>
      <w:jc w:val="both"/>
    </w:pPr>
    <w:rPr>
      <w:rFonts w:ascii="Calibri" w:eastAsia="宋体" w:hAnsi="Calibri" w:cs="Times New Roman"/>
      <w:sz w:val="21"/>
      <w:lang w:val="en-US" w:eastAsia="zh-CN" w:bidi="ar-SA"/>
    </w:rPr>
  </w:style>
  <w:style w:type="paragraph" w:customStyle="1" w:styleId="toc812">
    <w:name w:val="toc 812"/>
    <w:next w:val="Normal"/>
    <w:qFormat/>
    <w:pPr>
      <w:wordWrap w:val="0"/>
      <w:ind w:left="2975"/>
      <w:jc w:val="both"/>
    </w:pPr>
    <w:rPr>
      <w:rFonts w:ascii="Calibri" w:eastAsia="宋体" w:hAnsi="Calibri" w:cs="Times New Roman"/>
      <w:sz w:val="21"/>
      <w:lang w:val="en-US" w:eastAsia="zh-CN" w:bidi="ar-SA"/>
    </w:rPr>
  </w:style>
  <w:style w:type="paragraph" w:customStyle="1" w:styleId="xl75">
    <w:name w:val="xl75"/>
    <w:basedOn w:val="Normal"/>
    <w:next w:val="toc914"/>
    <w:qFormat/>
    <w:pPr>
      <w:widowControl/>
      <w:shd w:val="clear" w:color="000000" w:fill="FFFFFF"/>
      <w:spacing w:before="280" w:after="280"/>
    </w:pPr>
    <w:rPr>
      <w:rFonts w:ascii="宋体" w:hAnsi="Calibri"/>
      <w:kern w:val="0"/>
      <w:sz w:val="20"/>
      <w:szCs w:val="20"/>
    </w:rPr>
  </w:style>
  <w:style w:type="paragraph" w:customStyle="1" w:styleId="toc914">
    <w:name w:val="toc 914"/>
    <w:next w:val="Normal"/>
    <w:qFormat/>
    <w:pPr>
      <w:wordWrap w:val="0"/>
      <w:ind w:left="3400"/>
      <w:jc w:val="both"/>
    </w:pPr>
    <w:rPr>
      <w:rFonts w:ascii="Calibri" w:eastAsia="宋体" w:hAnsi="Calibri" w:cs="Times New Roman"/>
      <w:sz w:val="21"/>
      <w:lang w:val="en-US" w:eastAsia="zh-CN" w:bidi="ar-SA"/>
    </w:rPr>
  </w:style>
  <w:style w:type="paragraph" w:customStyle="1" w:styleId="toc19">
    <w:name w:val="toc 19"/>
    <w:next w:val="Normal"/>
    <w:qFormat/>
    <w:pPr>
      <w:wordWrap w:val="0"/>
      <w:jc w:val="both"/>
    </w:pPr>
    <w:rPr>
      <w:rFonts w:ascii="Calibri" w:eastAsia="宋体" w:hAnsi="Calibri" w:cs="Times New Roman"/>
      <w:sz w:val="21"/>
      <w:lang w:val="en-US" w:eastAsia="zh-CN" w:bidi="ar-SA"/>
    </w:rPr>
  </w:style>
  <w:style w:type="paragraph" w:customStyle="1" w:styleId="TOCHeading6">
    <w:name w:val="TOC Heading6"/>
    <w:next w:val="Normal"/>
    <w:qFormat/>
    <w:pPr>
      <w:wordWrap w:val="0"/>
    </w:pPr>
    <w:rPr>
      <w:rFonts w:ascii="Calibri" w:eastAsia="宋体" w:hAnsi="Calibri" w:cs="Times New Roman"/>
      <w:sz w:val="32"/>
      <w:lang w:val="en-US" w:eastAsia="zh-CN" w:bidi="ar-SA"/>
    </w:rPr>
  </w:style>
  <w:style w:type="paragraph" w:customStyle="1" w:styleId="toc52">
    <w:name w:val="toc 52"/>
    <w:next w:val="Normal"/>
    <w:qFormat/>
    <w:pPr>
      <w:wordWrap w:val="0"/>
      <w:ind w:left="1700"/>
      <w:jc w:val="both"/>
    </w:pPr>
    <w:rPr>
      <w:rFonts w:ascii="Calibri" w:eastAsia="宋体" w:hAnsi="Calibri" w:cs="Times New Roman"/>
      <w:sz w:val="21"/>
      <w:lang w:val="en-US" w:eastAsia="zh-CN" w:bidi="ar-SA"/>
    </w:rPr>
  </w:style>
  <w:style w:type="paragraph" w:customStyle="1" w:styleId="toc36">
    <w:name w:val="toc 36"/>
    <w:next w:val="Normal"/>
    <w:qFormat/>
    <w:pPr>
      <w:wordWrap w:val="0"/>
      <w:ind w:left="850"/>
      <w:jc w:val="both"/>
    </w:pPr>
    <w:rPr>
      <w:rFonts w:ascii="Calibri" w:eastAsia="宋体" w:hAnsi="Calibri" w:cs="Times New Roman"/>
      <w:sz w:val="21"/>
      <w:lang w:val="en-US" w:eastAsia="zh-CN" w:bidi="ar-SA"/>
    </w:rPr>
  </w:style>
  <w:style w:type="paragraph" w:customStyle="1" w:styleId="toc82">
    <w:name w:val="toc 82"/>
    <w:next w:val="Normal"/>
    <w:qFormat/>
    <w:pPr>
      <w:wordWrap w:val="0"/>
      <w:ind w:left="2975"/>
      <w:jc w:val="both"/>
    </w:pPr>
    <w:rPr>
      <w:rFonts w:ascii="Calibri" w:eastAsia="宋体" w:hAnsi="Calibri" w:cs="Times New Roman"/>
      <w:sz w:val="21"/>
      <w:lang w:val="en-US" w:eastAsia="zh-CN" w:bidi="ar-SA"/>
    </w:rPr>
  </w:style>
  <w:style w:type="paragraph" w:customStyle="1" w:styleId="xl104">
    <w:name w:val="xl104"/>
    <w:basedOn w:val="Normal"/>
    <w:next w:val="toc210"/>
    <w:qFormat/>
    <w:pPr>
      <w:widowControl/>
      <w:shd w:val="clear" w:color="000000" w:fill="FFFFFF"/>
      <w:spacing w:before="280" w:after="280"/>
      <w:jc w:val="center"/>
    </w:pPr>
    <w:rPr>
      <w:rFonts w:ascii="宋体" w:hAnsi="Calibri"/>
      <w:kern w:val="0"/>
      <w:sz w:val="20"/>
      <w:szCs w:val="20"/>
    </w:rPr>
  </w:style>
  <w:style w:type="paragraph" w:customStyle="1" w:styleId="toc210">
    <w:name w:val="toc 210"/>
    <w:next w:val="Normal"/>
    <w:qFormat/>
    <w:pPr>
      <w:wordWrap w:val="0"/>
      <w:ind w:left="425"/>
      <w:jc w:val="both"/>
    </w:pPr>
    <w:rPr>
      <w:rFonts w:ascii="Calibri" w:eastAsia="宋体" w:hAnsi="Calibri" w:cs="Times New Roman"/>
      <w:sz w:val="21"/>
      <w:lang w:val="en-US" w:eastAsia="zh-CN" w:bidi="ar-SA"/>
    </w:rPr>
  </w:style>
  <w:style w:type="paragraph" w:customStyle="1" w:styleId="toc110">
    <w:name w:val="toc 110"/>
    <w:next w:val="Normal"/>
    <w:qFormat/>
    <w:pPr>
      <w:wordWrap w:val="0"/>
      <w:jc w:val="both"/>
    </w:pPr>
    <w:rPr>
      <w:rFonts w:ascii="Calibri" w:eastAsia="宋体" w:hAnsi="Calibri" w:cs="Times New Roman"/>
      <w:sz w:val="21"/>
      <w:lang w:val="en-US" w:eastAsia="zh-CN" w:bidi="ar-SA"/>
    </w:rPr>
  </w:style>
  <w:style w:type="paragraph" w:customStyle="1" w:styleId="toc66">
    <w:name w:val="toc 66"/>
    <w:next w:val="Normal"/>
    <w:qFormat/>
    <w:pPr>
      <w:wordWrap w:val="0"/>
      <w:ind w:left="2125"/>
      <w:jc w:val="both"/>
    </w:pPr>
    <w:rPr>
      <w:rFonts w:ascii="Calibri" w:eastAsia="宋体" w:hAnsi="Calibri" w:cs="Times New Roman"/>
      <w:sz w:val="21"/>
      <w:lang w:val="en-US" w:eastAsia="zh-CN" w:bidi="ar-SA"/>
    </w:rPr>
  </w:style>
  <w:style w:type="paragraph" w:customStyle="1" w:styleId="toc31">
    <w:name w:val="toc 31"/>
    <w:next w:val="Normal"/>
    <w:qFormat/>
    <w:pPr>
      <w:wordWrap w:val="0"/>
      <w:ind w:left="850"/>
      <w:jc w:val="both"/>
    </w:pPr>
    <w:rPr>
      <w:rFonts w:ascii="Calibri" w:eastAsia="宋体" w:hAnsi="Calibri" w:cs="Times New Roman"/>
      <w:sz w:val="21"/>
      <w:lang w:val="en-US" w:eastAsia="zh-CN" w:bidi="ar-SA"/>
    </w:rPr>
  </w:style>
  <w:style w:type="paragraph" w:customStyle="1" w:styleId="toc93">
    <w:name w:val="toc 93"/>
    <w:next w:val="Normal"/>
    <w:qFormat/>
    <w:pPr>
      <w:wordWrap w:val="0"/>
      <w:ind w:left="3400"/>
      <w:jc w:val="both"/>
    </w:pPr>
    <w:rPr>
      <w:rFonts w:ascii="Calibri" w:eastAsia="宋体" w:hAnsi="Calibri" w:cs="Times New Roman"/>
      <w:sz w:val="21"/>
      <w:lang w:val="en-US" w:eastAsia="zh-CN" w:bidi="ar-SA"/>
    </w:rPr>
  </w:style>
  <w:style w:type="paragraph" w:customStyle="1" w:styleId="toc614">
    <w:name w:val="toc 614"/>
    <w:next w:val="Normal"/>
    <w:qFormat/>
    <w:pPr>
      <w:wordWrap w:val="0"/>
      <w:ind w:left="2125"/>
      <w:jc w:val="both"/>
    </w:pPr>
    <w:rPr>
      <w:rFonts w:ascii="Calibri" w:eastAsia="宋体" w:hAnsi="Calibri" w:cs="Times New Roman"/>
      <w:sz w:val="21"/>
      <w:lang w:val="en-US" w:eastAsia="zh-CN" w:bidi="ar-SA"/>
    </w:rPr>
  </w:style>
  <w:style w:type="paragraph" w:customStyle="1" w:styleId="19">
    <w:name w:val="无间隔1"/>
    <w:next w:val="toc110"/>
    <w:qFormat/>
    <w:pPr>
      <w:widowControl w:val="0"/>
      <w:jc w:val="both"/>
    </w:pPr>
    <w:rPr>
      <w:rFonts w:ascii="Calibri" w:eastAsia="宋体" w:hAnsi="Calibri" w:cs="Times New Roman"/>
      <w:sz w:val="22"/>
      <w:lang w:val="en-US" w:eastAsia="zh-CN" w:bidi="ar-SA"/>
    </w:rPr>
  </w:style>
  <w:style w:type="paragraph" w:customStyle="1" w:styleId="410">
    <w:name w:val="目录 41"/>
    <w:next w:val="Normal"/>
    <w:qFormat/>
    <w:pPr>
      <w:wordWrap w:val="0"/>
      <w:ind w:left="1275"/>
      <w:jc w:val="both"/>
    </w:pPr>
    <w:rPr>
      <w:rFonts w:ascii="Calibri" w:eastAsia="宋体" w:hAnsi="Calibri" w:cs="Times New Roman"/>
      <w:sz w:val="21"/>
      <w:lang w:val="en-US" w:eastAsia="zh-CN" w:bidi="ar-SA"/>
    </w:rPr>
  </w:style>
  <w:style w:type="paragraph" w:customStyle="1" w:styleId="xl105">
    <w:name w:val="xl105"/>
    <w:basedOn w:val="Normal"/>
    <w:next w:val="toc615"/>
    <w:qFormat/>
    <w:pPr>
      <w:widowControl/>
      <w:shd w:val="clear" w:color="000000" w:fill="FFFFFF"/>
      <w:spacing w:before="280" w:after="280"/>
    </w:pPr>
    <w:rPr>
      <w:rFonts w:ascii="宋体" w:hAnsi="Calibri"/>
      <w:kern w:val="0"/>
      <w:sz w:val="18"/>
      <w:szCs w:val="20"/>
    </w:rPr>
  </w:style>
  <w:style w:type="paragraph" w:customStyle="1" w:styleId="toc615">
    <w:name w:val="toc 615"/>
    <w:next w:val="Normal"/>
    <w:qFormat/>
    <w:pPr>
      <w:wordWrap w:val="0"/>
      <w:ind w:left="2125"/>
      <w:jc w:val="both"/>
    </w:pPr>
    <w:rPr>
      <w:rFonts w:ascii="Calibri" w:eastAsia="宋体" w:hAnsi="Calibri" w:cs="Times New Roman"/>
      <w:sz w:val="21"/>
      <w:lang w:val="en-US" w:eastAsia="zh-CN" w:bidi="ar-SA"/>
    </w:rPr>
  </w:style>
  <w:style w:type="paragraph" w:customStyle="1" w:styleId="toc41">
    <w:name w:val="toc 41"/>
    <w:next w:val="Normal"/>
    <w:qFormat/>
    <w:pPr>
      <w:wordWrap w:val="0"/>
      <w:ind w:left="1275"/>
      <w:jc w:val="both"/>
    </w:pPr>
    <w:rPr>
      <w:rFonts w:ascii="Calibri" w:eastAsia="宋体" w:hAnsi="Calibri" w:cs="Times New Roman"/>
      <w:sz w:val="21"/>
      <w:lang w:val="en-US" w:eastAsia="zh-CN" w:bidi="ar-SA"/>
    </w:rPr>
  </w:style>
  <w:style w:type="paragraph" w:customStyle="1" w:styleId="toc81">
    <w:name w:val="toc 81"/>
    <w:next w:val="Normal"/>
    <w:qFormat/>
    <w:pPr>
      <w:wordWrap w:val="0"/>
      <w:ind w:left="2975"/>
      <w:jc w:val="both"/>
    </w:pPr>
    <w:rPr>
      <w:rFonts w:ascii="Calibri" w:eastAsia="宋体" w:hAnsi="Calibri" w:cs="Times New Roman"/>
      <w:sz w:val="21"/>
      <w:lang w:val="en-US" w:eastAsia="zh-CN" w:bidi="ar-SA"/>
    </w:rPr>
  </w:style>
  <w:style w:type="paragraph" w:customStyle="1" w:styleId="xl111">
    <w:name w:val="xl111"/>
    <w:basedOn w:val="Normal"/>
    <w:next w:val="toc88"/>
    <w:qFormat/>
    <w:pPr>
      <w:widowControl/>
      <w:shd w:val="clear" w:color="000000" w:fill="FFFFFF"/>
      <w:spacing w:before="280" w:after="280"/>
      <w:jc w:val="center"/>
    </w:pPr>
    <w:rPr>
      <w:rFonts w:ascii="宋体" w:hAnsi="Calibri"/>
      <w:b/>
      <w:kern w:val="0"/>
      <w:sz w:val="20"/>
      <w:szCs w:val="20"/>
    </w:rPr>
  </w:style>
  <w:style w:type="paragraph" w:customStyle="1" w:styleId="toc88">
    <w:name w:val="toc 88"/>
    <w:next w:val="Normal"/>
    <w:qFormat/>
    <w:pPr>
      <w:wordWrap w:val="0"/>
      <w:ind w:left="2975"/>
      <w:jc w:val="both"/>
    </w:pPr>
    <w:rPr>
      <w:rFonts w:ascii="Calibri" w:eastAsia="宋体" w:hAnsi="Calibri" w:cs="Times New Roman"/>
      <w:sz w:val="21"/>
      <w:lang w:val="en-US" w:eastAsia="zh-CN" w:bidi="ar-SA"/>
    </w:rPr>
  </w:style>
  <w:style w:type="paragraph" w:customStyle="1" w:styleId="toc84">
    <w:name w:val="toc 84"/>
    <w:next w:val="Normal"/>
    <w:qFormat/>
    <w:pPr>
      <w:wordWrap w:val="0"/>
      <w:ind w:left="2975"/>
      <w:jc w:val="both"/>
    </w:pPr>
    <w:rPr>
      <w:rFonts w:ascii="Calibri" w:eastAsia="宋体" w:hAnsi="Calibri" w:cs="Times New Roman"/>
      <w:sz w:val="21"/>
      <w:lang w:val="en-US" w:eastAsia="zh-CN" w:bidi="ar-SA"/>
    </w:rPr>
  </w:style>
  <w:style w:type="paragraph" w:customStyle="1" w:styleId="p0">
    <w:name w:val="p0"/>
    <w:basedOn w:val="Normal"/>
    <w:next w:val="toc69"/>
    <w:qFormat/>
    <w:pPr>
      <w:widowControl/>
      <w:spacing w:before="280" w:after="280"/>
    </w:pPr>
    <w:rPr>
      <w:rFonts w:ascii="宋体" w:hAnsi="Calibri"/>
      <w:kern w:val="0"/>
      <w:sz w:val="24"/>
      <w:szCs w:val="20"/>
    </w:rPr>
  </w:style>
  <w:style w:type="paragraph" w:customStyle="1" w:styleId="toc69">
    <w:name w:val="toc 69"/>
    <w:next w:val="Normal"/>
    <w:qFormat/>
    <w:pPr>
      <w:wordWrap w:val="0"/>
      <w:ind w:left="2125"/>
      <w:jc w:val="both"/>
    </w:pPr>
    <w:rPr>
      <w:rFonts w:ascii="Calibri" w:eastAsia="宋体" w:hAnsi="Calibri" w:cs="Times New Roman"/>
      <w:sz w:val="21"/>
      <w:lang w:val="en-US" w:eastAsia="zh-CN" w:bidi="ar-SA"/>
    </w:rPr>
  </w:style>
  <w:style w:type="paragraph" w:customStyle="1" w:styleId="111">
    <w:name w:val="列出段落11"/>
    <w:basedOn w:val="Normal"/>
    <w:next w:val="toc214"/>
    <w:qFormat/>
    <w:pPr>
      <w:widowControl/>
      <w:spacing w:line="360" w:lineRule="auto"/>
      <w:ind w:firstLine="420"/>
    </w:pPr>
    <w:rPr>
      <w:rFonts w:eastAsia="微软雅黑" w:hAnsi="Calibri"/>
      <w:kern w:val="0"/>
      <w:sz w:val="24"/>
      <w:szCs w:val="20"/>
    </w:rPr>
  </w:style>
  <w:style w:type="paragraph" w:customStyle="1" w:styleId="toc214">
    <w:name w:val="toc 214"/>
    <w:next w:val="Normal"/>
    <w:qFormat/>
    <w:pPr>
      <w:wordWrap w:val="0"/>
      <w:ind w:left="425"/>
      <w:jc w:val="both"/>
    </w:pPr>
    <w:rPr>
      <w:rFonts w:ascii="Calibri" w:eastAsia="宋体" w:hAnsi="Calibri" w:cs="Times New Roman"/>
      <w:sz w:val="21"/>
      <w:lang w:val="en-US" w:eastAsia="zh-CN" w:bidi="ar-SA"/>
    </w:rPr>
  </w:style>
  <w:style w:type="paragraph" w:customStyle="1" w:styleId="toc63">
    <w:name w:val="toc 63"/>
    <w:next w:val="Normal"/>
    <w:qFormat/>
    <w:pPr>
      <w:wordWrap w:val="0"/>
      <w:ind w:left="2125"/>
      <w:jc w:val="both"/>
    </w:pPr>
    <w:rPr>
      <w:rFonts w:ascii="Calibri" w:eastAsia="宋体" w:hAnsi="Calibri" w:cs="Times New Roman"/>
      <w:sz w:val="21"/>
      <w:lang w:val="en-US" w:eastAsia="zh-CN" w:bidi="ar-SA"/>
    </w:rPr>
  </w:style>
  <w:style w:type="paragraph" w:customStyle="1" w:styleId="xl91">
    <w:name w:val="xl91"/>
    <w:basedOn w:val="Normal"/>
    <w:next w:val="toc38"/>
    <w:qFormat/>
    <w:pPr>
      <w:widowControl/>
      <w:shd w:val="clear" w:color="000000" w:fill="FFFFFF"/>
      <w:spacing w:before="280" w:after="280"/>
    </w:pPr>
    <w:rPr>
      <w:rFonts w:ascii="宋体" w:hAnsi="Calibri"/>
      <w:kern w:val="0"/>
      <w:sz w:val="20"/>
      <w:szCs w:val="20"/>
    </w:rPr>
  </w:style>
  <w:style w:type="paragraph" w:customStyle="1" w:styleId="toc316">
    <w:name w:val="toc 316"/>
    <w:next w:val="Normal"/>
    <w:qFormat/>
    <w:pPr>
      <w:wordWrap w:val="0"/>
      <w:ind w:left="850"/>
      <w:jc w:val="both"/>
    </w:pPr>
    <w:rPr>
      <w:rFonts w:ascii="Calibri" w:eastAsia="宋体" w:hAnsi="Calibri" w:cs="Times New Roman"/>
      <w:sz w:val="21"/>
      <w:lang w:val="en-US" w:eastAsia="zh-CN" w:bidi="ar-SA"/>
    </w:rPr>
  </w:style>
  <w:style w:type="paragraph" w:customStyle="1" w:styleId="Style1">
    <w:name w:val="_Style 1"/>
    <w:basedOn w:val="Normal"/>
    <w:next w:val="TOCHeading13"/>
    <w:qFormat/>
    <w:pPr>
      <w:ind w:firstLine="420"/>
    </w:pPr>
    <w:rPr>
      <w:rFonts w:hAnsi="Calibri"/>
      <w:kern w:val="0"/>
      <w:szCs w:val="20"/>
    </w:rPr>
  </w:style>
  <w:style w:type="paragraph" w:customStyle="1" w:styleId="TOCHeading13">
    <w:name w:val="TOC Heading13"/>
    <w:next w:val="Normal"/>
    <w:qFormat/>
    <w:pPr>
      <w:wordWrap w:val="0"/>
    </w:pPr>
    <w:rPr>
      <w:rFonts w:ascii="Calibri" w:eastAsia="宋体" w:hAnsi="Calibri" w:cs="Times New Roman"/>
      <w:sz w:val="32"/>
      <w:lang w:val="en-US" w:eastAsia="zh-CN" w:bidi="ar-SA"/>
    </w:rPr>
  </w:style>
  <w:style w:type="paragraph" w:customStyle="1" w:styleId="toc116">
    <w:name w:val="toc 116"/>
    <w:next w:val="Normal"/>
    <w:qFormat/>
    <w:pPr>
      <w:wordWrap w:val="0"/>
      <w:jc w:val="both"/>
    </w:pPr>
    <w:rPr>
      <w:rFonts w:ascii="Calibri" w:eastAsia="宋体" w:hAnsi="Calibri" w:cs="Times New Roman"/>
      <w:sz w:val="21"/>
      <w:lang w:val="en-US" w:eastAsia="zh-CN" w:bidi="ar-SA"/>
    </w:rPr>
  </w:style>
  <w:style w:type="paragraph" w:customStyle="1" w:styleId="toc72">
    <w:name w:val="toc 72"/>
    <w:next w:val="Normal"/>
    <w:qFormat/>
    <w:pPr>
      <w:wordWrap w:val="0"/>
      <w:ind w:left="2550"/>
      <w:jc w:val="both"/>
    </w:pPr>
    <w:rPr>
      <w:rFonts w:ascii="Calibri" w:eastAsia="宋体" w:hAnsi="Calibri" w:cs="Times New Roman"/>
      <w:sz w:val="21"/>
      <w:lang w:val="en-US" w:eastAsia="zh-CN" w:bidi="ar-SA"/>
    </w:rPr>
  </w:style>
  <w:style w:type="paragraph" w:customStyle="1" w:styleId="xmsonormal">
    <w:name w:val="x_msonormal"/>
    <w:basedOn w:val="Normal"/>
    <w:next w:val="toc413"/>
    <w:qFormat/>
    <w:pPr>
      <w:widowControl/>
      <w:spacing w:before="280" w:after="280"/>
    </w:pPr>
    <w:rPr>
      <w:rFonts w:ascii="PMingLiU" w:eastAsia="PMingLiU" w:hAnsi="Calibri"/>
      <w:kern w:val="0"/>
      <w:sz w:val="24"/>
      <w:szCs w:val="20"/>
    </w:rPr>
  </w:style>
  <w:style w:type="paragraph" w:customStyle="1" w:styleId="toc310">
    <w:name w:val="toc 310"/>
    <w:next w:val="Normal"/>
    <w:qFormat/>
    <w:pPr>
      <w:wordWrap w:val="0"/>
      <w:ind w:left="850"/>
      <w:jc w:val="both"/>
    </w:pPr>
    <w:rPr>
      <w:rFonts w:ascii="Calibri" w:eastAsia="宋体" w:hAnsi="Calibri" w:cs="Times New Roman"/>
      <w:sz w:val="21"/>
      <w:lang w:val="en-US" w:eastAsia="zh-CN" w:bidi="ar-SA"/>
    </w:rPr>
  </w:style>
  <w:style w:type="paragraph" w:customStyle="1" w:styleId="toc83">
    <w:name w:val="toc 83"/>
    <w:next w:val="Normal"/>
    <w:qFormat/>
    <w:pPr>
      <w:wordWrap w:val="0"/>
      <w:ind w:left="2975"/>
      <w:jc w:val="both"/>
    </w:pPr>
    <w:rPr>
      <w:rFonts w:ascii="Calibri" w:eastAsia="宋体" w:hAnsi="Calibri" w:cs="Times New Roman"/>
      <w:sz w:val="21"/>
      <w:lang w:val="en-US" w:eastAsia="zh-CN" w:bidi="ar-SA"/>
    </w:rPr>
  </w:style>
  <w:style w:type="paragraph" w:customStyle="1" w:styleId="TOCHeading17">
    <w:name w:val="TOC Heading17"/>
    <w:next w:val="Normal"/>
    <w:qFormat/>
    <w:pPr>
      <w:wordWrap w:val="0"/>
    </w:pPr>
    <w:rPr>
      <w:rFonts w:ascii="Calibri" w:eastAsia="宋体" w:hAnsi="Calibri" w:cs="Times New Roman"/>
      <w:sz w:val="32"/>
      <w:lang w:val="en-US" w:eastAsia="zh-CN" w:bidi="ar-SA"/>
    </w:rPr>
  </w:style>
  <w:style w:type="paragraph" w:customStyle="1" w:styleId="toc911">
    <w:name w:val="toc 911"/>
    <w:next w:val="Normal"/>
    <w:qFormat/>
    <w:pPr>
      <w:wordWrap w:val="0"/>
      <w:ind w:left="3400"/>
      <w:jc w:val="both"/>
    </w:pPr>
    <w:rPr>
      <w:rFonts w:ascii="Calibri" w:eastAsia="宋体" w:hAnsi="Calibri" w:cs="Times New Roman"/>
      <w:sz w:val="21"/>
      <w:lang w:val="en-US" w:eastAsia="zh-CN" w:bidi="ar-SA"/>
    </w:rPr>
  </w:style>
  <w:style w:type="paragraph" w:customStyle="1" w:styleId="toc811">
    <w:name w:val="toc 811"/>
    <w:next w:val="Normal"/>
    <w:qFormat/>
    <w:pPr>
      <w:wordWrap w:val="0"/>
      <w:ind w:left="2975"/>
      <w:jc w:val="both"/>
    </w:pPr>
    <w:rPr>
      <w:rFonts w:ascii="Calibri" w:eastAsia="宋体" w:hAnsi="Calibri" w:cs="Times New Roman"/>
      <w:sz w:val="21"/>
      <w:lang w:val="en-US" w:eastAsia="zh-CN" w:bidi="ar-SA"/>
    </w:rPr>
  </w:style>
  <w:style w:type="paragraph" w:customStyle="1" w:styleId="31">
    <w:name w:val="目录 31"/>
    <w:next w:val="Normal"/>
    <w:qFormat/>
    <w:pPr>
      <w:wordWrap w:val="0"/>
      <w:ind w:left="850"/>
      <w:jc w:val="both"/>
    </w:pPr>
    <w:rPr>
      <w:rFonts w:ascii="Calibri" w:eastAsia="宋体" w:hAnsi="Calibri" w:cs="Times New Roman"/>
      <w:sz w:val="21"/>
      <w:lang w:val="en-US" w:eastAsia="zh-CN" w:bidi="ar-SA"/>
    </w:rPr>
  </w:style>
  <w:style w:type="paragraph" w:customStyle="1" w:styleId="xl118">
    <w:name w:val="xl118"/>
    <w:basedOn w:val="Normal"/>
    <w:next w:val="toc410"/>
    <w:qFormat/>
    <w:pPr>
      <w:widowControl/>
      <w:shd w:val="clear" w:color="000000" w:fill="FFFFFF"/>
      <w:spacing w:before="280" w:after="280"/>
      <w:jc w:val="center"/>
    </w:pPr>
    <w:rPr>
      <w:rFonts w:ascii="宋体" w:hAnsi="Calibri"/>
      <w:b/>
      <w:kern w:val="0"/>
      <w:sz w:val="20"/>
      <w:szCs w:val="20"/>
    </w:rPr>
  </w:style>
  <w:style w:type="paragraph" w:customStyle="1" w:styleId="xl83">
    <w:name w:val="xl83"/>
    <w:basedOn w:val="Normal"/>
    <w:next w:val="TOCHeading14"/>
    <w:qFormat/>
    <w:pPr>
      <w:widowControl/>
      <w:shd w:val="clear" w:color="000000" w:fill="FFFFFF"/>
      <w:spacing w:before="280" w:after="280"/>
    </w:pPr>
    <w:rPr>
      <w:rFonts w:ascii="宋体" w:hAnsi="Calibri"/>
      <w:kern w:val="0"/>
      <w:sz w:val="20"/>
      <w:szCs w:val="20"/>
    </w:rPr>
  </w:style>
  <w:style w:type="paragraph" w:customStyle="1" w:styleId="xl103">
    <w:name w:val="xl103"/>
    <w:basedOn w:val="Normal"/>
    <w:next w:val="toc111"/>
    <w:qFormat/>
    <w:pPr>
      <w:widowControl/>
      <w:shd w:val="clear" w:color="000000" w:fill="FFFFFF"/>
      <w:spacing w:before="280" w:after="280"/>
    </w:pPr>
    <w:rPr>
      <w:rFonts w:ascii="宋体" w:hAnsi="Calibri"/>
      <w:kern w:val="0"/>
      <w:sz w:val="20"/>
      <w:szCs w:val="20"/>
    </w:rPr>
  </w:style>
  <w:style w:type="paragraph" w:customStyle="1" w:styleId="toc111">
    <w:name w:val="toc 111"/>
    <w:next w:val="Normal"/>
    <w:qFormat/>
    <w:pPr>
      <w:wordWrap w:val="0"/>
      <w:jc w:val="both"/>
    </w:pPr>
    <w:rPr>
      <w:rFonts w:ascii="Calibri" w:eastAsia="宋体" w:hAnsi="Calibri" w:cs="Times New Roman"/>
      <w:sz w:val="21"/>
      <w:lang w:val="en-US" w:eastAsia="zh-CN" w:bidi="ar-SA"/>
    </w:rPr>
  </w:style>
  <w:style w:type="paragraph" w:customStyle="1" w:styleId="xl68">
    <w:name w:val="xl68"/>
    <w:basedOn w:val="Normal"/>
    <w:next w:val="TOCHeading16"/>
    <w:qFormat/>
    <w:pPr>
      <w:widowControl/>
      <w:shd w:val="clear" w:color="000000" w:fill="FFFFFF"/>
      <w:spacing w:before="280" w:after="280"/>
    </w:pPr>
    <w:rPr>
      <w:rFonts w:ascii="宋体" w:hAnsi="Calibri"/>
      <w:b/>
      <w:kern w:val="0"/>
      <w:sz w:val="20"/>
      <w:szCs w:val="20"/>
    </w:rPr>
  </w:style>
  <w:style w:type="paragraph" w:customStyle="1" w:styleId="TOCHeading16">
    <w:name w:val="TOC Heading16"/>
    <w:next w:val="Normal"/>
    <w:qFormat/>
    <w:pPr>
      <w:wordWrap w:val="0"/>
    </w:pPr>
    <w:rPr>
      <w:rFonts w:ascii="Calibri" w:eastAsia="宋体" w:hAnsi="Calibri" w:cs="Times New Roman"/>
      <w:sz w:val="32"/>
      <w:lang w:val="en-US" w:eastAsia="zh-CN" w:bidi="ar-SA"/>
    </w:rPr>
  </w:style>
  <w:style w:type="paragraph" w:customStyle="1" w:styleId="toc113">
    <w:name w:val="toc 113"/>
    <w:next w:val="Normal"/>
    <w:qFormat/>
    <w:pPr>
      <w:wordWrap w:val="0"/>
      <w:jc w:val="both"/>
    </w:pPr>
    <w:rPr>
      <w:rFonts w:ascii="Calibri" w:eastAsia="宋体" w:hAnsi="Calibri" w:cs="Times New Roman"/>
      <w:sz w:val="21"/>
      <w:lang w:val="en-US" w:eastAsia="zh-CN" w:bidi="ar-SA"/>
    </w:rPr>
  </w:style>
  <w:style w:type="paragraph" w:customStyle="1" w:styleId="xl94">
    <w:name w:val="xl94"/>
    <w:basedOn w:val="Normal"/>
    <w:next w:val="toc513"/>
    <w:qFormat/>
    <w:pPr>
      <w:widowControl/>
      <w:shd w:val="clear" w:color="000000" w:fill="FFFFFF"/>
      <w:spacing w:before="280" w:after="280"/>
      <w:jc w:val="center"/>
    </w:pPr>
    <w:rPr>
      <w:rFonts w:ascii="宋体" w:hAnsi="Calibri"/>
      <w:kern w:val="0"/>
      <w:sz w:val="20"/>
      <w:szCs w:val="20"/>
    </w:rPr>
  </w:style>
  <w:style w:type="paragraph" w:customStyle="1" w:styleId="toc53">
    <w:name w:val="toc 53"/>
    <w:next w:val="Normal"/>
    <w:qFormat/>
    <w:pPr>
      <w:wordWrap w:val="0"/>
      <w:ind w:left="1700"/>
      <w:jc w:val="both"/>
    </w:pPr>
    <w:rPr>
      <w:rFonts w:ascii="Calibri" w:eastAsia="宋体" w:hAnsi="Calibri" w:cs="Times New Roman"/>
      <w:sz w:val="21"/>
      <w:lang w:val="en-US" w:eastAsia="zh-CN" w:bidi="ar-SA"/>
    </w:rPr>
  </w:style>
  <w:style w:type="paragraph" w:customStyle="1" w:styleId="xl92">
    <w:name w:val="xl92"/>
    <w:basedOn w:val="Normal"/>
    <w:next w:val="toc913"/>
    <w:qFormat/>
    <w:pPr>
      <w:widowControl/>
      <w:shd w:val="clear" w:color="000000" w:fill="FFFFFF"/>
      <w:spacing w:before="280" w:after="280"/>
    </w:pPr>
    <w:rPr>
      <w:rFonts w:ascii="宋体" w:hAnsi="Calibri"/>
      <w:kern w:val="0"/>
      <w:sz w:val="20"/>
      <w:szCs w:val="20"/>
    </w:rPr>
  </w:style>
  <w:style w:type="paragraph" w:customStyle="1" w:styleId="toc913">
    <w:name w:val="toc 913"/>
    <w:next w:val="Normal"/>
    <w:qFormat/>
    <w:pPr>
      <w:wordWrap w:val="0"/>
      <w:ind w:left="3400"/>
      <w:jc w:val="both"/>
    </w:pPr>
    <w:rPr>
      <w:rFonts w:ascii="Calibri" w:eastAsia="宋体" w:hAnsi="Calibri" w:cs="Times New Roman"/>
      <w:sz w:val="21"/>
      <w:lang w:val="en-US" w:eastAsia="zh-CN" w:bidi="ar-SA"/>
    </w:rPr>
  </w:style>
  <w:style w:type="paragraph" w:customStyle="1" w:styleId="toc512">
    <w:name w:val="toc 512"/>
    <w:next w:val="Normal"/>
    <w:qFormat/>
    <w:pPr>
      <w:wordWrap w:val="0"/>
      <w:ind w:left="1700"/>
      <w:jc w:val="both"/>
    </w:pPr>
    <w:rPr>
      <w:rFonts w:ascii="Calibri" w:eastAsia="宋体" w:hAnsi="Calibri" w:cs="Times New Roman"/>
      <w:sz w:val="21"/>
      <w:lang w:val="en-US" w:eastAsia="zh-CN" w:bidi="ar-SA"/>
    </w:rPr>
  </w:style>
  <w:style w:type="paragraph" w:customStyle="1" w:styleId="81">
    <w:name w:val="目录 81"/>
    <w:next w:val="Normal"/>
    <w:qFormat/>
    <w:pPr>
      <w:wordWrap w:val="0"/>
      <w:ind w:left="2975"/>
      <w:jc w:val="both"/>
    </w:pPr>
    <w:rPr>
      <w:rFonts w:ascii="Calibri" w:eastAsia="宋体" w:hAnsi="Calibri" w:cs="Times New Roman"/>
      <w:sz w:val="21"/>
      <w:lang w:val="en-US" w:eastAsia="zh-CN" w:bidi="ar-SA"/>
    </w:rPr>
  </w:style>
  <w:style w:type="paragraph" w:customStyle="1" w:styleId="a20">
    <w:name w:val="正文表标题"/>
    <w:next w:val="Normal"/>
    <w:qFormat/>
    <w:pPr>
      <w:ind w:left="630"/>
      <w:jc w:val="center"/>
    </w:pPr>
    <w:rPr>
      <w:rFonts w:ascii="黑体" w:eastAsia="黑体" w:hAnsi="Calibri" w:cs="Times New Roman"/>
      <w:sz w:val="21"/>
      <w:lang w:val="en-US" w:eastAsia="zh-CN" w:bidi="ar-SA"/>
    </w:rPr>
  </w:style>
  <w:style w:type="paragraph" w:customStyle="1" w:styleId="toc28">
    <w:name w:val="toc 28"/>
    <w:next w:val="Normal"/>
    <w:qFormat/>
    <w:pPr>
      <w:wordWrap w:val="0"/>
      <w:ind w:left="425"/>
      <w:jc w:val="both"/>
    </w:pPr>
    <w:rPr>
      <w:rFonts w:ascii="Calibri" w:eastAsia="宋体" w:hAnsi="Calibri" w:cs="Times New Roman"/>
      <w:sz w:val="21"/>
      <w:lang w:val="en-US" w:eastAsia="zh-CN" w:bidi="ar-SA"/>
    </w:rPr>
  </w:style>
  <w:style w:type="paragraph" w:customStyle="1" w:styleId="toc79">
    <w:name w:val="toc 79"/>
    <w:next w:val="Normal"/>
    <w:qFormat/>
    <w:pPr>
      <w:wordWrap w:val="0"/>
      <w:ind w:left="2550"/>
      <w:jc w:val="both"/>
    </w:pPr>
    <w:rPr>
      <w:rFonts w:ascii="Calibri" w:eastAsia="宋体" w:hAnsi="Calibri" w:cs="Times New Roman"/>
      <w:sz w:val="21"/>
      <w:lang w:val="en-US" w:eastAsia="zh-CN" w:bidi="ar-SA"/>
    </w:rPr>
  </w:style>
  <w:style w:type="paragraph" w:customStyle="1" w:styleId="xl110">
    <w:name w:val="xl110"/>
    <w:basedOn w:val="Normal"/>
    <w:next w:val="toc614"/>
    <w:qFormat/>
    <w:pPr>
      <w:widowControl/>
      <w:shd w:val="clear" w:color="000000" w:fill="FFFFFF"/>
      <w:spacing w:before="280" w:after="280"/>
      <w:jc w:val="center"/>
    </w:pPr>
    <w:rPr>
      <w:rFonts w:ascii="宋体" w:hAnsi="Calibri"/>
      <w:kern w:val="0"/>
      <w:sz w:val="20"/>
      <w:szCs w:val="20"/>
    </w:rPr>
  </w:style>
  <w:style w:type="paragraph" w:customStyle="1" w:styleId="toc511">
    <w:name w:val="toc 511"/>
    <w:next w:val="Normal"/>
    <w:qFormat/>
    <w:pPr>
      <w:wordWrap w:val="0"/>
      <w:ind w:left="1700"/>
      <w:jc w:val="both"/>
    </w:pPr>
    <w:rPr>
      <w:rFonts w:ascii="Calibri" w:eastAsia="宋体" w:hAnsi="Calibri" w:cs="Times New Roman"/>
      <w:sz w:val="21"/>
      <w:lang w:val="en-US" w:eastAsia="zh-CN" w:bidi="ar-SA"/>
    </w:rPr>
  </w:style>
  <w:style w:type="paragraph" w:customStyle="1" w:styleId="toc416">
    <w:name w:val="toc 416"/>
    <w:next w:val="Normal"/>
    <w:qFormat/>
    <w:pPr>
      <w:wordWrap w:val="0"/>
      <w:ind w:left="1275"/>
      <w:jc w:val="both"/>
    </w:pPr>
    <w:rPr>
      <w:rFonts w:ascii="Calibri" w:eastAsia="宋体" w:hAnsi="Calibri" w:cs="Times New Roman"/>
      <w:sz w:val="21"/>
      <w:lang w:val="en-US" w:eastAsia="zh-CN" w:bidi="ar-SA"/>
    </w:rPr>
  </w:style>
  <w:style w:type="paragraph" w:customStyle="1" w:styleId="xl85">
    <w:name w:val="xl85"/>
    <w:basedOn w:val="Normal"/>
    <w:next w:val="toc76"/>
    <w:qFormat/>
    <w:pPr>
      <w:widowControl/>
      <w:shd w:val="clear" w:color="000000" w:fill="FFFFFF"/>
      <w:spacing w:before="280" w:after="280"/>
      <w:jc w:val="center"/>
    </w:pPr>
    <w:rPr>
      <w:rFonts w:ascii="宋体" w:hAnsi="Calibri"/>
      <w:kern w:val="0"/>
      <w:sz w:val="20"/>
      <w:szCs w:val="20"/>
    </w:rPr>
  </w:style>
  <w:style w:type="paragraph" w:customStyle="1" w:styleId="toc76">
    <w:name w:val="toc 76"/>
    <w:next w:val="Normal"/>
    <w:qFormat/>
    <w:pPr>
      <w:wordWrap w:val="0"/>
      <w:ind w:left="2550"/>
      <w:jc w:val="both"/>
    </w:pPr>
    <w:rPr>
      <w:rFonts w:ascii="Calibri" w:eastAsia="宋体" w:hAnsi="Calibri" w:cs="Times New Roman"/>
      <w:sz w:val="21"/>
      <w:lang w:val="en-US" w:eastAsia="zh-CN" w:bidi="ar-SA"/>
    </w:rPr>
  </w:style>
  <w:style w:type="paragraph" w:customStyle="1" w:styleId="toc27">
    <w:name w:val="toc 27"/>
    <w:next w:val="Normal"/>
    <w:qFormat/>
    <w:pPr>
      <w:wordWrap w:val="0"/>
      <w:ind w:left="425"/>
      <w:jc w:val="both"/>
    </w:pPr>
    <w:rPr>
      <w:rFonts w:ascii="Calibri" w:eastAsia="宋体" w:hAnsi="Calibri" w:cs="Times New Roman"/>
      <w:sz w:val="21"/>
      <w:lang w:val="en-US" w:eastAsia="zh-CN" w:bidi="ar-SA"/>
    </w:rPr>
  </w:style>
  <w:style w:type="paragraph" w:customStyle="1" w:styleId="toc916">
    <w:name w:val="toc 916"/>
    <w:next w:val="Normal"/>
    <w:qFormat/>
    <w:pPr>
      <w:wordWrap w:val="0"/>
      <w:ind w:left="3400"/>
      <w:jc w:val="both"/>
    </w:pPr>
    <w:rPr>
      <w:rFonts w:ascii="Calibri" w:eastAsia="宋体" w:hAnsi="Calibri" w:cs="Times New Roman"/>
      <w:sz w:val="21"/>
      <w:lang w:val="en-US" w:eastAsia="zh-CN" w:bidi="ar-SA"/>
    </w:rPr>
  </w:style>
  <w:style w:type="paragraph" w:customStyle="1" w:styleId="toc77">
    <w:name w:val="toc 77"/>
    <w:next w:val="Normal"/>
    <w:qFormat/>
    <w:pPr>
      <w:wordWrap w:val="0"/>
      <w:ind w:left="2550"/>
      <w:jc w:val="both"/>
    </w:pPr>
    <w:rPr>
      <w:rFonts w:ascii="Calibri" w:eastAsia="宋体" w:hAnsi="Calibri" w:cs="Times New Roman"/>
      <w:sz w:val="21"/>
      <w:lang w:val="en-US" w:eastAsia="zh-CN" w:bidi="ar-SA"/>
    </w:rPr>
  </w:style>
  <w:style w:type="paragraph" w:customStyle="1" w:styleId="toc211">
    <w:name w:val="toc 211"/>
    <w:next w:val="Normal"/>
    <w:qFormat/>
    <w:pPr>
      <w:wordWrap w:val="0"/>
      <w:ind w:left="425"/>
      <w:jc w:val="both"/>
    </w:pPr>
    <w:rPr>
      <w:rFonts w:ascii="Calibri" w:eastAsia="宋体" w:hAnsi="Calibri" w:cs="Times New Roman"/>
      <w:sz w:val="21"/>
      <w:lang w:val="en-US" w:eastAsia="zh-CN" w:bidi="ar-SA"/>
    </w:rPr>
  </w:style>
  <w:style w:type="paragraph" w:customStyle="1" w:styleId="toc815">
    <w:name w:val="toc 815"/>
    <w:next w:val="Normal"/>
    <w:qFormat/>
    <w:pPr>
      <w:wordWrap w:val="0"/>
      <w:ind w:left="2975"/>
      <w:jc w:val="both"/>
    </w:pPr>
    <w:rPr>
      <w:rFonts w:ascii="Calibri" w:eastAsia="宋体" w:hAnsi="Calibri" w:cs="Times New Roman"/>
      <w:sz w:val="21"/>
      <w:lang w:val="en-US" w:eastAsia="zh-CN" w:bidi="ar-SA"/>
    </w:rPr>
  </w:style>
  <w:style w:type="paragraph" w:customStyle="1" w:styleId="xl99">
    <w:name w:val="xl99"/>
    <w:basedOn w:val="Normal"/>
    <w:next w:val="toc512"/>
    <w:qFormat/>
    <w:pPr>
      <w:widowControl/>
      <w:shd w:val="clear" w:color="000000" w:fill="FFFFFF"/>
      <w:spacing w:before="280" w:after="280"/>
    </w:pPr>
    <w:rPr>
      <w:rFonts w:ascii="宋体" w:hAnsi="Calibri"/>
      <w:kern w:val="0"/>
      <w:sz w:val="18"/>
      <w:szCs w:val="20"/>
    </w:rPr>
  </w:style>
  <w:style w:type="paragraph" w:customStyle="1" w:styleId="xl97">
    <w:name w:val="xl97"/>
    <w:basedOn w:val="Normal"/>
    <w:next w:val="TOCHeading12"/>
    <w:qFormat/>
    <w:pPr>
      <w:widowControl/>
      <w:shd w:val="clear" w:color="000000" w:fill="FFFFFF"/>
      <w:spacing w:before="280" w:after="280"/>
      <w:jc w:val="center"/>
    </w:pPr>
    <w:rPr>
      <w:rFonts w:ascii="宋体" w:hAnsi="Calibri"/>
      <w:kern w:val="0"/>
      <w:sz w:val="20"/>
      <w:szCs w:val="20"/>
    </w:rPr>
  </w:style>
  <w:style w:type="paragraph" w:customStyle="1" w:styleId="toc612">
    <w:name w:val="toc 612"/>
    <w:next w:val="Normal"/>
    <w:qFormat/>
    <w:pPr>
      <w:wordWrap w:val="0"/>
      <w:ind w:left="2125"/>
      <w:jc w:val="both"/>
    </w:pPr>
    <w:rPr>
      <w:rFonts w:ascii="Calibri" w:eastAsia="宋体" w:hAnsi="Calibri" w:cs="Times New Roman"/>
      <w:sz w:val="21"/>
      <w:lang w:val="en-US" w:eastAsia="zh-CN" w:bidi="ar-SA"/>
    </w:rPr>
  </w:style>
  <w:style w:type="paragraph" w:customStyle="1" w:styleId="toc315">
    <w:name w:val="toc 315"/>
    <w:next w:val="Normal"/>
    <w:qFormat/>
    <w:pPr>
      <w:wordWrap w:val="0"/>
      <w:ind w:left="850"/>
      <w:jc w:val="both"/>
    </w:pPr>
    <w:rPr>
      <w:rFonts w:ascii="Calibri" w:eastAsia="宋体" w:hAnsi="Calibri" w:cs="Times New Roman"/>
      <w:sz w:val="21"/>
      <w:lang w:val="en-US" w:eastAsia="zh-CN" w:bidi="ar-SA"/>
    </w:rPr>
  </w:style>
  <w:style w:type="paragraph" w:customStyle="1" w:styleId="TOCHeading15">
    <w:name w:val="TOC Heading15"/>
    <w:next w:val="Normal"/>
    <w:qFormat/>
    <w:pPr>
      <w:wordWrap w:val="0"/>
    </w:pPr>
    <w:rPr>
      <w:rFonts w:ascii="Calibri" w:eastAsia="宋体" w:hAnsi="Calibri" w:cs="Times New Roman"/>
      <w:sz w:val="32"/>
      <w:lang w:val="en-US" w:eastAsia="zh-CN" w:bidi="ar-SA"/>
    </w:rPr>
  </w:style>
  <w:style w:type="paragraph" w:customStyle="1" w:styleId="toc915">
    <w:name w:val="toc 915"/>
    <w:next w:val="Normal"/>
    <w:qFormat/>
    <w:pPr>
      <w:wordWrap w:val="0"/>
      <w:ind w:left="3400"/>
      <w:jc w:val="both"/>
    </w:pPr>
    <w:rPr>
      <w:rFonts w:ascii="Calibri" w:eastAsia="宋体" w:hAnsi="Calibri" w:cs="Times New Roman"/>
      <w:sz w:val="21"/>
      <w:lang w:val="en-US" w:eastAsia="zh-CN" w:bidi="ar-SA"/>
    </w:rPr>
  </w:style>
  <w:style w:type="paragraph" w:customStyle="1" w:styleId="toc39">
    <w:name w:val="toc 39"/>
    <w:next w:val="Normal"/>
    <w:qFormat/>
    <w:pPr>
      <w:wordWrap w:val="0"/>
      <w:ind w:left="850"/>
      <w:jc w:val="both"/>
    </w:pPr>
    <w:rPr>
      <w:rFonts w:ascii="Calibri" w:eastAsia="宋体" w:hAnsi="Calibri" w:cs="Times New Roman"/>
      <w:sz w:val="21"/>
      <w:lang w:val="en-US" w:eastAsia="zh-CN" w:bidi="ar-SA"/>
    </w:rPr>
  </w:style>
  <w:style w:type="paragraph" w:customStyle="1" w:styleId="toc710">
    <w:name w:val="toc 710"/>
    <w:next w:val="Normal"/>
    <w:qFormat/>
    <w:pPr>
      <w:wordWrap w:val="0"/>
      <w:ind w:left="2550"/>
      <w:jc w:val="both"/>
    </w:pPr>
    <w:rPr>
      <w:rFonts w:ascii="Calibri" w:eastAsia="宋体" w:hAnsi="Calibri" w:cs="Times New Roman"/>
      <w:sz w:val="21"/>
      <w:lang w:val="en-US" w:eastAsia="zh-CN" w:bidi="ar-SA"/>
    </w:rPr>
  </w:style>
  <w:style w:type="paragraph" w:customStyle="1" w:styleId="toc12">
    <w:name w:val="toc 12"/>
    <w:next w:val="Normal"/>
    <w:qFormat/>
    <w:pPr>
      <w:wordWrap w:val="0"/>
      <w:jc w:val="both"/>
    </w:pPr>
    <w:rPr>
      <w:rFonts w:ascii="Calibri" w:eastAsia="宋体" w:hAnsi="Calibri" w:cs="Times New Roman"/>
      <w:sz w:val="21"/>
      <w:lang w:val="en-US" w:eastAsia="zh-CN" w:bidi="ar-SA"/>
    </w:rPr>
  </w:style>
  <w:style w:type="paragraph" w:customStyle="1" w:styleId="xl95">
    <w:name w:val="xl95"/>
    <w:basedOn w:val="Normal"/>
    <w:next w:val="toc415"/>
    <w:qFormat/>
    <w:pPr>
      <w:widowControl/>
      <w:shd w:val="clear" w:color="000000" w:fill="FFFFFF"/>
      <w:spacing w:before="280" w:after="280"/>
    </w:pPr>
    <w:rPr>
      <w:rFonts w:ascii="宋体" w:hAnsi="Calibri"/>
      <w:kern w:val="0"/>
      <w:sz w:val="20"/>
      <w:szCs w:val="20"/>
    </w:rPr>
  </w:style>
  <w:style w:type="paragraph" w:customStyle="1" w:styleId="toc415">
    <w:name w:val="toc 415"/>
    <w:next w:val="Normal"/>
    <w:qFormat/>
    <w:pPr>
      <w:wordWrap w:val="0"/>
      <w:ind w:left="1275"/>
      <w:jc w:val="both"/>
    </w:pPr>
    <w:rPr>
      <w:rFonts w:ascii="Calibri" w:eastAsia="宋体" w:hAnsi="Calibri" w:cs="Times New Roman"/>
      <w:sz w:val="21"/>
      <w:lang w:val="en-US" w:eastAsia="zh-CN" w:bidi="ar-SA"/>
    </w:rPr>
  </w:style>
  <w:style w:type="paragraph" w:customStyle="1" w:styleId="toc29">
    <w:name w:val="toc 29"/>
    <w:next w:val="Normal"/>
    <w:qFormat/>
    <w:pPr>
      <w:wordWrap w:val="0"/>
      <w:ind w:left="425"/>
      <w:jc w:val="both"/>
    </w:pPr>
    <w:rPr>
      <w:rFonts w:ascii="Calibri" w:eastAsia="宋体" w:hAnsi="Calibri" w:cs="Times New Roman"/>
      <w:sz w:val="21"/>
      <w:lang w:val="en-US" w:eastAsia="zh-CN" w:bidi="ar-SA"/>
    </w:rPr>
  </w:style>
  <w:style w:type="paragraph" w:customStyle="1" w:styleId="xl67">
    <w:name w:val="xl67"/>
    <w:basedOn w:val="Normal"/>
    <w:next w:val="toc714"/>
    <w:qFormat/>
    <w:pPr>
      <w:widowControl/>
      <w:shd w:val="clear" w:color="000000" w:fill="FFFFFF"/>
      <w:spacing w:before="280" w:after="280"/>
      <w:jc w:val="center"/>
    </w:pPr>
    <w:rPr>
      <w:rFonts w:ascii="宋体" w:hAnsi="Calibri"/>
      <w:b/>
      <w:kern w:val="0"/>
      <w:sz w:val="20"/>
      <w:szCs w:val="20"/>
    </w:rPr>
  </w:style>
  <w:style w:type="paragraph" w:customStyle="1" w:styleId="toc714">
    <w:name w:val="toc 714"/>
    <w:next w:val="Normal"/>
    <w:qFormat/>
    <w:pPr>
      <w:wordWrap w:val="0"/>
      <w:ind w:left="2550"/>
      <w:jc w:val="both"/>
    </w:pPr>
    <w:rPr>
      <w:rFonts w:ascii="Calibri" w:eastAsia="宋体" w:hAnsi="Calibri" w:cs="Times New Roman"/>
      <w:sz w:val="21"/>
      <w:lang w:val="en-US" w:eastAsia="zh-CN" w:bidi="ar-SA"/>
    </w:rPr>
  </w:style>
  <w:style w:type="paragraph" w:customStyle="1" w:styleId="toc21">
    <w:name w:val="toc 21"/>
    <w:next w:val="Normal"/>
    <w:qFormat/>
    <w:pPr>
      <w:wordWrap w:val="0"/>
      <w:ind w:left="425"/>
      <w:jc w:val="both"/>
    </w:pPr>
    <w:rPr>
      <w:rFonts w:ascii="Calibri" w:eastAsia="宋体" w:hAnsi="Calibri" w:cs="Times New Roman"/>
      <w:sz w:val="21"/>
      <w:lang w:val="en-US" w:eastAsia="zh-CN" w:bidi="ar-SA"/>
    </w:rPr>
  </w:style>
  <w:style w:type="paragraph" w:customStyle="1" w:styleId="A21">
    <w:name w:val="正文 A"/>
    <w:next w:val="toc812"/>
    <w:qFormat/>
    <w:rPr>
      <w:rFonts w:ascii="Arial" w:eastAsia="Arial Unicode MS" w:hAnsi="Calibri" w:cs="Times New Roman"/>
      <w:color w:val="000000"/>
      <w:sz w:val="21"/>
      <w:lang w:val="en-US" w:eastAsia="zh-CN" w:bidi="ar-SA"/>
    </w:rPr>
  </w:style>
  <w:style w:type="paragraph" w:customStyle="1" w:styleId="toc68">
    <w:name w:val="toc 68"/>
    <w:next w:val="Normal"/>
    <w:qFormat/>
    <w:pPr>
      <w:wordWrap w:val="0"/>
      <w:ind w:left="2125"/>
      <w:jc w:val="both"/>
    </w:pPr>
    <w:rPr>
      <w:rFonts w:ascii="Calibri" w:eastAsia="宋体" w:hAnsi="Calibri" w:cs="Times New Roman"/>
      <w:sz w:val="21"/>
      <w:lang w:val="en-US" w:eastAsia="zh-CN" w:bidi="ar-SA"/>
    </w:rPr>
  </w:style>
  <w:style w:type="paragraph" w:customStyle="1" w:styleId="toc58">
    <w:name w:val="toc 58"/>
    <w:next w:val="Normal"/>
    <w:qFormat/>
    <w:pPr>
      <w:wordWrap w:val="0"/>
      <w:ind w:left="1700"/>
      <w:jc w:val="both"/>
    </w:pPr>
    <w:rPr>
      <w:rFonts w:ascii="Calibri" w:eastAsia="宋体" w:hAnsi="Calibri" w:cs="Times New Roman"/>
      <w:sz w:val="21"/>
      <w:lang w:val="en-US" w:eastAsia="zh-CN" w:bidi="ar-SA"/>
    </w:rPr>
  </w:style>
  <w:style w:type="paragraph" w:customStyle="1" w:styleId="xl88">
    <w:name w:val="xl88"/>
    <w:basedOn w:val="Normal"/>
    <w:next w:val="TOCHeading15"/>
    <w:qFormat/>
    <w:pPr>
      <w:widowControl/>
      <w:shd w:val="clear" w:color="000000" w:fill="FFFFFF"/>
      <w:spacing w:before="280" w:after="280"/>
      <w:jc w:val="center"/>
    </w:pPr>
    <w:rPr>
      <w:rFonts w:ascii="宋体" w:hAnsi="Calibri"/>
      <w:kern w:val="0"/>
      <w:sz w:val="20"/>
      <w:szCs w:val="20"/>
    </w:rPr>
  </w:style>
  <w:style w:type="paragraph" w:customStyle="1" w:styleId="toc71">
    <w:name w:val="toc 71"/>
    <w:next w:val="Normal"/>
    <w:qFormat/>
    <w:pPr>
      <w:wordWrap w:val="0"/>
      <w:ind w:left="2550"/>
      <w:jc w:val="both"/>
    </w:pPr>
    <w:rPr>
      <w:rFonts w:ascii="Calibri" w:eastAsia="宋体" w:hAnsi="Calibri" w:cs="Times New Roman"/>
      <w:sz w:val="21"/>
      <w:lang w:val="en-US" w:eastAsia="zh-CN" w:bidi="ar-SA"/>
    </w:rPr>
  </w:style>
  <w:style w:type="paragraph" w:customStyle="1" w:styleId="xl100">
    <w:name w:val="xl100"/>
    <w:basedOn w:val="Normal"/>
    <w:next w:val="toc510"/>
    <w:qFormat/>
    <w:pPr>
      <w:widowControl/>
      <w:shd w:val="clear" w:color="000000" w:fill="FFFFFF"/>
      <w:spacing w:before="280" w:after="280"/>
    </w:pPr>
    <w:rPr>
      <w:rFonts w:ascii="宋体" w:hAnsi="Calibri"/>
      <w:kern w:val="0"/>
      <w:sz w:val="20"/>
      <w:szCs w:val="20"/>
    </w:rPr>
  </w:style>
  <w:style w:type="paragraph" w:customStyle="1" w:styleId="toc510">
    <w:name w:val="toc 510"/>
    <w:next w:val="Normal"/>
    <w:qFormat/>
    <w:pPr>
      <w:wordWrap w:val="0"/>
      <w:ind w:left="1700"/>
      <w:jc w:val="both"/>
    </w:pPr>
    <w:rPr>
      <w:rFonts w:ascii="Calibri" w:eastAsia="宋体" w:hAnsi="Calibri" w:cs="Times New Roman"/>
      <w:sz w:val="21"/>
      <w:lang w:val="en-US" w:eastAsia="zh-CN" w:bidi="ar-SA"/>
    </w:rPr>
  </w:style>
  <w:style w:type="paragraph" w:customStyle="1" w:styleId="toc314">
    <w:name w:val="toc 314"/>
    <w:next w:val="Normal"/>
    <w:qFormat/>
    <w:pPr>
      <w:wordWrap w:val="0"/>
      <w:ind w:left="850"/>
      <w:jc w:val="both"/>
    </w:pPr>
    <w:rPr>
      <w:rFonts w:ascii="Calibri" w:eastAsia="宋体" w:hAnsi="Calibri" w:cs="Times New Roman"/>
      <w:sz w:val="21"/>
      <w:lang w:val="en-US" w:eastAsia="zh-CN" w:bidi="ar-SA"/>
    </w:rPr>
  </w:style>
  <w:style w:type="paragraph" w:customStyle="1" w:styleId="xl114">
    <w:name w:val="xl114"/>
    <w:basedOn w:val="Normal"/>
    <w:next w:val="toc711"/>
    <w:qFormat/>
    <w:pPr>
      <w:widowControl/>
      <w:shd w:val="clear" w:color="000000" w:fill="FFFFFF"/>
      <w:spacing w:before="280" w:after="280"/>
      <w:jc w:val="center"/>
    </w:pPr>
    <w:rPr>
      <w:rFonts w:ascii="宋体" w:hAnsi="Calibri"/>
      <w:b/>
      <w:kern w:val="0"/>
      <w:sz w:val="20"/>
      <w:szCs w:val="20"/>
    </w:rPr>
  </w:style>
  <w:style w:type="paragraph" w:customStyle="1" w:styleId="xl107">
    <w:name w:val="xl107"/>
    <w:basedOn w:val="Normal"/>
    <w:next w:val="toc610"/>
    <w:qFormat/>
    <w:pPr>
      <w:widowControl/>
      <w:shd w:val="clear" w:color="000000" w:fill="FFFFFF"/>
      <w:spacing w:before="280" w:after="280"/>
    </w:pPr>
    <w:rPr>
      <w:rFonts w:ascii="宋体" w:hAnsi="Calibri"/>
      <w:kern w:val="0"/>
      <w:sz w:val="20"/>
      <w:szCs w:val="20"/>
    </w:rPr>
  </w:style>
  <w:style w:type="paragraph" w:customStyle="1" w:styleId="toc610">
    <w:name w:val="toc 610"/>
    <w:next w:val="Normal"/>
    <w:qFormat/>
    <w:pPr>
      <w:wordWrap w:val="0"/>
      <w:ind w:left="2125"/>
      <w:jc w:val="both"/>
    </w:pPr>
    <w:rPr>
      <w:rFonts w:ascii="Calibri" w:eastAsia="宋体" w:hAnsi="Calibri" w:cs="Times New Roman"/>
      <w:sz w:val="21"/>
      <w:lang w:val="en-US" w:eastAsia="zh-CN" w:bidi="ar-SA"/>
    </w:rPr>
  </w:style>
  <w:style w:type="paragraph" w:customStyle="1" w:styleId="toc22">
    <w:name w:val="toc 22"/>
    <w:next w:val="Normal"/>
    <w:qFormat/>
    <w:pPr>
      <w:wordWrap w:val="0"/>
      <w:ind w:left="425"/>
      <w:jc w:val="both"/>
    </w:pPr>
    <w:rPr>
      <w:rFonts w:ascii="Calibri" w:eastAsia="宋体" w:hAnsi="Calibri" w:cs="Times New Roman"/>
      <w:sz w:val="21"/>
      <w:lang w:val="en-US" w:eastAsia="zh-CN" w:bidi="ar-SA"/>
    </w:rPr>
  </w:style>
  <w:style w:type="paragraph" w:customStyle="1" w:styleId="xl90">
    <w:name w:val="xl90"/>
    <w:basedOn w:val="Normal"/>
    <w:next w:val="toc414"/>
    <w:qFormat/>
    <w:pPr>
      <w:widowControl/>
      <w:shd w:val="clear" w:color="000000" w:fill="FFFFFF"/>
      <w:spacing w:before="280" w:after="280"/>
    </w:pPr>
    <w:rPr>
      <w:rFonts w:ascii="宋体" w:hAnsi="Calibri"/>
      <w:kern w:val="0"/>
      <w:sz w:val="18"/>
      <w:szCs w:val="20"/>
    </w:rPr>
  </w:style>
  <w:style w:type="paragraph" w:customStyle="1" w:styleId="toc616">
    <w:name w:val="toc 616"/>
    <w:next w:val="Normal"/>
    <w:qFormat/>
    <w:pPr>
      <w:wordWrap w:val="0"/>
      <w:ind w:left="2125"/>
      <w:jc w:val="both"/>
    </w:pPr>
    <w:rPr>
      <w:rFonts w:ascii="Calibri" w:eastAsia="宋体" w:hAnsi="Calibri" w:cs="Times New Roman"/>
      <w:sz w:val="21"/>
      <w:lang w:val="en-US" w:eastAsia="zh-CN" w:bidi="ar-SA"/>
    </w:rPr>
  </w:style>
  <w:style w:type="paragraph" w:customStyle="1" w:styleId="toc96">
    <w:name w:val="toc 96"/>
    <w:next w:val="Normal"/>
    <w:qFormat/>
    <w:pPr>
      <w:wordWrap w:val="0"/>
      <w:ind w:left="3400"/>
      <w:jc w:val="both"/>
    </w:pPr>
    <w:rPr>
      <w:rFonts w:ascii="Calibri" w:eastAsia="宋体" w:hAnsi="Calibri" w:cs="Times New Roman"/>
      <w:sz w:val="21"/>
      <w:lang w:val="en-US" w:eastAsia="zh-CN" w:bidi="ar-SA"/>
    </w:rPr>
  </w:style>
  <w:style w:type="paragraph" w:customStyle="1" w:styleId="toc42">
    <w:name w:val="toc 42"/>
    <w:next w:val="Normal"/>
    <w:qFormat/>
    <w:pPr>
      <w:wordWrap w:val="0"/>
      <w:ind w:left="1275"/>
      <w:jc w:val="both"/>
    </w:pPr>
    <w:rPr>
      <w:rFonts w:ascii="Calibri" w:eastAsia="宋体" w:hAnsi="Calibri" w:cs="Times New Roman"/>
      <w:sz w:val="21"/>
      <w:lang w:val="en-US" w:eastAsia="zh-CN" w:bidi="ar-SA"/>
    </w:rPr>
  </w:style>
  <w:style w:type="paragraph" w:customStyle="1" w:styleId="xl117">
    <w:name w:val="xl117"/>
    <w:basedOn w:val="Normal"/>
    <w:next w:val="toc311"/>
    <w:qFormat/>
    <w:pPr>
      <w:widowControl/>
      <w:shd w:val="clear" w:color="000000" w:fill="FFFFFF"/>
      <w:spacing w:before="280" w:after="280"/>
      <w:jc w:val="center"/>
    </w:pPr>
    <w:rPr>
      <w:rFonts w:ascii="Arial Narrow" w:hAnsi="Calibri"/>
      <w:kern w:val="0"/>
      <w:sz w:val="24"/>
      <w:szCs w:val="20"/>
    </w:rPr>
  </w:style>
  <w:style w:type="paragraph" w:customStyle="1" w:styleId="p15">
    <w:name w:val="p15"/>
    <w:basedOn w:val="Normal"/>
    <w:next w:val="toc412"/>
    <w:qFormat/>
    <w:pPr>
      <w:widowControl/>
      <w:ind w:firstLine="420"/>
    </w:pPr>
    <w:rPr>
      <w:rFonts w:hAnsi="Calibri"/>
      <w:kern w:val="0"/>
      <w:szCs w:val="20"/>
    </w:rPr>
  </w:style>
  <w:style w:type="paragraph" w:customStyle="1" w:styleId="xl87">
    <w:name w:val="xl87"/>
    <w:basedOn w:val="Normal"/>
    <w:next w:val="toc98"/>
    <w:qFormat/>
    <w:pPr>
      <w:widowControl/>
      <w:shd w:val="clear" w:color="000000" w:fill="FFFFFF"/>
      <w:spacing w:before="280" w:after="280"/>
    </w:pPr>
    <w:rPr>
      <w:rFonts w:ascii="Arial" w:hAnsi="Calibri"/>
      <w:kern w:val="0"/>
      <w:sz w:val="18"/>
      <w:szCs w:val="20"/>
    </w:rPr>
  </w:style>
  <w:style w:type="paragraph" w:customStyle="1" w:styleId="toc98">
    <w:name w:val="toc 98"/>
    <w:next w:val="Normal"/>
    <w:qFormat/>
    <w:pPr>
      <w:wordWrap w:val="0"/>
      <w:ind w:left="3400"/>
      <w:jc w:val="both"/>
    </w:pPr>
    <w:rPr>
      <w:rFonts w:ascii="Calibri" w:eastAsia="宋体" w:hAnsi="Calibri" w:cs="Times New Roman"/>
      <w:sz w:val="21"/>
      <w:lang w:val="en-US" w:eastAsia="zh-CN" w:bidi="ar-SA"/>
    </w:rPr>
  </w:style>
  <w:style w:type="paragraph" w:customStyle="1" w:styleId="70">
    <w:name w:val="列出段落7"/>
    <w:basedOn w:val="Normal"/>
    <w:next w:val="toc58"/>
    <w:qFormat/>
    <w:pPr>
      <w:ind w:firstLine="420"/>
    </w:pPr>
    <w:rPr>
      <w:rFonts w:hAnsi="Calibri"/>
      <w:kern w:val="0"/>
      <w:szCs w:val="20"/>
    </w:rPr>
  </w:style>
  <w:style w:type="paragraph" w:customStyle="1" w:styleId="xl78">
    <w:name w:val="xl78"/>
    <w:basedOn w:val="Normal"/>
    <w:next w:val="toc710"/>
    <w:qFormat/>
    <w:pPr>
      <w:widowControl/>
      <w:shd w:val="clear" w:color="000000" w:fill="FFFFFF"/>
      <w:spacing w:before="280" w:after="280"/>
    </w:pPr>
    <w:rPr>
      <w:rFonts w:ascii="宋体" w:hAnsi="Calibri"/>
      <w:b/>
      <w:kern w:val="0"/>
      <w:sz w:val="20"/>
      <w:szCs w:val="20"/>
    </w:rPr>
  </w:style>
  <w:style w:type="paragraph" w:customStyle="1" w:styleId="toc516">
    <w:name w:val="toc 516"/>
    <w:next w:val="Normal"/>
    <w:qFormat/>
    <w:pPr>
      <w:wordWrap w:val="0"/>
      <w:ind w:left="1700"/>
      <w:jc w:val="both"/>
    </w:pPr>
    <w:rPr>
      <w:rFonts w:ascii="Calibri" w:eastAsia="宋体" w:hAnsi="Calibri" w:cs="Times New Roman"/>
      <w:sz w:val="21"/>
      <w:lang w:val="en-US" w:eastAsia="zh-CN" w:bidi="ar-SA"/>
    </w:rPr>
  </w:style>
  <w:style w:type="paragraph" w:customStyle="1" w:styleId="xl89">
    <w:name w:val="xl89"/>
    <w:basedOn w:val="Normal"/>
    <w:next w:val="toc811"/>
    <w:qFormat/>
    <w:pPr>
      <w:widowControl/>
      <w:shd w:val="clear" w:color="000000" w:fill="FFFFFF"/>
      <w:spacing w:before="280" w:after="280"/>
    </w:pPr>
    <w:rPr>
      <w:rFonts w:ascii="宋体" w:hAnsi="Calibri"/>
      <w:kern w:val="0"/>
      <w:sz w:val="20"/>
      <w:szCs w:val="20"/>
    </w:rPr>
  </w:style>
  <w:style w:type="paragraph" w:customStyle="1" w:styleId="toc910">
    <w:name w:val="toc 910"/>
    <w:next w:val="Normal"/>
    <w:qFormat/>
    <w:pPr>
      <w:wordWrap w:val="0"/>
      <w:ind w:left="3400"/>
      <w:jc w:val="both"/>
    </w:pPr>
    <w:rPr>
      <w:rFonts w:ascii="Calibri" w:eastAsia="宋体" w:hAnsi="Calibri" w:cs="Times New Roman"/>
      <w:sz w:val="21"/>
      <w:lang w:val="en-US" w:eastAsia="zh-CN" w:bidi="ar-SA"/>
    </w:rPr>
  </w:style>
  <w:style w:type="paragraph" w:customStyle="1" w:styleId="toc34">
    <w:name w:val="toc 34"/>
    <w:next w:val="Normal"/>
    <w:qFormat/>
    <w:pPr>
      <w:wordWrap w:val="0"/>
      <w:ind w:left="850"/>
      <w:jc w:val="both"/>
    </w:pPr>
    <w:rPr>
      <w:rFonts w:ascii="Calibri" w:eastAsia="宋体" w:hAnsi="Calibri" w:cs="Times New Roman"/>
      <w:sz w:val="21"/>
      <w:lang w:val="en-US" w:eastAsia="zh-CN" w:bidi="ar-SA"/>
    </w:rPr>
  </w:style>
  <w:style w:type="paragraph" w:customStyle="1" w:styleId="toc816">
    <w:name w:val="toc 816"/>
    <w:next w:val="Normal"/>
    <w:qFormat/>
    <w:pPr>
      <w:wordWrap w:val="0"/>
      <w:ind w:left="2975"/>
      <w:jc w:val="both"/>
    </w:pPr>
    <w:rPr>
      <w:rFonts w:ascii="Calibri" w:eastAsia="宋体" w:hAnsi="Calibri" w:cs="Times New Roman"/>
      <w:sz w:val="21"/>
      <w:lang w:val="en-US" w:eastAsia="zh-CN" w:bidi="ar-SA"/>
    </w:rPr>
  </w:style>
  <w:style w:type="paragraph" w:customStyle="1" w:styleId="toc43">
    <w:name w:val="toc 43"/>
    <w:next w:val="Normal"/>
    <w:qFormat/>
    <w:pPr>
      <w:wordWrap w:val="0"/>
      <w:ind w:left="1275"/>
      <w:jc w:val="both"/>
    </w:pPr>
    <w:rPr>
      <w:rFonts w:ascii="Calibri" w:eastAsia="宋体" w:hAnsi="Calibri" w:cs="Times New Roman"/>
      <w:sz w:val="21"/>
      <w:lang w:val="en-US" w:eastAsia="zh-CN" w:bidi="ar-SA"/>
    </w:rPr>
  </w:style>
  <w:style w:type="paragraph" w:customStyle="1" w:styleId="toc16">
    <w:name w:val="toc 16"/>
    <w:next w:val="Normal"/>
    <w:qFormat/>
    <w:pPr>
      <w:wordWrap w:val="0"/>
      <w:jc w:val="both"/>
    </w:pPr>
    <w:rPr>
      <w:rFonts w:ascii="Calibri" w:eastAsia="宋体" w:hAnsi="Calibri" w:cs="Times New Roman"/>
      <w:sz w:val="21"/>
      <w:lang w:val="en-US" w:eastAsia="zh-CN" w:bidi="ar-SA"/>
    </w:rPr>
  </w:style>
  <w:style w:type="character" w:customStyle="1" w:styleId="Char22">
    <w:name w:val="引用 Char"/>
    <w:basedOn w:val="DefaultParagraphFont"/>
    <w:link w:val="Quote"/>
    <w:qFormat/>
    <w:rPr>
      <w:rFonts w:ascii="Calibri" w:hAnsi="Calibri"/>
      <w:i/>
      <w:sz w:val="21"/>
    </w:rPr>
  </w:style>
  <w:style w:type="paragraph" w:customStyle="1" w:styleId="toc114">
    <w:name w:val="toc 114"/>
    <w:next w:val="Normal"/>
    <w:qFormat/>
    <w:pPr>
      <w:wordWrap w:val="0"/>
      <w:jc w:val="both"/>
    </w:pPr>
    <w:rPr>
      <w:rFonts w:ascii="Calibri" w:eastAsia="宋体" w:hAnsi="Calibri" w:cs="Times New Roman"/>
      <w:sz w:val="21"/>
      <w:lang w:val="en-US" w:eastAsia="zh-CN" w:bidi="ar-SA"/>
    </w:rPr>
  </w:style>
  <w:style w:type="paragraph" w:customStyle="1" w:styleId="xl119">
    <w:name w:val="xl119"/>
    <w:basedOn w:val="Normal"/>
    <w:next w:val="toc314"/>
    <w:qFormat/>
    <w:pPr>
      <w:widowControl/>
      <w:shd w:val="clear" w:color="000000" w:fill="FFFFFF"/>
      <w:spacing w:before="280" w:after="280"/>
      <w:jc w:val="center"/>
    </w:pPr>
    <w:rPr>
      <w:rFonts w:ascii="宋体" w:hAnsi="Calibri"/>
      <w:b/>
      <w:kern w:val="0"/>
      <w:sz w:val="20"/>
      <w:szCs w:val="20"/>
    </w:rPr>
  </w:style>
  <w:style w:type="paragraph" w:customStyle="1" w:styleId="toc37">
    <w:name w:val="toc 37"/>
    <w:next w:val="Normal"/>
    <w:qFormat/>
    <w:pPr>
      <w:wordWrap w:val="0"/>
      <w:ind w:left="850"/>
      <w:jc w:val="both"/>
    </w:pPr>
    <w:rPr>
      <w:rFonts w:ascii="Calibri" w:eastAsia="宋体" w:hAnsi="Calibri" w:cs="Times New Roman"/>
      <w:sz w:val="21"/>
      <w:lang w:val="en-US" w:eastAsia="zh-CN" w:bidi="ar-SA"/>
    </w:rPr>
  </w:style>
  <w:style w:type="paragraph" w:customStyle="1" w:styleId="xl109">
    <w:name w:val="xl109"/>
    <w:basedOn w:val="Normal"/>
    <w:next w:val="toc27"/>
    <w:qFormat/>
    <w:pPr>
      <w:widowControl/>
      <w:shd w:val="clear" w:color="000000" w:fill="FFFFFF"/>
      <w:spacing w:before="280" w:after="280"/>
    </w:pPr>
    <w:rPr>
      <w:rFonts w:ascii="宋体" w:hAnsi="Calibri"/>
      <w:kern w:val="0"/>
      <w:sz w:val="20"/>
      <w:szCs w:val="20"/>
    </w:rPr>
  </w:style>
  <w:style w:type="paragraph" w:customStyle="1" w:styleId="toc215">
    <w:name w:val="toc 215"/>
    <w:next w:val="Normal"/>
    <w:qFormat/>
    <w:pPr>
      <w:wordWrap w:val="0"/>
      <w:ind w:left="425"/>
      <w:jc w:val="both"/>
    </w:pPr>
    <w:rPr>
      <w:rFonts w:ascii="Calibri" w:eastAsia="宋体" w:hAnsi="Calibri" w:cs="Times New Roman"/>
      <w:sz w:val="21"/>
      <w:lang w:val="en-US" w:eastAsia="zh-CN" w:bidi="ar-SA"/>
    </w:rPr>
  </w:style>
  <w:style w:type="paragraph" w:customStyle="1" w:styleId="xl76">
    <w:name w:val="xl76"/>
    <w:basedOn w:val="Normal"/>
    <w:next w:val="toc315"/>
    <w:qFormat/>
    <w:pPr>
      <w:widowControl/>
      <w:shd w:val="clear" w:color="000000" w:fill="FFFFFF"/>
      <w:spacing w:before="280" w:after="280"/>
      <w:jc w:val="center"/>
    </w:pPr>
    <w:rPr>
      <w:rFonts w:ascii="宋体" w:hAnsi="Calibri"/>
      <w:b/>
      <w:kern w:val="0"/>
      <w:sz w:val="20"/>
      <w:szCs w:val="20"/>
    </w:rPr>
  </w:style>
  <w:style w:type="paragraph" w:customStyle="1" w:styleId="toc92">
    <w:name w:val="toc 92"/>
    <w:next w:val="Normal"/>
    <w:qFormat/>
    <w:pPr>
      <w:wordWrap w:val="0"/>
      <w:ind w:left="3400"/>
      <w:jc w:val="both"/>
    </w:pPr>
    <w:rPr>
      <w:rFonts w:ascii="Calibri" w:eastAsia="宋体" w:hAnsi="Calibri" w:cs="Times New Roman"/>
      <w:sz w:val="21"/>
      <w:lang w:val="en-US" w:eastAsia="zh-CN" w:bidi="ar-SA"/>
    </w:rPr>
  </w:style>
  <w:style w:type="paragraph" w:customStyle="1" w:styleId="toc216">
    <w:name w:val="toc 216"/>
    <w:next w:val="Normal"/>
    <w:qFormat/>
    <w:pPr>
      <w:wordWrap w:val="0"/>
      <w:ind w:left="425"/>
      <w:jc w:val="both"/>
    </w:pPr>
    <w:rPr>
      <w:rFonts w:ascii="Calibri" w:eastAsia="宋体" w:hAnsi="Calibri" w:cs="Times New Roman"/>
      <w:sz w:val="21"/>
      <w:lang w:val="en-US" w:eastAsia="zh-CN" w:bidi="ar-SA"/>
    </w:rPr>
  </w:style>
  <w:style w:type="paragraph" w:customStyle="1" w:styleId="xl70">
    <w:name w:val="xl70"/>
    <w:basedOn w:val="Normal"/>
    <w:next w:val="toc113"/>
    <w:qFormat/>
    <w:pPr>
      <w:widowControl/>
      <w:shd w:val="clear" w:color="000000" w:fill="FFFFFF"/>
      <w:spacing w:before="280" w:after="280"/>
    </w:pPr>
    <w:rPr>
      <w:rFonts w:ascii="宋体" w:hAnsi="Calibri"/>
      <w:kern w:val="0"/>
      <w:sz w:val="20"/>
      <w:szCs w:val="20"/>
    </w:rPr>
  </w:style>
  <w:style w:type="paragraph" w:customStyle="1" w:styleId="toc33">
    <w:name w:val="toc 33"/>
    <w:next w:val="Normal"/>
    <w:qFormat/>
    <w:pPr>
      <w:wordWrap w:val="0"/>
      <w:ind w:left="850"/>
      <w:jc w:val="both"/>
    </w:pPr>
    <w:rPr>
      <w:rFonts w:ascii="Calibri" w:eastAsia="宋体" w:hAnsi="Calibri" w:cs="Times New Roman"/>
      <w:sz w:val="21"/>
      <w:lang w:val="en-US" w:eastAsia="zh-CN" w:bidi="ar-SA"/>
    </w:rPr>
  </w:style>
  <w:style w:type="paragraph" w:customStyle="1" w:styleId="toc61">
    <w:name w:val="toc 61"/>
    <w:next w:val="Normal"/>
    <w:qFormat/>
    <w:pPr>
      <w:wordWrap w:val="0"/>
      <w:ind w:left="2125"/>
      <w:jc w:val="both"/>
    </w:pPr>
    <w:rPr>
      <w:rFonts w:ascii="Calibri" w:eastAsia="宋体" w:hAnsi="Calibri" w:cs="Times New Roman"/>
      <w:sz w:val="21"/>
      <w:lang w:val="en-US" w:eastAsia="zh-CN" w:bidi="ar-SA"/>
    </w:rPr>
  </w:style>
  <w:style w:type="paragraph" w:customStyle="1" w:styleId="xl98">
    <w:name w:val="xl98"/>
    <w:basedOn w:val="Normal"/>
    <w:next w:val="toc211"/>
    <w:qFormat/>
    <w:pPr>
      <w:widowControl/>
      <w:shd w:val="clear" w:color="000000" w:fill="FFFFFF"/>
      <w:spacing w:before="280" w:after="280"/>
      <w:jc w:val="center"/>
    </w:pPr>
    <w:rPr>
      <w:rFonts w:ascii="宋体" w:hAnsi="Calibri"/>
      <w:kern w:val="0"/>
      <w:sz w:val="20"/>
      <w:szCs w:val="20"/>
    </w:rPr>
  </w:style>
  <w:style w:type="paragraph" w:customStyle="1" w:styleId="toc26">
    <w:name w:val="toc 26"/>
    <w:next w:val="Normal"/>
    <w:qFormat/>
    <w:pPr>
      <w:wordWrap w:val="0"/>
      <w:ind w:left="425"/>
      <w:jc w:val="both"/>
    </w:pPr>
    <w:rPr>
      <w:rFonts w:ascii="Calibri" w:eastAsia="宋体" w:hAnsi="Calibri" w:cs="Times New Roman"/>
      <w:sz w:val="21"/>
      <w:lang w:val="en-US" w:eastAsia="zh-CN" w:bidi="ar-SA"/>
    </w:rPr>
  </w:style>
  <w:style w:type="paragraph" w:customStyle="1" w:styleId="toc13">
    <w:name w:val="toc 13"/>
    <w:next w:val="Normal"/>
    <w:qFormat/>
    <w:pPr>
      <w:wordWrap w:val="0"/>
      <w:jc w:val="both"/>
    </w:pPr>
    <w:rPr>
      <w:rFonts w:ascii="Calibri" w:eastAsia="宋体" w:hAnsi="Calibri" w:cs="Times New Roman"/>
      <w:sz w:val="21"/>
      <w:lang w:val="en-US" w:eastAsia="zh-CN" w:bidi="ar-SA"/>
    </w:rPr>
  </w:style>
  <w:style w:type="paragraph" w:customStyle="1" w:styleId="51">
    <w:name w:val="目录 51"/>
    <w:next w:val="Normal"/>
    <w:qFormat/>
    <w:pPr>
      <w:wordWrap w:val="0"/>
      <w:ind w:left="1700"/>
      <w:jc w:val="both"/>
    </w:pPr>
    <w:rPr>
      <w:rFonts w:ascii="Calibri" w:eastAsia="宋体" w:hAnsi="Calibri" w:cs="Times New Roman"/>
      <w:sz w:val="21"/>
      <w:lang w:val="en-US" w:eastAsia="zh-CN" w:bidi="ar-SA"/>
    </w:rPr>
  </w:style>
  <w:style w:type="paragraph" w:customStyle="1" w:styleId="xl101">
    <w:name w:val="xl101"/>
    <w:basedOn w:val="Normal"/>
    <w:next w:val="toc96"/>
    <w:qFormat/>
    <w:pPr>
      <w:widowControl/>
      <w:spacing w:before="280" w:after="280"/>
    </w:pPr>
    <w:rPr>
      <w:rFonts w:ascii="宋体" w:hAnsi="Calibri"/>
      <w:kern w:val="0"/>
      <w:sz w:val="20"/>
      <w:szCs w:val="20"/>
    </w:rPr>
  </w:style>
  <w:style w:type="paragraph" w:customStyle="1" w:styleId="toc75">
    <w:name w:val="toc 75"/>
    <w:next w:val="Normal"/>
    <w:qFormat/>
    <w:pPr>
      <w:wordWrap w:val="0"/>
      <w:ind w:left="2550"/>
      <w:jc w:val="both"/>
    </w:pPr>
    <w:rPr>
      <w:rFonts w:ascii="Calibri" w:eastAsia="宋体" w:hAnsi="Calibri" w:cs="Times New Roman"/>
      <w:sz w:val="21"/>
      <w:lang w:val="en-US" w:eastAsia="zh-CN" w:bidi="ar-SA"/>
    </w:rPr>
  </w:style>
  <w:style w:type="paragraph" w:customStyle="1" w:styleId="toc715">
    <w:name w:val="toc 715"/>
    <w:next w:val="Normal"/>
    <w:qFormat/>
    <w:pPr>
      <w:wordWrap w:val="0"/>
      <w:ind w:left="2550"/>
      <w:jc w:val="both"/>
    </w:pPr>
    <w:rPr>
      <w:rFonts w:ascii="Calibri" w:eastAsia="宋体" w:hAnsi="Calibri" w:cs="Times New Roman"/>
      <w:sz w:val="21"/>
      <w:lang w:val="en-US" w:eastAsia="zh-CN" w:bidi="ar-SA"/>
    </w:rPr>
  </w:style>
  <w:style w:type="paragraph" w:styleId="IntenseQuote">
    <w:name w:val="Intense Quote"/>
    <w:next w:val="Normal"/>
    <w:link w:val="Char23"/>
    <w:qFormat/>
    <w:pPr>
      <w:wordWrap w:val="0"/>
      <w:spacing w:before="360" w:after="360"/>
      <w:ind w:left="950" w:right="950"/>
      <w:jc w:val="center"/>
    </w:pPr>
    <w:rPr>
      <w:rFonts w:ascii="Calibri" w:eastAsia="宋体" w:hAnsi="Calibri" w:cs="Times New Roman"/>
      <w:i/>
      <w:sz w:val="21"/>
      <w:lang w:val="en-US" w:eastAsia="zh-CN" w:bidi="ar-SA"/>
    </w:rPr>
  </w:style>
  <w:style w:type="character" w:customStyle="1" w:styleId="Char23">
    <w:name w:val="明显引用 Char"/>
    <w:basedOn w:val="DefaultParagraphFont"/>
    <w:link w:val="IntenseQuote"/>
    <w:qFormat/>
    <w:rPr>
      <w:rFonts w:ascii="Calibri" w:hAnsi="Calibri"/>
      <w:i/>
      <w:sz w:val="21"/>
    </w:rPr>
  </w:style>
  <w:style w:type="paragraph" w:customStyle="1" w:styleId="CharCharCharCharCharCharChar">
    <w:name w:val="Char Char Char Char Char Char Char"/>
    <w:basedOn w:val="Normal"/>
    <w:next w:val="toc215"/>
    <w:qFormat/>
    <w:pPr>
      <w:widowControl/>
      <w:spacing w:after="160" w:line="240" w:lineRule="exact"/>
    </w:pPr>
    <w:rPr>
      <w:rFonts w:hAnsi="Calibri"/>
      <w:kern w:val="0"/>
      <w:szCs w:val="20"/>
    </w:rPr>
  </w:style>
  <w:style w:type="paragraph" w:customStyle="1" w:styleId="toc23">
    <w:name w:val="toc 23"/>
    <w:next w:val="Normal"/>
    <w:qFormat/>
    <w:pPr>
      <w:wordWrap w:val="0"/>
      <w:ind w:left="425"/>
      <w:jc w:val="both"/>
    </w:pPr>
    <w:rPr>
      <w:rFonts w:ascii="Calibri" w:eastAsia="宋体" w:hAnsi="Calibri" w:cs="Times New Roman"/>
      <w:sz w:val="21"/>
      <w:lang w:val="en-US" w:eastAsia="zh-CN" w:bidi="ar-SA"/>
    </w:rPr>
  </w:style>
  <w:style w:type="paragraph" w:customStyle="1" w:styleId="61">
    <w:name w:val="目录 61"/>
    <w:next w:val="Normal"/>
    <w:qFormat/>
    <w:pPr>
      <w:wordWrap w:val="0"/>
      <w:ind w:left="2125"/>
      <w:jc w:val="both"/>
    </w:pPr>
    <w:rPr>
      <w:rFonts w:ascii="Calibri" w:eastAsia="宋体" w:hAnsi="Calibri" w:cs="Times New Roman"/>
      <w:sz w:val="21"/>
      <w:lang w:val="en-US" w:eastAsia="zh-CN" w:bidi="ar-SA"/>
    </w:rPr>
  </w:style>
  <w:style w:type="paragraph" w:customStyle="1" w:styleId="toc97">
    <w:name w:val="toc 97"/>
    <w:next w:val="Normal"/>
    <w:qFormat/>
    <w:pPr>
      <w:wordWrap w:val="0"/>
      <w:ind w:left="3400"/>
      <w:jc w:val="both"/>
    </w:pPr>
    <w:rPr>
      <w:rFonts w:ascii="Calibri" w:eastAsia="宋体" w:hAnsi="Calibri" w:cs="Times New Roman"/>
      <w:sz w:val="21"/>
      <w:lang w:val="en-US" w:eastAsia="zh-CN" w:bidi="ar-SA"/>
    </w:rPr>
  </w:style>
  <w:style w:type="paragraph" w:customStyle="1" w:styleId="toc74">
    <w:name w:val="toc 74"/>
    <w:next w:val="Normal"/>
    <w:qFormat/>
    <w:pPr>
      <w:wordWrap w:val="0"/>
      <w:ind w:left="2550"/>
      <w:jc w:val="both"/>
    </w:pPr>
    <w:rPr>
      <w:rFonts w:ascii="Calibri" w:eastAsia="宋体" w:hAnsi="Calibri" w:cs="Times New Roman"/>
      <w:sz w:val="21"/>
      <w:lang w:val="en-US" w:eastAsia="zh-CN" w:bidi="ar-SA"/>
    </w:rPr>
  </w:style>
  <w:style w:type="paragraph" w:customStyle="1" w:styleId="xl64">
    <w:name w:val="xl64"/>
    <w:basedOn w:val="Normal"/>
    <w:next w:val="toc114"/>
    <w:qFormat/>
    <w:pPr>
      <w:widowControl/>
      <w:shd w:val="clear" w:color="000000" w:fill="FFFFFF"/>
      <w:spacing w:before="280" w:after="280"/>
    </w:pPr>
    <w:rPr>
      <w:rFonts w:ascii="宋体" w:hAnsi="Calibri"/>
      <w:kern w:val="0"/>
      <w:sz w:val="20"/>
      <w:szCs w:val="20"/>
    </w:rPr>
  </w:style>
  <w:style w:type="paragraph" w:customStyle="1" w:styleId="xl82">
    <w:name w:val="xl82"/>
    <w:basedOn w:val="Normal"/>
    <w:next w:val="toc313"/>
    <w:qFormat/>
    <w:pPr>
      <w:widowControl/>
      <w:shd w:val="clear" w:color="000000" w:fill="FFFFFF"/>
      <w:spacing w:before="280" w:after="280"/>
    </w:pPr>
    <w:rPr>
      <w:rFonts w:ascii="宋体" w:hAnsi="Calibri"/>
      <w:kern w:val="0"/>
      <w:sz w:val="20"/>
      <w:szCs w:val="20"/>
    </w:rPr>
  </w:style>
  <w:style w:type="paragraph" w:customStyle="1" w:styleId="toc32">
    <w:name w:val="toc 32"/>
    <w:next w:val="Normal"/>
    <w:qFormat/>
    <w:pPr>
      <w:wordWrap w:val="0"/>
      <w:ind w:left="850"/>
      <w:jc w:val="both"/>
    </w:pPr>
    <w:rPr>
      <w:rFonts w:ascii="Calibri" w:eastAsia="宋体" w:hAnsi="Calibri" w:cs="Times New Roman"/>
      <w:sz w:val="21"/>
      <w:lang w:val="en-US" w:eastAsia="zh-CN" w:bidi="ar-SA"/>
    </w:rPr>
  </w:style>
  <w:style w:type="paragraph" w:customStyle="1" w:styleId="xl77">
    <w:name w:val="xl77"/>
    <w:basedOn w:val="Normal"/>
    <w:next w:val="toc910"/>
    <w:qFormat/>
    <w:pPr>
      <w:widowControl/>
      <w:shd w:val="clear" w:color="000000" w:fill="FFFFFF"/>
      <w:spacing w:before="280" w:after="280"/>
      <w:jc w:val="center"/>
    </w:pPr>
    <w:rPr>
      <w:rFonts w:ascii="宋体" w:hAnsi="Calibri"/>
      <w:kern w:val="0"/>
      <w:sz w:val="20"/>
      <w:szCs w:val="20"/>
    </w:rPr>
  </w:style>
  <w:style w:type="character" w:customStyle="1" w:styleId="Char119">
    <w:name w:val="正文缩进 Char1"/>
    <w:qFormat/>
    <w:rPr>
      <w:rFonts w:eastAsia="宋体"/>
      <w:kern w:val="2"/>
      <w:sz w:val="21"/>
      <w:lang w:val="en-US" w:eastAsia="zh-CN" w:bidi="ar-SA"/>
    </w:rPr>
  </w:style>
  <w:style w:type="character" w:customStyle="1" w:styleId="fielderror">
    <w:name w:val="fielderror"/>
    <w:basedOn w:val="DefaultParagraphFont"/>
    <w:qFormat/>
    <w:rPr>
      <w:color w:val="800000"/>
    </w:rPr>
  </w:style>
  <w:style w:type="character" w:customStyle="1" w:styleId="hilite6">
    <w:name w:val="hilite6"/>
    <w:basedOn w:val="DefaultParagraphFont"/>
    <w:qFormat/>
    <w:rPr>
      <w:color w:val="000000"/>
    </w:rPr>
  </w:style>
  <w:style w:type="character" w:customStyle="1" w:styleId="active6">
    <w:name w:val="active6"/>
    <w:basedOn w:val="DefaultParagraphFont"/>
    <w:qFormat/>
    <w:rPr>
      <w:color w:val="FFFFFF"/>
    </w:rPr>
  </w:style>
  <w:style w:type="character" w:customStyle="1" w:styleId="inline-help">
    <w:name w:val="inline-help"/>
    <w:basedOn w:val="DefaultParagraphFont"/>
    <w:qFormat/>
  </w:style>
  <w:style w:type="character" w:customStyle="1" w:styleId="active">
    <w:name w:val="active"/>
    <w:basedOn w:val="DefaultParagraphFont"/>
    <w:qFormat/>
    <w:rPr>
      <w:color w:val="FFFFFF"/>
    </w:rPr>
  </w:style>
  <w:style w:type="table" w:customStyle="1" w:styleId="112">
    <w:name w:val="网格型1"/>
    <w:basedOn w:val="TableNormal"/>
    <w:uiPriority w:val="39"/>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
    <w:name w:val="Revision"/>
    <w:hidden/>
    <w:uiPriority w:val="99"/>
    <w:semiHidden/>
    <w:qFormat/>
    <w:rPr>
      <w:rFonts w:ascii="Times New Roman" w:eastAsia="宋体" w:hAnsi="Times New Roman" w:cs="Times New Roman"/>
      <w:kern w:val="2"/>
      <w:sz w:val="21"/>
      <w:szCs w:val="24"/>
      <w:lang w:val="en-US" w:eastAsia="zh-CN" w:bidi="ar-SA"/>
    </w:rPr>
  </w:style>
  <w:style w:type="character" w:customStyle="1" w:styleId="hover">
    <w:name w:val="hover"/>
    <w:basedOn w:val="DefaultParagraphFont"/>
    <w:qFormat/>
  </w:style>
  <w:style w:type="character" w:customStyle="1" w:styleId="hover1">
    <w:name w:val="hover1"/>
    <w:basedOn w:val="DefaultParagraphFont"/>
    <w:qFormat/>
    <w:rPr>
      <w:color w:val="2590EB"/>
    </w:rPr>
  </w:style>
  <w:style w:type="character" w:customStyle="1" w:styleId="hover2">
    <w:name w:val="hover2"/>
    <w:basedOn w:val="DefaultParagraphFont"/>
    <w:qFormat/>
    <w:rPr>
      <w:color w:val="2590EB"/>
    </w:rPr>
  </w:style>
  <w:style w:type="character" w:customStyle="1" w:styleId="hover3">
    <w:name w:val="hover3"/>
    <w:basedOn w:val="DefaultParagraphFont"/>
    <w:qFormat/>
    <w:rPr>
      <w:color w:val="2590EB"/>
      <w:shd w:val="clear" w:color="auto" w:fill="E9F4FD"/>
    </w:rPr>
  </w:style>
  <w:style w:type="table" w:customStyle="1" w:styleId="TableNormal0">
    <w:name w:val="Table Normal_0"/>
    <w:semiHidden/>
    <w:unhideWhenUsed/>
    <w:qFormat/>
    <w:rPr>
      <w:rFonts w:ascii="Arial" w:hAnsi="Arial" w:cs="Arial"/>
    </w:rPr>
    <w:tblPr>
      <w:tblCellMar>
        <w:top w:w="0" w:type="dxa"/>
        <w:left w:w="0" w:type="dxa"/>
        <w:bottom w:w="0" w:type="dxa"/>
        <w:right w:w="0" w:type="dxa"/>
      </w:tblCellMar>
    </w:tblPr>
  </w:style>
  <w:style w:type="paragraph" w:customStyle="1" w:styleId="a22">
    <w:name w:val="表格文字"/>
    <w:basedOn w:val="Normal"/>
    <w:qFormat/>
    <w:pPr>
      <w:widowControl w:val="0"/>
      <w:spacing w:before="25" w:after="25"/>
      <w:jc w:val="both"/>
    </w:pPr>
    <w:rPr>
      <w:rFonts w:asciiTheme="minorHAnsi" w:hAnsiTheme="minorHAnsi" w:cstheme="minorBidi"/>
      <w:spacing w:val="10"/>
      <w:kern w:val="2"/>
      <w:szCs w:val="22"/>
    </w:rPr>
  </w:style>
  <w:style w:type="character" w:customStyle="1" w:styleId="hover4">
    <w:name w:val="hover4"/>
    <w:basedOn w:val="DefaultParagraphFont"/>
    <w:qFormat/>
    <w:rPr>
      <w:color w:val="2590EB"/>
      <w:shd w:val="clear" w:color="auto" w:fill="E9F4FD"/>
    </w:rPr>
  </w:style>
  <w:style w:type="table" w:customStyle="1" w:styleId="TableNormal00">
    <w:name w:val="Table Normal_0_0"/>
    <w:semiHidden/>
    <w:unhideWhenUsed/>
    <w:qFormat/>
    <w:rPr>
      <w:rFonts w:ascii="Arial" w:hAnsi="Arial" w:cs="Arial"/>
    </w:rPr>
    <w:tblPr>
      <w:tblCellMar>
        <w:top w:w="0" w:type="dxa"/>
        <w:left w:w="0" w:type="dxa"/>
        <w:bottom w:w="0" w:type="dxa"/>
        <w:right w:w="0" w:type="dxa"/>
      </w:tblCellMar>
    </w:tblPr>
  </w:style>
  <w:style w:type="table" w:customStyle="1" w:styleId="TableNormal1">
    <w:name w:val="Table Normal_1"/>
    <w:semiHidden/>
    <w:unhideWhenUsed/>
    <w:qFormat/>
    <w:rPr>
      <w:rFonts w:ascii="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4</TotalTime>
  <Pages>65</Pages>
  <Words>58358</Words>
  <Characters>61430</Characters>
  <Application>Microsoft Office Word</Application>
  <DocSecurity>0</DocSecurity>
  <Lines>368</Lines>
  <Paragraphs>103</Paragraphs>
  <ScaleCrop>false</ScaleCrop>
  <Company>Microsoft</Company>
  <LinksUpToDate>false</LinksUpToDate>
  <CharactersWithSpaces>65185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LLL</cp:lastModifiedBy>
  <cp:revision>123</cp:revision>
  <cp:lastPrinted>2021-05-16T11:04:00Z</cp:lastPrinted>
  <dcterms:created xsi:type="dcterms:W3CDTF">2021-05-07T05:47:00Z</dcterms:created>
  <dcterms:modified xsi:type="dcterms:W3CDTF">2025-12-02T07:40:19Z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0E2B634D629B4DBE820CDD3CE087FDD3_13</vt:lpwstr>
  </property>
  <property fmtid="{D5CDD505-2E9C-101B-9397-08002B2CF9AE}" pid="3" name="KSOProductBuildVer">
    <vt:lpwstr>2052-11.1.0.14309</vt:lpwstr>
  </property>
  <property fmtid="{D5CDD505-2E9C-101B-9397-08002B2CF9AE}" pid="4" name="KSOTemplateDocerSaveRecord">
    <vt:lpwstr>eyJoZGlkIjoiNWMyOTMyNTQ1MWRmNGI0N2FlNmM4NDMxM2EyYTMzOGMiLCJ1c2VySWQiOiIxMTc1MzY1NzI0In0=</vt:lpwstr>
  </property>
</Properties>
</file>