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DPZXCG-2025-00030</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kern w:val="2"/>
                <w:sz w:val="30"/>
                <w:szCs w:val="30"/>
                <w:lang w:eastAsia="zh-CN"/>
              </w:rPr>
              <w:t>康复评定科设备采购项目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2"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w:t>
            </w:r>
            <w:bookmarkStart w:id="3" w:name="_GoBack"/>
            <w:bookmarkEnd w:id="3"/>
            <w:r>
              <w:rPr>
                <w:rFonts w:ascii="宋体" w:eastAsia="宋体" w:hAnsi="宋体" w:cs="宋体" w:hint="eastAsia"/>
                <w:kern w:val="2"/>
                <w:sz w:val="21"/>
                <w:szCs w:val="21"/>
                <w:lang w:eastAsia="zh-CN"/>
              </w:rPr>
              <w:t>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；⑤技术团队情况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val="0"/>
              <w:overflowPunct/>
              <w:topLinePunct w:val="0"/>
              <w:bidi w:val="0"/>
              <w:adjustRightInd/>
              <w:snapToGrid/>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自2019年1月1日至本项目投标截止日前（以合同</w:t>
            </w:r>
            <w:r>
              <w:rPr>
                <w:rFonts w:ascii="宋体" w:eastAsia="宋体" w:hAnsi="宋体" w:cs="宋体" w:hint="eastAsia"/>
                <w:kern w:val="2"/>
                <w:sz w:val="21"/>
                <w:szCs w:val="21"/>
                <w:lang w:eastAsia="zh-CN"/>
              </w:rPr>
              <w:t>签订</w:t>
            </w:r>
            <w:r>
              <w:rPr>
                <w:rFonts w:ascii="宋体" w:eastAsia="宋体" w:hAnsi="宋体" w:cs="宋体" w:hint="eastAsia"/>
                <w:kern w:val="2"/>
                <w:sz w:val="21"/>
                <w:szCs w:val="21"/>
                <w:lang w:val="zh-CN" w:eastAsia="zh-CN"/>
              </w:rPr>
              <w:t>日期为准），投标人</w:t>
            </w:r>
            <w:r>
              <w:rPr>
                <w:rFonts w:ascii="宋体" w:eastAsia="宋体" w:hAnsi="宋体" w:cs="宋体" w:hint="eastAsia"/>
                <w:kern w:val="2"/>
                <w:sz w:val="21"/>
                <w:szCs w:val="21"/>
                <w:lang w:eastAsia="zh-CN"/>
              </w:rPr>
              <w:t>承担</w:t>
            </w:r>
            <w:r>
              <w:rPr>
                <w:rFonts w:eastAsia="宋体" w:hint="eastAsia"/>
                <w:bCs/>
                <w:kern w:val="2"/>
                <w:sz w:val="21"/>
                <w:szCs w:val="21"/>
                <w:lang w:eastAsia="zh-CN"/>
              </w:rPr>
              <w:t>医疗设备康复设备类</w:t>
            </w:r>
            <w:r>
              <w:rPr>
                <w:rFonts w:ascii="宋体" w:eastAsia="宋体" w:hAnsi="宋体" w:cs="宋体" w:hint="eastAsia"/>
                <w:kern w:val="2"/>
                <w:sz w:val="21"/>
                <w:szCs w:val="21"/>
                <w:lang w:val="zh-CN" w:eastAsia="zh-CN"/>
              </w:rPr>
              <w:t>销售业绩，每提供1份</w:t>
            </w:r>
            <w:r>
              <w:rPr>
                <w:rFonts w:ascii="宋体" w:eastAsia="宋体" w:hAnsi="宋体" w:cs="宋体" w:hint="eastAsia"/>
                <w:kern w:val="2"/>
                <w:sz w:val="21"/>
                <w:szCs w:val="21"/>
                <w:lang w:eastAsia="zh-CN"/>
              </w:rPr>
              <w:t>同类项目业绩</w:t>
            </w:r>
            <w:r>
              <w:rPr>
                <w:rFonts w:ascii="宋体" w:eastAsia="宋体" w:hAnsi="宋体" w:cs="宋体" w:hint="eastAsia"/>
                <w:kern w:val="2"/>
                <w:sz w:val="21"/>
                <w:szCs w:val="21"/>
                <w:lang w:val="zh-CN"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val="zh-CN" w:eastAsia="zh-CN"/>
              </w:rPr>
              <w:t>分，本项累计最高得100分。</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val="zh-CN" w:eastAsia="zh-CN"/>
              </w:rPr>
              <w:t>提供销售合同关键页【包括但不限于</w:t>
            </w:r>
            <w:r>
              <w:rPr>
                <w:rFonts w:ascii="宋体" w:eastAsia="宋体" w:hAnsi="宋体" w:cs="宋体" w:hint="eastAsia"/>
                <w:kern w:val="2"/>
                <w:sz w:val="21"/>
                <w:szCs w:val="21"/>
                <w:lang w:eastAsia="zh-CN"/>
              </w:rPr>
              <w:t>合同（项目）名称、采购</w:t>
            </w:r>
            <w:r>
              <w:rPr>
                <w:rFonts w:ascii="宋体" w:eastAsia="宋体" w:hAnsi="宋体" w:cs="宋体" w:hint="eastAsia"/>
                <w:kern w:val="2"/>
                <w:sz w:val="21"/>
                <w:szCs w:val="21"/>
                <w:lang w:val="zh-CN" w:eastAsia="zh-CN"/>
              </w:rPr>
              <w:t>货物内容、签订日期、合同双方签字盖章页】</w:t>
            </w:r>
            <w:r>
              <w:rPr>
                <w:rFonts w:ascii="宋体" w:eastAsia="宋体" w:hAnsi="宋体" w:cs="宋体" w:hint="eastAsia"/>
                <w:kern w:val="2"/>
                <w:sz w:val="21"/>
                <w:szCs w:val="21"/>
                <w:lang w:eastAsia="zh-CN"/>
              </w:rPr>
              <w:t>扫描件</w:t>
            </w:r>
            <w:r>
              <w:rPr>
                <w:rFonts w:ascii="宋体" w:eastAsia="宋体" w:hAnsi="宋体" w:cs="宋体" w:hint="eastAsia"/>
                <w:kern w:val="2"/>
                <w:sz w:val="21"/>
                <w:szCs w:val="21"/>
                <w:lang w:val="zh-CN" w:eastAsia="zh-CN"/>
              </w:rPr>
              <w:t>，原件备查；</w:t>
            </w:r>
          </w:p>
          <w:p>
            <w:pPr>
              <w:keepNext w:val="0"/>
              <w:keepLines w:val="0"/>
              <w:pageBreakBefore w:val="0"/>
              <w:widowControl w:val="0"/>
              <w:kinsoku/>
              <w:overflowPunct/>
              <w:topLinePunct w:val="0"/>
              <w:bidi w:val="0"/>
              <w:adjustRightInd/>
              <w:snapToGrid/>
              <w:jc w:val="both"/>
              <w:textAlignment w:val="auto"/>
              <w:rPr>
                <w:rFonts w:eastAsia="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以上证明材料原件备查，</w:t>
            </w:r>
            <w:r>
              <w:rPr>
                <w:rFonts w:ascii="宋体" w:eastAsia="宋体" w:hAnsi="宋体" w:cs="宋体" w:hint="eastAsia"/>
                <w:kern w:val="2"/>
                <w:sz w:val="21"/>
                <w:szCs w:val="21"/>
                <w:lang w:val="zh-CN" w:eastAsia="zh-CN"/>
              </w:rPr>
              <w:t>未提供证明材料或者提供的证明材料不符合要求或评审专家无法凭所提供资料判断是否得分的，一律做不得分处理。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2"/>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4"/>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5"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5"/>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7" w:name="合同格式"/>
      <w:bookmarkEnd w:id="7"/>
      <w:bookmarkStart w:id="8" w:name="bt本工程承诺书"/>
      <w:bookmarkEnd w:id="8"/>
      <w:bookmarkStart w:id="9" w:name="bt其他资料2"/>
      <w:bookmarkEnd w:id="9"/>
      <w:bookmarkStart w:id="10" w:name="bt其他资料由投标人自定"/>
      <w:bookmarkEnd w:id="10"/>
      <w:bookmarkStart w:id="11" w:name="bt投标函"/>
      <w:bookmarkEnd w:id="11"/>
      <w:bookmarkStart w:id="12" w:name="bt投标报价汇总表"/>
      <w:bookmarkEnd w:id="12"/>
      <w:bookmarkStart w:id="13" w:name="bt合同条款"/>
      <w:bookmarkEnd w:id="13"/>
      <w:bookmarkStart w:id="14" w:name="bt商务标投标文件格式"/>
      <w:bookmarkEnd w:id="14"/>
      <w:bookmarkStart w:id="15" w:name="bt投标人情况介绍"/>
      <w:bookmarkEnd w:id="15"/>
      <w:bookmarkStart w:id="16" w:name="bt合同格式"/>
      <w:bookmarkEnd w:id="16"/>
      <w:bookmarkStart w:id="17" w:name="bt技术标投标文件格式"/>
      <w:bookmarkEnd w:id="17"/>
      <w:bookmarkStart w:id="18" w:name="bt投标人须知"/>
      <w:bookmarkEnd w:id="18"/>
      <w:bookmarkStart w:id="19" w:name="bt项目管理班子配备情况"/>
      <w:bookmarkEnd w:id="19"/>
      <w:bookmarkStart w:id="20" w:name="bt说明"/>
      <w:bookmarkEnd w:id="20"/>
      <w:bookmarkStart w:id="21" w:name="bt投标文件签署授权委托书"/>
      <w:bookmarkEnd w:id="21"/>
      <w:bookmarkStart w:id="22" w:name="bt开标一览表"/>
      <w:bookmarkEnd w:id="22"/>
      <w:bookmarkStart w:id="23" w:name="bt合同条款及格式"/>
      <w:bookmarkEnd w:id="23"/>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4"/>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不接受</w:t>
      </w:r>
      <w:r>
        <w:rPr>
          <w:rFonts w:ascii="宋体" w:eastAsia="宋体" w:hAnsi="宋体" w:cs="宋体" w:hint="eastAsia"/>
          <w:color w:val="FF0000"/>
          <w:sz w:val="21"/>
          <w:szCs w:val="21"/>
          <w:lang w:eastAsia="zh-CN"/>
        </w:rPr>
        <w:t>投标人选用进口产品参与投标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是，</w:t>
      </w:r>
      <w:r>
        <w:rPr>
          <w:rFonts w:ascii="宋体" w:eastAsia="宋体" w:hAnsi="宋体" w:cs="宋体" w:hint="eastAsia"/>
          <w:sz w:val="21"/>
          <w:szCs w:val="21"/>
          <w:lang w:eastAsia="zh-CN"/>
        </w:rPr>
        <w:t>供应商提供的货物全部由符合政策要求的中小微企业、残疾人福利性</w:t>
      </w:r>
      <w:r>
        <w:rPr>
          <w:rFonts w:ascii="宋体" w:eastAsia="宋体" w:hAnsi="宋体" w:cs="宋体" w:hint="eastAsia"/>
          <w:sz w:val="21"/>
          <w:szCs w:val="21"/>
          <w:lang w:eastAsia="zh-CN"/>
        </w:rPr>
        <w:t>单位或</w:t>
      </w:r>
      <w:r>
        <w:rPr>
          <w:rFonts w:ascii="宋体" w:eastAsia="宋体" w:hAnsi="宋体" w:cs="宋体" w:hint="eastAsia"/>
          <w:sz w:val="21"/>
          <w:szCs w:val="21"/>
          <w:lang w:eastAsia="zh-CN"/>
        </w:rPr>
        <w:t>监狱企业制造（由供应商在《中小企业声明函、残疾人福利性单位声明函及监狱企业声明函》中作出声明</w:t>
      </w:r>
      <w:r>
        <w:rPr>
          <w:rFonts w:ascii="宋体" w:eastAsia="宋体" w:hAnsi="宋体" w:cs="宋体" w:hint="eastAsia"/>
          <w:sz w:val="21"/>
          <w:szCs w:val="21"/>
          <w:lang w:eastAsia="zh-CN"/>
        </w:rPr>
        <w:t>；</w:t>
      </w:r>
      <w:r>
        <w:rPr>
          <w:rFonts w:ascii="宋体" w:eastAsia="宋体" w:hAnsi="宋体" w:cs="宋体" w:hint="eastAsia"/>
          <w:sz w:val="21"/>
          <w:szCs w:val="21"/>
          <w:lang w:eastAsia="zh-CN"/>
        </w:rPr>
        <w:t>未提供声明函或声明函不符合政策要求的，按资格审查不通过处理</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5" w:name="_Hlk71926094"/>
      <w:r>
        <w:rPr>
          <w:rFonts w:ascii="宋体" w:eastAsia="宋体" w:hAnsi="宋体" w:hint="eastAsia"/>
          <w:b/>
          <w:bCs/>
          <w:sz w:val="28"/>
          <w:szCs w:val="28"/>
          <w:lang w:eastAsia="zh-CN"/>
        </w:rPr>
        <w:t>对通用条款的补充内容及其他关键信息</w:t>
      </w:r>
      <w:bookmarkEnd w:id="25"/>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6" w:name="_Toc100052364"/>
      <w:bookmarkStart w:id="27" w:name="_Toc73517639"/>
      <w:bookmarkStart w:id="28" w:name="_Toc60631620"/>
      <w:bookmarkStart w:id="29" w:name="_Toc60560625"/>
      <w:bookmarkStart w:id="30" w:name="_Toc73521547"/>
      <w:bookmarkStart w:id="31" w:name="_Toc73518117"/>
      <w:bookmarkStart w:id="32" w:name="_Toc101074876"/>
      <w:bookmarkStart w:id="33" w:name="_Toc73521635"/>
      <w:r>
        <w:rPr>
          <w:rFonts w:ascii="宋体" w:eastAsia="宋体" w:hAnsi="宋体" w:hint="eastAsia"/>
          <w:b/>
          <w:bCs/>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4"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5" w:name="_Hlk71664860"/>
            <w:r>
              <w:rPr>
                <w:rFonts w:ascii="宋体" w:eastAsia="宋体" w:hAnsi="宋体" w:hint="eastAsia"/>
                <w:kern w:val="2"/>
                <w:sz w:val="21"/>
                <w:lang w:eastAsia="zh-CN"/>
              </w:rPr>
              <w:t>样品、现场演示、方案讲解</w:t>
            </w:r>
            <w:bookmarkEnd w:id="35"/>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4"/>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6"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7"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7"/>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8"/>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康复评定科设备</w:t>
            </w:r>
            <w:r>
              <w:rPr>
                <w:rFonts w:eastAsia="宋体" w:hint="eastAsia"/>
                <w:b/>
                <w:bCs/>
                <w:color w:val="FF0000"/>
                <w:kern w:val="2"/>
                <w:sz w:val="21"/>
                <w:szCs w:val="21"/>
                <w:lang w:eastAsia="zh-CN"/>
              </w:rPr>
              <w:t>采购项目</w:t>
            </w:r>
          </w:p>
        </w:tc>
        <w:tc>
          <w:tcPr>
            <w:tcW w:w="338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849600.00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1561"/>
        <w:gridCol w:w="432"/>
        <w:gridCol w:w="389"/>
        <w:gridCol w:w="1116"/>
        <w:gridCol w:w="1116"/>
        <w:gridCol w:w="1116"/>
        <w:gridCol w:w="1116"/>
        <w:gridCol w:w="12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91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5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2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总价（元）</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740"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91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肌电图诱发电位仪</w:t>
            </w:r>
          </w:p>
        </w:tc>
        <w:tc>
          <w:tcPr>
            <w:tcW w:w="253"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299000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299000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74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91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动态心电血压记录仪</w:t>
            </w:r>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51600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51600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74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914" w:type="pct"/>
            <w:vAlign w:val="center"/>
          </w:tcPr>
          <w:p>
            <w:pPr>
              <w:widowControl w:val="0"/>
              <w:jc w:val="center"/>
              <w:rPr>
                <w:rFonts w:eastAsia="宋体" w:hint="eastAsia"/>
                <w:bCs/>
                <w:kern w:val="2"/>
                <w:sz w:val="21"/>
                <w:szCs w:val="21"/>
                <w:lang w:eastAsia="zh-CN"/>
              </w:rPr>
            </w:pPr>
            <w:bookmarkStart w:id="41" w:name="OLE_LINK3"/>
            <w:r>
              <w:rPr>
                <w:rFonts w:eastAsia="宋体" w:hint="eastAsia"/>
                <w:bCs/>
                <w:kern w:val="2"/>
                <w:sz w:val="21"/>
                <w:szCs w:val="21"/>
                <w:lang w:eastAsia="zh-CN"/>
              </w:rPr>
              <w:t>脑电事件相关电位（数字神经电生理系统）</w:t>
            </w:r>
            <w:bookmarkEnd w:id="41"/>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499000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499000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74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spacing w:line="360" w:lineRule="auto"/>
        <w:ind w:firstLine="420" w:firstLineChars="200"/>
        <w:jc w:val="both"/>
        <w:rPr>
          <w:rFonts w:eastAsia="宋体"/>
          <w:b/>
          <w:bCs/>
          <w:kern w:val="2"/>
          <w:lang w:eastAsia="zh-CN"/>
        </w:rPr>
      </w:pPr>
      <w:r>
        <w:rPr>
          <w:rFonts w:ascii="宋体" w:eastAsia="宋体" w:hAnsi="宋体" w:cs="宋体" w:hint="eastAsia"/>
          <w:b/>
          <w:bCs/>
          <w:color w:val="FF0000"/>
          <w:kern w:val="2"/>
          <w:sz w:val="21"/>
          <w:szCs w:val="21"/>
          <w:lang w:eastAsia="zh-CN"/>
        </w:rPr>
        <w:t>3、本项目核心产品为：</w:t>
      </w:r>
      <w:r>
        <w:rPr>
          <w:rFonts w:ascii="宋体" w:eastAsia="宋体" w:hAnsi="宋体" w:cs="宋体" w:hint="eastAsia"/>
          <w:b/>
          <w:bCs/>
          <w:color w:val="FF0000"/>
          <w:kern w:val="2"/>
          <w:sz w:val="21"/>
          <w:szCs w:val="21"/>
          <w:u w:val="single"/>
          <w:lang w:eastAsia="zh-CN"/>
        </w:rPr>
        <w:t xml:space="preserve"> </w:t>
      </w:r>
      <w:bookmarkEnd w:id="39"/>
      <w:r>
        <w:rPr>
          <w:rFonts w:ascii="宋体" w:eastAsia="宋体" w:hAnsi="宋体" w:cs="宋体" w:hint="eastAsia"/>
          <w:b/>
          <w:color w:val="FF0000"/>
          <w:kern w:val="2"/>
          <w:sz w:val="21"/>
          <w:szCs w:val="21"/>
          <w:u w:val="single"/>
          <w:lang w:eastAsia="zh-CN"/>
        </w:rPr>
        <w:t>肌电图诱发电位仪</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2"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jc w:val="both"/>
              <w:rPr>
                <w:rFonts w:eastAsia="宋体" w:hint="eastAsia"/>
                <w:kern w:val="2"/>
                <w:sz w:val="21"/>
                <w:lang w:eastAsia="zh-CN"/>
              </w:rPr>
            </w:pP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2"/>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3"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3"/>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143"/>
        <w:gridCol w:w="65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4" w:name="OLE_LINK1"/>
            <w:bookmarkStart w:id="45" w:name="_Hlk70236148"/>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val="restar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1</w:t>
            </w:r>
          </w:p>
        </w:tc>
        <w:tc>
          <w:tcPr>
            <w:tcW w:w="1134" w:type="dxa"/>
            <w:vMerge w:val="restart"/>
            <w:vAlign w:val="center"/>
          </w:tcPr>
          <w:p>
            <w:pPr>
              <w:widowControl/>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肌电图诱发电位仪</w:t>
            </w: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一、技术参数：</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1.通道数：≥4通道</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2.电压灵敏度：0.05uV/div到10mV/div分档控制；显示电压灵敏度0.01uV/div到30mV/div分档控制</w:t>
            </w:r>
          </w:p>
        </w:tc>
      </w:tr>
      <w:tr>
        <w:tblPrEx>
          <w:tblW w:w="5000" w:type="pct"/>
          <w:jc w:val="center"/>
          <w:tblLayout w:type="fixed"/>
          <w:tblCellMar>
            <w:top w:w="0" w:type="dxa"/>
            <w:left w:w="108" w:type="dxa"/>
            <w:bottom w:w="0" w:type="dxa"/>
            <w:right w:w="108" w:type="dxa"/>
          </w:tblCellMar>
        </w:tblPrEx>
        <w:trPr>
          <w:trHeight w:val="370"/>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3.系统输入短路噪声≤0.4uV RMS</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4.系统共模抑制比：≥117dB</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5.共模输入阻抗：≥3000兆欧</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6.分辨率：≥24比特</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7.采样率：≥200千赫/每通道</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8.频率范围：0.15Hz～10KHz，电压测量误差+5%～-15%</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9.刺激强度≤125dB刺激耳给予Click声，刺激极性：密波，交替波</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10.最大Click声强：125-135dB；恒流源：最大电流脉冲输出强度：100mA（安全上限），有自动复零功能</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（二）电流刺激器：</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1.最大电流脉冲强度：100mA±5%，脉冲强度误差≤±5%</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2.脉冲输出频率：0.1Hz～120Hz。</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（三）视刺激器：</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1.模式翻转刺激器、LED眼罩、黑白多档可调棋盘格，水平条，竖条格、横条格、垂直条模式图案</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2.刺激视野：满视野、半视野、1/4视野</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3.注视点：可移动</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（四）听刺激器：</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1.耳机声刺激器：最大Click声强：≤135dB(SPL峰值），纯音，爆发音，等</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2.刺激极性：疏波，密波，交替波</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3.对侧耳最大白噪声声强105—115db(SPL峰值）</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4.掩蔽音：左、右、双侧、对侧或同侧白噪音</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（五）软件功能和要求：</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1.事件相关电位软件包：听觉P300、视觉P300、听觉P50、伴随负电位（CVN）、失匹配负波（MMV）、三重P300</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2.肌电图软件包：干扰相、运动单位电位、静息电位、同步电位、单纤维</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3.神经传导速度软件包：感觉神经传导速度、运动神经传导速度、F波、H反射、重复电刺激、运动单位数目估计、瞬目反射、交感皮肤反应</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4.体感诱发电位软件包：上肢体感、下肢体感、脊髓诱发电位、阴部诱发电位、三叉诱发电位</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5.听觉诱发电位软件包：听觉脑干诱发、多道听觉诱发、40Hz、脑干听阈、听觉长潜</w:t>
            </w:r>
          </w:p>
        </w:tc>
      </w:tr>
      <w:tr>
        <w:tblPrEx>
          <w:tblW w:w="5000" w:type="pct"/>
          <w:jc w:val="center"/>
          <w:tblLayout w:type="fixed"/>
          <w:tblCellMar>
            <w:top w:w="0" w:type="dxa"/>
            <w:left w:w="108" w:type="dxa"/>
            <w:bottom w:w="0" w:type="dxa"/>
            <w:right w:w="108" w:type="dxa"/>
          </w:tblCellMar>
        </w:tblPrEx>
        <w:trPr>
          <w:trHeight w:val="522"/>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6.视觉诱发电位软件包：常规棋盘视觉诱发、LED闪光诱发、视觉长潜</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7.运动诱发：上肢运动、下肢运动</w:t>
            </w:r>
          </w:p>
        </w:tc>
      </w:tr>
      <w:tr>
        <w:tblPrEx>
          <w:tblW w:w="5000" w:type="pct"/>
          <w:jc w:val="center"/>
          <w:tblLayout w:type="fixed"/>
          <w:tblCellMar>
            <w:top w:w="0" w:type="dxa"/>
            <w:left w:w="108" w:type="dxa"/>
            <w:bottom w:w="0" w:type="dxa"/>
            <w:right w:w="108" w:type="dxa"/>
          </w:tblCellMar>
        </w:tblPrEx>
        <w:trPr>
          <w:trHeight w:val="239"/>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top"/>
                </w:tcPr>
                <w:p>
                  <w:pPr>
                    <w:widowControl w:val="0"/>
                    <w:jc w:val="both"/>
                    <w:rPr>
                      <w:rFonts w:ascii="宋体" w:hAnsi="宋体" w:cs="宋体" w:hint="eastAsia"/>
                      <w:spacing w:val="-13"/>
                      <w:sz w:val="21"/>
                      <w:szCs w:val="21"/>
                      <w:lang w:eastAsia="zh-CN"/>
                    </w:rPr>
                  </w:pPr>
                  <w:r>
                    <w:rPr>
                      <w:rFonts w:ascii="宋体" w:hAnsi="宋体" w:cs="宋体" w:hint="eastAsia"/>
                      <w:kern w:val="2"/>
                      <w:sz w:val="21"/>
                      <w:szCs w:val="21"/>
                      <w:lang w:eastAsia="zh-CN"/>
                    </w:rPr>
                    <w:t>软件主机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打印设备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显示设备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台车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指环电极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副</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鞍型电极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副</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0"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手持电极</w:t>
                  </w:r>
                </w:p>
              </w:tc>
              <w:tc>
                <w:tcPr>
                  <w:tcW w:w="946" w:type="pct"/>
                  <w:shd w:val="clear" w:color="auto" w:fill="auto"/>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0" w:type="pct"/>
                  <w:vAlign w:val="top"/>
                </w:tcPr>
                <w:p>
                  <w:pPr>
                    <w:widowControl w:val="0"/>
                    <w:jc w:val="both"/>
                    <w:rPr>
                      <w:rFonts w:ascii="宋体" w:hAnsi="宋体" w:cs="宋体" w:hint="eastAsia"/>
                      <w:kern w:val="2"/>
                      <w:sz w:val="21"/>
                      <w:szCs w:val="21"/>
                      <w:lang w:eastAsia="zh-Hans"/>
                    </w:rPr>
                  </w:pPr>
                  <w:r>
                    <w:rPr>
                      <w:rFonts w:ascii="宋体" w:hAnsi="宋体" w:cs="宋体" w:hint="eastAsia"/>
                      <w:kern w:val="2"/>
                      <w:sz w:val="21"/>
                      <w:szCs w:val="21"/>
                      <w:lang w:eastAsia="zh-CN"/>
                    </w:rPr>
                    <w:t>耳机</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center"/>
              <w:rPr>
                <w:rFonts w:ascii="宋体" w:eastAsia="宋体" w:hAnsi="宋体" w:cs="宋体" w:hint="eastAsia"/>
                <w:b/>
                <w:bCs/>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restar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2</w:t>
            </w:r>
          </w:p>
        </w:tc>
        <w:tc>
          <w:tcPr>
            <w:tcW w:w="1134" w:type="dxa"/>
            <w:vMerge w:val="restart"/>
            <w:vAlign w:val="center"/>
          </w:tcPr>
          <w:p>
            <w:pPr>
              <w:widowControl/>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动态心电血压记录仪</w:t>
            </w:r>
          </w:p>
        </w:tc>
        <w:tc>
          <w:tcPr>
            <w:tcW w:w="6485" w:type="dxa"/>
            <w:vAlign w:val="center"/>
          </w:tcPr>
          <w:p>
            <w:pPr>
              <w:widowControl w:val="0"/>
              <w:jc w:val="both"/>
              <w:rPr>
                <w:rFonts w:eastAsia="宋体" w:hint="eastAsia"/>
                <w:kern w:val="2"/>
                <w:sz w:val="21"/>
                <w:lang w:eastAsia="zh-CN"/>
              </w:rPr>
            </w:pPr>
            <w:r>
              <w:rPr>
                <w:rFonts w:eastAsia="宋体" w:hint="eastAsia"/>
                <w:kern w:val="2"/>
                <w:sz w:val="21"/>
                <w:lang w:eastAsia="zh-CN"/>
              </w:rPr>
              <w:t>1.心电部分</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(1)检测通道：12导联心电图（兼容3导联心电图）；独立起搏信号检测通道（双通道）；电池电压记录通道</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(2)电极数量：10电极/12导联；5、7电极/3导联 </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(3)记录时间：24 –48 小时</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(4)灵敏度：≥10mm/mv</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(5)输入阻抗：≥10 MΩ</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(6)共模抑制比：≥ 80 dB</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(7)增益准确度：误差 ≤ 10 %</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(8)频率响应范围：0.05 Hz ～ 60 Hz(±3.0 dB)</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(9)采样率：≥10000 Hz/通道</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A/D转换位数：≥12位</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2.血压部分</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(1)示值范围：0 ～ 300 mmHg</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(2)测量范围：收缩压：50～255 mmHg舒张压：30～200 mmHg</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(3)脉搏测量范围：30～200 bpm</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(4)测量精度：误差 ≤ 3 mmHg</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3.通用部分</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(1)通讯方式：USB 读卡器</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(2)存储方式、容量：≥16G容量SD数据卡</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(3)电源：2节1.5V（5号）碱性电池</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(4)记录仪尺寸：≥103 * 76 * 31 mm</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(5)记录仪重量：≤ 180g </w:t>
            </w:r>
          </w:p>
        </w:tc>
      </w:tr>
      <w:tr>
        <w:tblPrEx>
          <w:tblW w:w="5000" w:type="pct"/>
          <w:jc w:val="center"/>
          <w:tblLayout w:type="fixed"/>
          <w:tblCellMar>
            <w:top w:w="0" w:type="dxa"/>
            <w:left w:w="108" w:type="dxa"/>
            <w:bottom w:w="0" w:type="dxa"/>
            <w:right w:w="108" w:type="dxa"/>
          </w:tblCellMar>
        </w:tblPrEx>
        <w:trPr>
          <w:trHeight w:val="238"/>
          <w:jc w:val="center"/>
        </w:trPr>
        <w:tc>
          <w:tcPr>
            <w:tcW w:w="841" w:type="dxa"/>
            <w:vMerge/>
            <w:vAlign w:val="center"/>
          </w:tcPr>
          <w:p>
            <w:pPr>
              <w:widowControl w:val="0"/>
              <w:jc w:val="center"/>
              <w:rPr>
                <w:rFonts w:ascii="宋体" w:eastAsia="宋体" w:hAnsi="宋体" w:cs="宋体" w:hint="eastAsia"/>
                <w:b/>
                <w:bCs/>
                <w:color w:val="000000"/>
                <w:kern w:val="2"/>
                <w:sz w:val="21"/>
                <w:szCs w:val="21"/>
                <w:lang w:eastAsia="zh-CN"/>
              </w:rPr>
            </w:pPr>
          </w:p>
        </w:tc>
        <w:tc>
          <w:tcPr>
            <w:tcW w:w="1134" w:type="dxa"/>
            <w:vMerge/>
            <w:vAlign w:val="center"/>
          </w:tcPr>
          <w:p>
            <w:pPr>
              <w:widowControl/>
              <w:jc w:val="center"/>
              <w:rPr>
                <w:rFonts w:ascii="宋体" w:eastAsia="宋体" w:hAnsi="宋体" w:cs="宋体" w:hint="eastAsia"/>
                <w:bCs/>
                <w:kern w:val="2"/>
                <w:sz w:val="21"/>
                <w:szCs w:val="21"/>
                <w:lang w:eastAsia="zh-CN"/>
              </w:rPr>
            </w:pPr>
          </w:p>
        </w:tc>
        <w:tc>
          <w:tcPr>
            <w:tcW w:w="6485" w:type="dxa"/>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3"/>
                      <w:sz w:val="21"/>
                      <w:szCs w:val="21"/>
                      <w:lang w:eastAsia="zh-CN"/>
                    </w:rPr>
                  </w:pPr>
                  <w:r>
                    <w:rPr>
                      <w:rFonts w:ascii="宋体" w:hAnsi="宋体" w:cs="宋体" w:hint="eastAsia"/>
                      <w:kern w:val="2"/>
                      <w:sz w:val="21"/>
                      <w:szCs w:val="21"/>
                      <w:lang w:eastAsia="zh-CN"/>
                    </w:rPr>
                    <w:t>动态心电血压二合一记录仪</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动态心电血压二合一分析软件</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移动处理设备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12导联心电导联线</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付</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SD数据存储卡</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张</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标准血压袖带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记录仪背包</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0" w:type="pct"/>
                  <w:vAlign w:val="top"/>
                </w:tcPr>
                <w:p>
                  <w:pPr>
                    <w:widowControl w:val="0"/>
                    <w:numPr>
                      <w:ilvl w:val="0"/>
                      <w:numId w:val="0"/>
                    </w:numPr>
                    <w:ind w:left="425" w:hanging="425" w:leftChars="0" w:firstLineChars="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使用说明书</w:t>
                  </w:r>
                </w:p>
              </w:tc>
              <w:tc>
                <w:tcPr>
                  <w:tcW w:w="946" w:type="pct"/>
                  <w:shd w:val="clear" w:color="auto" w:fill="auto"/>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0"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kern w:val="2"/>
                      <w:sz w:val="21"/>
                      <w:szCs w:val="21"/>
                      <w:lang w:eastAsia="zh-Hans"/>
                    </w:rPr>
                  </w:pPr>
                  <w:r>
                    <w:rPr>
                      <w:rFonts w:ascii="宋体" w:hAnsi="宋体" w:cs="宋体" w:hint="eastAsia"/>
                      <w:kern w:val="2"/>
                      <w:sz w:val="21"/>
                      <w:szCs w:val="21"/>
                      <w:lang w:eastAsia="zh-CN"/>
                    </w:rPr>
                    <w:t>动态心电血压二合一记录仪</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pageBreakBefore w:val="0"/>
              <w:widowControl w:val="0"/>
              <w:numPr>
                <w:ilvl w:val="0"/>
                <w:numId w:val="0"/>
              </w:numPr>
              <w:kinsoku/>
              <w:wordWrap/>
              <w:overflowPunct/>
              <w:topLinePunct w:val="0"/>
              <w:autoSpaceDE/>
              <w:autoSpaceDN/>
              <w:bidi w:val="0"/>
              <w:adjustRightInd/>
              <w:snapToGrid/>
              <w:spacing w:line="360" w:lineRule="auto"/>
              <w:ind w:left="0" w:firstLine="0" w:leftChars="0" w:firstLineChars="0"/>
              <w:jc w:val="left"/>
              <w:textAlignment w:val="auto"/>
              <w:rPr>
                <w:rFonts w:ascii="宋体" w:eastAsia="宋体" w:hAnsi="宋体" w:cs="宋体" w:hint="eastAsia"/>
                <w:b/>
                <w:bCs/>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13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脑电事件相关电位（数字神经电生理系统）</w:t>
            </w: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一、技术</w:t>
            </w:r>
            <w:r>
              <w:rPr>
                <w:rFonts w:ascii="宋体" w:eastAsia="宋体" w:hAnsi="宋体" w:cs="宋体" w:hint="eastAsia"/>
                <w:kern w:val="2"/>
                <w:sz w:val="21"/>
                <w:szCs w:val="21"/>
                <w:lang w:eastAsia="zh-CN"/>
              </w:rPr>
              <w:t>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信号放大器系统</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放大器通道：≥3</w:t>
            </w:r>
            <w:r>
              <w:rPr>
                <w:rFonts w:ascii="宋体" w:eastAsia="宋体" w:hAnsi="宋体" w:cs="宋体" w:hint="eastAsia"/>
                <w:kern w:val="2"/>
                <w:sz w:val="21"/>
                <w:szCs w:val="21"/>
                <w:lang w:eastAsia="zh-CN"/>
              </w:rPr>
              <w:t>2通道</w:t>
            </w:r>
            <w:r>
              <w:rPr>
                <w:rFonts w:ascii="宋体" w:eastAsia="宋体" w:hAnsi="宋体" w:cs="宋体" w:hint="eastAsia"/>
                <w:kern w:val="2"/>
                <w:sz w:val="21"/>
                <w:szCs w:val="21"/>
                <w:lang w:eastAsia="zh-CN"/>
              </w:rPr>
              <w:t>，独立REF通道</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设备接口：USB</w:t>
            </w:r>
            <w:r>
              <w:rPr>
                <w:rFonts w:ascii="宋体" w:eastAsia="宋体" w:hAnsi="宋体" w:cs="宋体" w:hint="eastAsia"/>
                <w:kern w:val="2"/>
                <w:sz w:val="21"/>
                <w:szCs w:val="21"/>
                <w:lang w:eastAsia="zh-CN"/>
              </w:rPr>
              <w:t>接口</w:t>
            </w:r>
            <w:r>
              <w:rPr>
                <w:rFonts w:ascii="宋体" w:eastAsia="宋体" w:hAnsi="宋体" w:cs="宋体" w:hint="eastAsia"/>
                <w:kern w:val="2"/>
                <w:sz w:val="21"/>
                <w:szCs w:val="21"/>
                <w:lang w:eastAsia="zh-CN"/>
              </w:rPr>
              <w:t>传输信号、供电，无需市电</w:t>
            </w:r>
            <w:r>
              <w:rPr>
                <w:rFonts w:ascii="宋体" w:eastAsia="宋体" w:hAnsi="宋体" w:cs="宋体" w:hint="eastAsia"/>
                <w:kern w:val="2"/>
                <w:sz w:val="21"/>
                <w:szCs w:val="21"/>
                <w:lang w:eastAsia="zh-Hans"/>
              </w:rPr>
              <w:t>；</w:t>
            </w:r>
            <w:r>
              <w:rPr>
                <w:rFonts w:ascii="宋体" w:eastAsia="宋体" w:hAnsi="宋体" w:cs="宋体" w:hint="eastAsia"/>
                <w:kern w:val="2"/>
                <w:sz w:val="21"/>
                <w:szCs w:val="21"/>
                <w:lang w:eastAsia="zh-CN"/>
              </w:rPr>
              <w:t>不需要专用地线支持</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A/D转换：≥24Bit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共模抑制比：≥120dB</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AC滤波：50Hz、60Hz切换</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采样频率：≥16KHz/通道</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输入范围：±1100 mV</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噪声：不大于1.4μVpp</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所有通道兼容AC/DC</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三色阻抗指示：主机通道可视化阻抗，实时在线连续测试阻抗</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设备软件电脑系统</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Windows11</w:t>
            </w:r>
            <w:r>
              <w:rPr>
                <w:rFonts w:ascii="宋体" w:eastAsia="宋体" w:hAnsi="宋体" w:cs="宋体" w:hint="eastAsia"/>
                <w:kern w:val="2"/>
                <w:sz w:val="21"/>
                <w:szCs w:val="21"/>
                <w:lang w:eastAsia="zh-CN"/>
              </w:rPr>
              <w:t>及以上</w:t>
            </w:r>
            <w:r>
              <w:rPr>
                <w:rFonts w:ascii="宋体" w:eastAsia="宋体" w:hAnsi="宋体" w:cs="宋体" w:hint="eastAsia"/>
                <w:kern w:val="2"/>
                <w:sz w:val="21"/>
                <w:szCs w:val="21"/>
                <w:lang w:eastAsia="zh-CN"/>
              </w:rPr>
              <w:t>操作系统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i5</w:t>
            </w:r>
            <w:r>
              <w:rPr>
                <w:rFonts w:ascii="宋体" w:eastAsia="宋体" w:hAnsi="宋体" w:cs="宋体" w:hint="eastAsia"/>
                <w:kern w:val="2"/>
                <w:sz w:val="21"/>
                <w:szCs w:val="21"/>
                <w:lang w:eastAsia="zh-CN"/>
              </w:rPr>
              <w:t>及</w:t>
            </w:r>
            <w:r>
              <w:rPr>
                <w:rFonts w:ascii="宋体" w:eastAsia="宋体" w:hAnsi="宋体" w:cs="宋体" w:hint="eastAsia"/>
                <w:kern w:val="2"/>
                <w:sz w:val="21"/>
                <w:szCs w:val="21"/>
                <w:lang w:eastAsia="zh-CN"/>
              </w:rPr>
              <w:t>以上</w:t>
            </w:r>
            <w:r>
              <w:rPr>
                <w:rFonts w:ascii="宋体" w:eastAsia="宋体" w:hAnsi="宋体" w:cs="宋体" w:hint="eastAsia"/>
                <w:kern w:val="2"/>
                <w:sz w:val="21"/>
                <w:szCs w:val="21"/>
                <w:lang w:eastAsia="zh-CN"/>
              </w:rPr>
              <w:t>处理器，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16G内存，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23寸显示器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软件参数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脑电图软件要求：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软件包含专业的脑电信号采集、分析功能；不更换放大器</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扩展多导睡眠监测与分析、诱发电位（含事件相关电位）功能</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癫痫功能：自定义癫痫探测规则设置、自动探测，具有棘波、尖波和棘慢波分析功能，可自动识别并标记出癫痫病理波及癫痫发作片段</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软件具有实时/区间分析的波幅、频率地形图</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脑功能趋势图</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密度频谱阵列DSA/CSA（识别痫样发作和早期预后判断。）</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Delta节律指数（定性和定量分析判断脑血流变化。）</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Alpha节律指数与脑血流量密切相关，预测脑出血</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平均波幅（过滤了瞬态事件，剔除了大部分伪迹对于癫痫发作的干扰。）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快慢波比值（快速连续EEG节律分析，</w:t>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昏迷或脑出血、癫痫</w:t>
            </w:r>
            <w:r>
              <w:rPr>
                <w:rFonts w:ascii="宋体" w:eastAsia="宋体" w:hAnsi="宋体" w:cs="宋体" w:hint="eastAsia"/>
                <w:kern w:val="2"/>
                <w:sz w:val="21"/>
                <w:szCs w:val="21"/>
                <w:lang w:eastAsia="zh-CN"/>
              </w:rPr>
              <w:t>客观评估指标</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节律指数比（了解大脑EEG占比情况，跟踪脑损伤变化；区分左右脑半球情况，以及识别睡眠</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觉醒周期。）</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ADR（ADR与脑血流量和脑氧代谢率相关，</w:t>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蛛网膜下腔出血后延迟性脑缺血</w:t>
            </w:r>
            <w:r>
              <w:rPr>
                <w:rFonts w:ascii="宋体" w:eastAsia="宋体" w:hAnsi="宋体" w:cs="宋体" w:hint="eastAsia"/>
                <w:kern w:val="2"/>
                <w:sz w:val="21"/>
                <w:szCs w:val="21"/>
                <w:lang w:eastAsia="zh-CN"/>
              </w:rPr>
              <w:t>客观评估指标</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光谱熵（意识、镇静状态监测）</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ABCD频谱功率图，自动计算图形类别，用于评估丘脑皮层传导功能，辅助临床医生评估患者意识状态；</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ABCD趋势图和图形类别统计结果呈现，细化ABCD分类，显示患者意识状态和对不同促醒方式进行客观评估，用于长程监测，促醒药物、神经调控方式疗效评估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ABCD自动化采集分析和报告模板，用户可设置分析区间、采集时间、伪迹自动标识处理等参数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支持计算阿尔法频率峰值与离散地形图，用于评估意识障碍患者恢复期认知水平</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软件内置脑电定量分析功能和指标：</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自相关与互相关分析</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相干性分析数据与图形显示</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频谱－功率分析</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不同区间对比分析波幅、功率和指数图</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二维与三维脑电地形图</w:t>
            </w:r>
            <w:r>
              <w:rPr>
                <w:rFonts w:ascii="宋体" w:eastAsia="宋体" w:hAnsi="宋体" w:cs="宋体" w:hint="eastAsia"/>
                <w:kern w:val="2"/>
                <w:sz w:val="21"/>
                <w:szCs w:val="21"/>
                <w:lang w:eastAsia="zh-CN"/>
              </w:rPr>
              <w:t>显示功能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软件内置单通道时频分析</w:t>
            </w:r>
            <w:r>
              <w:rPr>
                <w:rFonts w:ascii="宋体" w:eastAsia="宋体" w:hAnsi="宋体" w:cs="宋体" w:hint="eastAsia"/>
                <w:kern w:val="2"/>
                <w:sz w:val="21"/>
                <w:szCs w:val="21"/>
                <w:lang w:eastAsia="zh-CN"/>
              </w:rPr>
              <w:t>功能</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软件内置脑功能趋势分析</w:t>
            </w:r>
            <w:r>
              <w:rPr>
                <w:rFonts w:ascii="宋体" w:eastAsia="宋体" w:hAnsi="宋体" w:cs="宋体" w:hint="eastAsia"/>
                <w:kern w:val="2"/>
                <w:sz w:val="21"/>
                <w:szCs w:val="21"/>
                <w:lang w:eastAsia="zh-CN"/>
              </w:rPr>
              <w:t>指标</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包括</w:t>
            </w:r>
            <w:r>
              <w:rPr>
                <w:rFonts w:ascii="宋体" w:eastAsia="宋体" w:hAnsi="宋体" w:cs="宋体" w:hint="eastAsia"/>
                <w:kern w:val="2"/>
                <w:sz w:val="21"/>
                <w:szCs w:val="21"/>
                <w:lang w:eastAsia="zh-CN"/>
              </w:rPr>
              <w:t>静息态指数，光谱熵，平均波幅，节律指数比，快慢波比值，各节律指数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实时显示各个通道阻抗趋势图</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密度谱阵列（DSA）与压缩密度谱阵列（CSA）功能：支持以μV</w:t>
            </w:r>
            <w:r>
              <w:rPr>
                <w:rFonts w:ascii="宋体" w:eastAsia="宋体" w:hAnsi="宋体" w:cs="宋体" w:hint="eastAsia"/>
                <w:kern w:val="2"/>
                <w:sz w:val="21"/>
                <w:szCs w:val="21"/>
                <w:vertAlign w:val="superscript"/>
                <w:lang w:eastAsia="zh-CN"/>
              </w:rPr>
              <w:t>2</w:t>
            </w:r>
            <w:r>
              <w:rPr>
                <w:rFonts w:ascii="宋体" w:eastAsia="宋体" w:hAnsi="宋体" w:cs="宋体" w:hint="eastAsia"/>
                <w:kern w:val="2"/>
                <w:sz w:val="21"/>
                <w:szCs w:val="21"/>
                <w:lang w:eastAsia="zh-CN"/>
              </w:rPr>
              <w:t>与dB显示结果；显示优势频率、边缘频率和中位频率，可设置平滑水平；自定义噪声排除水平和去除标记为伪迹片段的分析结果</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具备</w:t>
            </w:r>
            <w:r>
              <w:rPr>
                <w:rFonts w:ascii="宋体" w:eastAsia="宋体" w:hAnsi="宋体" w:cs="宋体" w:hint="eastAsia"/>
                <w:kern w:val="2"/>
                <w:sz w:val="21"/>
                <w:szCs w:val="21"/>
                <w:lang w:eastAsia="zh-CN"/>
              </w:rPr>
              <w:t>功能测试、刺激系统：预设多种功能测试模板，用户可设置语音、文字提示与时长，标记的片段可用于对比分析；支持用户自定义测试</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软件内置小波分析与独立成分分析功能用于去除伪迹</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具备</w:t>
            </w:r>
            <w:r>
              <w:rPr>
                <w:rFonts w:ascii="宋体" w:eastAsia="宋体" w:hAnsi="宋体" w:cs="宋体" w:hint="eastAsia"/>
                <w:kern w:val="2"/>
                <w:sz w:val="21"/>
                <w:szCs w:val="21"/>
                <w:lang w:eastAsia="zh-CN"/>
              </w:rPr>
              <w:t>自动化采集、分析与报告</w:t>
            </w:r>
            <w:r>
              <w:rPr>
                <w:rFonts w:ascii="宋体" w:eastAsia="宋体" w:hAnsi="宋体" w:cs="宋体" w:hint="eastAsia"/>
                <w:kern w:val="2"/>
                <w:sz w:val="21"/>
                <w:szCs w:val="21"/>
                <w:lang w:eastAsia="zh-CN"/>
              </w:rPr>
              <w:t>生成功能</w:t>
            </w:r>
            <w:r>
              <w:rPr>
                <w:rFonts w:ascii="宋体" w:eastAsia="宋体" w:hAnsi="宋体" w:cs="宋体" w:hint="eastAsia"/>
                <w:kern w:val="2"/>
                <w:sz w:val="21"/>
                <w:szCs w:val="21"/>
                <w:lang w:eastAsia="zh-CN"/>
              </w:rPr>
              <w:t>：软件支持用户自定义信号校准、监测、采集，伪迹识别标记，分析和自动报告全过程；支持用户随时打断自动化过程</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16.</w:t>
            </w:r>
            <w:r>
              <w:rPr>
                <w:rFonts w:ascii="宋体" w:eastAsia="宋体" w:hAnsi="宋体" w:cs="宋体" w:hint="eastAsia"/>
                <w:kern w:val="2"/>
                <w:sz w:val="21"/>
                <w:szCs w:val="21"/>
                <w:lang w:eastAsia="zh-CN"/>
              </w:rPr>
              <w:t>软件支持同时打开</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个脑电采集、分析窗口，同步脑电采集与分析</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可设置视频1-10倍回放速度，使用视频定位脑电信号采集时间；可将视频画面保存为图片或直接导出至报告文件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可将视频分段保存，删除、锁定、编辑操作，也可以将脑电图和视频片段剪辑后保存为独立文件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在不同脑电软件中回放</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软件内置波形频率、波幅测量尺；</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单波电子测量频率、功率和波幅；支持滑动测量，支持将所选波形和测量结果一键截取发送至报告</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设置各个通道EEG、EMG上下边界数值/线，通过肉眼</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查看信号是否超过设定数值</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21.</w:t>
            </w:r>
            <w:r>
              <w:rPr>
                <w:rFonts w:ascii="宋体" w:eastAsia="宋体" w:hAnsi="宋体" w:cs="宋体" w:hint="eastAsia"/>
                <w:kern w:val="2"/>
                <w:sz w:val="21"/>
                <w:szCs w:val="21"/>
                <w:lang w:eastAsia="zh-CN"/>
              </w:rPr>
              <w:t>左右侧导联叠放，操作者</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肉眼</w:t>
            </w:r>
            <w:r>
              <w:rPr>
                <w:rFonts w:ascii="宋体" w:eastAsia="宋体" w:hAnsi="宋体" w:cs="宋体" w:hint="eastAsia"/>
                <w:kern w:val="2"/>
                <w:sz w:val="21"/>
                <w:szCs w:val="21"/>
                <w:lang w:eastAsia="zh-CN"/>
              </w:rPr>
              <w:t>识</w:t>
            </w:r>
            <w:r>
              <w:rPr>
                <w:rFonts w:ascii="宋体" w:eastAsia="宋体" w:hAnsi="宋体" w:cs="宋体" w:hint="eastAsia"/>
                <w:kern w:val="2"/>
                <w:sz w:val="21"/>
                <w:szCs w:val="21"/>
                <w:lang w:eastAsia="zh-CN"/>
              </w:rPr>
              <w:t>别左右半球信号对称性</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22.</w:t>
            </w:r>
            <w:r>
              <w:rPr>
                <w:rFonts w:ascii="宋体" w:eastAsia="宋体" w:hAnsi="宋体" w:cs="宋体" w:hint="eastAsia"/>
                <w:kern w:val="2"/>
                <w:sz w:val="21"/>
                <w:szCs w:val="21"/>
                <w:lang w:eastAsia="zh-CN"/>
              </w:rPr>
              <w:t>软件预设单极、双极、横联、纵联和平均导联，支持用户自定义蒙太奇；以头形直观显示蒙太奇导联设置界面；可对蒙太奇内单个导联进行统一、独立设置滤波、颜色；监测和回放中可自由切换</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23.</w:t>
            </w:r>
            <w:r>
              <w:rPr>
                <w:rFonts w:ascii="宋体" w:eastAsia="宋体" w:hAnsi="宋体" w:cs="宋体" w:hint="eastAsia"/>
                <w:kern w:val="2"/>
                <w:sz w:val="21"/>
                <w:szCs w:val="21"/>
                <w:lang w:eastAsia="zh-CN"/>
              </w:rPr>
              <w:t>软件</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预设</w:t>
            </w:r>
            <w:r>
              <w:rPr>
                <w:rFonts w:ascii="宋体" w:eastAsia="宋体" w:hAnsi="宋体" w:cs="宋体" w:hint="eastAsia"/>
                <w:kern w:val="2"/>
                <w:sz w:val="21"/>
                <w:szCs w:val="21"/>
                <w:lang w:eastAsia="zh-CN"/>
              </w:rPr>
              <w:t>至少9种</w:t>
            </w:r>
            <w:r>
              <w:rPr>
                <w:rFonts w:ascii="宋体" w:eastAsia="宋体" w:hAnsi="宋体" w:cs="宋体" w:hint="eastAsia"/>
                <w:kern w:val="2"/>
                <w:sz w:val="21"/>
                <w:szCs w:val="21"/>
                <w:lang w:eastAsia="zh-CN"/>
              </w:rPr>
              <w:t>参考方式</w:t>
            </w:r>
            <w:r>
              <w:rPr>
                <w:rFonts w:ascii="宋体" w:eastAsia="宋体" w:hAnsi="宋体" w:cs="宋体" w:hint="eastAsia"/>
                <w:kern w:val="2"/>
                <w:sz w:val="21"/>
                <w:szCs w:val="21"/>
                <w:lang w:eastAsia="zh-CN"/>
              </w:rPr>
              <w:t>。包括：</w:t>
            </w:r>
            <w:r>
              <w:rPr>
                <w:rFonts w:ascii="宋体" w:eastAsia="宋体" w:hAnsi="宋体" w:cs="宋体" w:hint="eastAsia"/>
                <w:kern w:val="2"/>
                <w:sz w:val="21"/>
                <w:szCs w:val="21"/>
                <w:lang w:eastAsia="zh-CN"/>
              </w:rPr>
              <w:t>平均参考（AV），双耳平均参考（AA）， 中央参考（Cz）， 源参考（SD），左半球平均参考（AV1），右半球平均参考（AV2），系统参考（REF），同侧耳电极参考（A1或A2）；对侧耳电极参考（A2或A1）</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24.</w:t>
            </w:r>
            <w:r>
              <w:rPr>
                <w:rFonts w:ascii="宋体" w:eastAsia="宋体" w:hAnsi="宋体" w:cs="宋体" w:hint="eastAsia"/>
                <w:kern w:val="2"/>
                <w:sz w:val="21"/>
                <w:szCs w:val="21"/>
                <w:lang w:eastAsia="zh-CN"/>
              </w:rPr>
              <w:t>支持调用DirectX（图形优化组件），优化轨迹显示，还原信号连续性</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支持以秒为单位显示脑电信号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以天文时间为单位标记脑电信号</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26.</w:t>
            </w:r>
            <w:r>
              <w:rPr>
                <w:rFonts w:ascii="宋体" w:eastAsia="宋体" w:hAnsi="宋体" w:cs="宋体" w:hint="eastAsia"/>
                <w:kern w:val="2"/>
                <w:sz w:val="21"/>
                <w:szCs w:val="21"/>
                <w:lang w:eastAsia="zh-CN"/>
              </w:rPr>
              <w:t>软件预设</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种脑电分析报告模板，</w:t>
            </w:r>
            <w:r>
              <w:rPr>
                <w:rFonts w:ascii="宋体" w:eastAsia="宋体" w:hAnsi="宋体" w:cs="宋体" w:hint="eastAsia"/>
                <w:kern w:val="2"/>
                <w:sz w:val="21"/>
                <w:szCs w:val="21"/>
                <w:lang w:eastAsia="zh-CN"/>
              </w:rPr>
              <w:t>支持以Word或PDF格式导出</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27.</w:t>
            </w:r>
            <w:r>
              <w:rPr>
                <w:rFonts w:ascii="宋体" w:eastAsia="宋体" w:hAnsi="宋体" w:cs="宋体" w:hint="eastAsia"/>
                <w:kern w:val="2"/>
                <w:sz w:val="21"/>
                <w:szCs w:val="21"/>
                <w:lang w:eastAsia="zh-CN"/>
              </w:rPr>
              <w:t>支持预设报告术语表，在书写结论时，通过点击粘贴文本</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28.</w:t>
            </w:r>
            <w:r>
              <w:rPr>
                <w:rFonts w:ascii="宋体" w:eastAsia="宋体" w:hAnsi="宋体" w:cs="宋体" w:hint="eastAsia"/>
                <w:kern w:val="2"/>
                <w:sz w:val="21"/>
                <w:szCs w:val="21"/>
                <w:lang w:eastAsia="zh-CN"/>
              </w:rPr>
              <w:t>事件管理：内置事件列表，可筛选、编辑、删除事件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数据管理，软件支持网络和本地数据管理器，支持导入、导出数据存档；对数据进行合并；</w:t>
            </w:r>
            <w:r>
              <w:rPr>
                <w:rFonts w:ascii="宋体" w:eastAsia="宋体" w:hAnsi="宋体" w:cs="宋体" w:hint="eastAsia"/>
                <w:kern w:val="2"/>
                <w:sz w:val="21"/>
                <w:szCs w:val="21"/>
                <w:lang w:eastAsia="zh-CN"/>
              </w:rPr>
              <w:t>支持以word和excel格式</w:t>
            </w:r>
            <w:r>
              <w:rPr>
                <w:rFonts w:ascii="宋体" w:eastAsia="宋体" w:hAnsi="宋体" w:cs="宋体" w:hint="eastAsia"/>
                <w:kern w:val="2"/>
                <w:sz w:val="21"/>
                <w:szCs w:val="21"/>
                <w:lang w:eastAsia="zh-CN"/>
              </w:rPr>
              <w:t>导出检查统计记录</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软件预设</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种患者信息，支持用户自定义参数、编写列表和历史字符串录入信息</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31.</w:t>
            </w:r>
            <w:r>
              <w:rPr>
                <w:rFonts w:ascii="宋体" w:eastAsia="宋体" w:hAnsi="宋体" w:cs="宋体" w:hint="eastAsia"/>
                <w:kern w:val="2"/>
                <w:sz w:val="21"/>
                <w:szCs w:val="21"/>
                <w:lang w:eastAsia="zh-CN"/>
              </w:rPr>
              <w:t>软件支持同步保存检查数据和备份EDF+，BDF格式文档到</w:t>
            </w:r>
            <w:r>
              <w:rPr>
                <w:rFonts w:ascii="宋体" w:eastAsia="宋体" w:hAnsi="宋体" w:cs="宋体" w:hint="eastAsia"/>
                <w:kern w:val="2"/>
                <w:sz w:val="21"/>
                <w:szCs w:val="21"/>
                <w:lang w:eastAsia="zh-CN"/>
              </w:rPr>
              <w:t>移动硬</w:t>
            </w:r>
            <w:r>
              <w:rPr>
                <w:rFonts w:ascii="宋体" w:eastAsia="宋体" w:hAnsi="宋体" w:cs="宋体" w:hint="eastAsia"/>
                <w:kern w:val="2"/>
                <w:sz w:val="21"/>
                <w:szCs w:val="21"/>
                <w:lang w:eastAsia="zh-CN"/>
              </w:rPr>
              <w:t>盘</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32.</w:t>
            </w:r>
            <w:r>
              <w:rPr>
                <w:rFonts w:ascii="宋体" w:eastAsia="宋体" w:hAnsi="宋体" w:cs="宋体" w:hint="eastAsia"/>
                <w:kern w:val="2"/>
                <w:sz w:val="21"/>
                <w:szCs w:val="21"/>
                <w:lang w:eastAsia="zh-CN"/>
              </w:rPr>
              <w:t>支持局域网内从不同终端设备调取、查看实时软件界面</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33.</w:t>
            </w:r>
            <w:r>
              <w:rPr>
                <w:rFonts w:ascii="宋体" w:eastAsia="宋体" w:hAnsi="宋体" w:cs="宋体" w:hint="eastAsia"/>
                <w:kern w:val="2"/>
                <w:sz w:val="21"/>
                <w:szCs w:val="21"/>
                <w:lang w:eastAsia="zh-CN"/>
              </w:rPr>
              <w:t>支持创建不同权限的账户，满足不同用户需求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34.</w:t>
            </w:r>
            <w:r>
              <w:rPr>
                <w:rFonts w:ascii="宋体" w:eastAsia="宋体" w:hAnsi="宋体" w:cs="宋体" w:hint="eastAsia"/>
                <w:kern w:val="2"/>
                <w:sz w:val="21"/>
                <w:szCs w:val="21"/>
                <w:lang w:eastAsia="zh-CN"/>
              </w:rPr>
              <w:t>滤波范围</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：高通0.05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10Hz；低通5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600Hz，范围内任意调节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35.</w:t>
            </w:r>
            <w:r>
              <w:rPr>
                <w:rFonts w:ascii="宋体" w:eastAsia="宋体" w:hAnsi="宋体" w:cs="宋体" w:hint="eastAsia"/>
                <w:kern w:val="2"/>
                <w:sz w:val="21"/>
                <w:szCs w:val="21"/>
                <w:lang w:eastAsia="zh-CN"/>
              </w:rPr>
              <w:t>软件内置带通滤波器，用户</w:t>
            </w:r>
            <w:r>
              <w:rPr>
                <w:rFonts w:ascii="宋体" w:eastAsia="宋体" w:hAnsi="宋体" w:cs="宋体" w:hint="eastAsia"/>
                <w:kern w:val="2"/>
                <w:sz w:val="21"/>
                <w:szCs w:val="21"/>
                <w:lang w:eastAsia="zh-CN"/>
              </w:rPr>
              <w:t>可通过</w:t>
            </w:r>
            <w:r>
              <w:rPr>
                <w:rFonts w:ascii="宋体" w:eastAsia="宋体" w:hAnsi="宋体" w:cs="宋体" w:hint="eastAsia"/>
                <w:kern w:val="2"/>
                <w:sz w:val="21"/>
                <w:szCs w:val="21"/>
                <w:lang w:eastAsia="zh-CN"/>
              </w:rPr>
              <w:t>滤波获取目标信息；滤波范围支持自定义</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36.</w:t>
            </w:r>
            <w:r>
              <w:rPr>
                <w:rFonts w:ascii="宋体" w:eastAsia="宋体" w:hAnsi="宋体" w:cs="宋体" w:hint="eastAsia"/>
                <w:kern w:val="2"/>
                <w:sz w:val="21"/>
                <w:szCs w:val="21"/>
                <w:lang w:eastAsia="zh-CN"/>
              </w:rPr>
              <w:t>扫描速度</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：1～10000mm/s单位范围内任意调节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37.</w:t>
            </w:r>
            <w:r>
              <w:rPr>
                <w:rFonts w:ascii="宋体" w:eastAsia="宋体" w:hAnsi="宋体" w:cs="宋体" w:hint="eastAsia"/>
                <w:kern w:val="2"/>
                <w:sz w:val="21"/>
                <w:szCs w:val="21"/>
                <w:lang w:eastAsia="zh-CN"/>
              </w:rPr>
              <w:t>灵敏度</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：1~10000μV/mm，可根据屏幕脑电信号范围自动调整灵敏度</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 xml:space="preserve"> 事件相关电位软件要求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 软件预设声音刺激范式P300、 MMN，以及P50、CNV，GoNoGo 刺激软件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 支持用户自定义刺激声音类型，出现概率、分析区间、刺激频率，刺激个数</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 刺激和分析系统在同一个软件中，软件将刺激范式（媒体文件）与采集程序同步加载到软件中再进行触发，避免延时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 脑电ERP分析系统：可进行基于声音-闪光刺激的P300、MMN，以及P50、CNV，GoNoGo成分分析，以及高级脑电ERP分析</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 具备同步触发刺激时，实时采集、储存、回放脑电图的原始波和叠加脑电波变化功能；同屏显示：左侧显示原始EEG，右侧实时显示ERP叠加结果</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 ERP结果呈现模式：以列表形式，实时显示波幅图，以图、表形式展示分析结果；以蒙太奇形式，显示不同导联中的ERP分析结果，和ERP图表结果</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 ERP分析结果展示窗口工具：颜色设置，轨迹重叠，灵敏度和扫描速度设置</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38.</w:t>
            </w:r>
            <w:r>
              <w:rPr>
                <w:rFonts w:ascii="宋体" w:eastAsia="宋体" w:hAnsi="宋体" w:cs="宋体" w:hint="eastAsia"/>
                <w:kern w:val="2"/>
                <w:sz w:val="21"/>
                <w:szCs w:val="21"/>
                <w:lang w:eastAsia="zh-CN"/>
              </w:rPr>
              <w:t>视频系统要求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 xml:space="preserve">软件支持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 路视频监测</w:t>
            </w:r>
            <w:r>
              <w:rPr>
                <w:rFonts w:ascii="宋体" w:eastAsia="宋体" w:hAnsi="宋体" w:cs="宋体" w:hint="eastAsia"/>
                <w:kern w:val="2"/>
                <w:sz w:val="21"/>
                <w:szCs w:val="21"/>
                <w:lang w:eastAsia="zh-CN"/>
              </w:rPr>
              <w:t>，视频分辨率≥1920×1080</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软件内置控制面板，并可</w:t>
            </w:r>
            <w:r>
              <w:rPr>
                <w:rFonts w:ascii="宋体" w:eastAsia="宋体" w:hAnsi="宋体" w:cs="宋体" w:hint="eastAsia"/>
                <w:kern w:val="2"/>
                <w:sz w:val="21"/>
                <w:szCs w:val="21"/>
                <w:lang w:eastAsia="zh-CN"/>
              </w:rPr>
              <w:t>适配</w:t>
            </w:r>
            <w:r>
              <w:rPr>
                <w:rFonts w:ascii="宋体" w:eastAsia="宋体" w:hAnsi="宋体" w:cs="宋体" w:hint="eastAsia"/>
                <w:kern w:val="2"/>
                <w:sz w:val="21"/>
                <w:szCs w:val="21"/>
                <w:lang w:eastAsia="zh-CN"/>
              </w:rPr>
              <w:t>IE浏览器进行</w:t>
            </w:r>
            <w:r>
              <w:rPr>
                <w:rFonts w:ascii="宋体" w:eastAsia="宋体" w:hAnsi="宋体" w:cs="宋体" w:hint="eastAsia"/>
                <w:kern w:val="2"/>
                <w:sz w:val="21"/>
                <w:szCs w:val="21"/>
                <w:lang w:eastAsia="zh-CN"/>
              </w:rPr>
              <w:t>监控</w:t>
            </w:r>
            <w:r>
              <w:rPr>
                <w:rFonts w:ascii="宋体" w:eastAsia="宋体" w:hAnsi="宋体" w:cs="宋体" w:hint="eastAsia"/>
                <w:kern w:val="2"/>
                <w:sz w:val="21"/>
                <w:szCs w:val="21"/>
                <w:lang w:eastAsia="zh-CN"/>
              </w:rPr>
              <w:t>视频录制</w:t>
            </w:r>
            <w:r>
              <w:rPr>
                <w:rFonts w:ascii="宋体" w:eastAsia="宋体" w:hAnsi="宋体" w:cs="宋体" w:hint="eastAsia"/>
                <w:kern w:val="2"/>
                <w:sz w:val="21"/>
                <w:szCs w:val="21"/>
                <w:lang w:eastAsia="zh-CN"/>
              </w:rPr>
              <w:t>，调节视频的分辨率和帧率</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内置画面动态监测（可设置监测灵敏度），可通过文字</w:t>
            </w:r>
            <w:r>
              <w:rPr>
                <w:rFonts w:ascii="宋体" w:eastAsia="宋体" w:hAnsi="宋体" w:cs="宋体" w:hint="eastAsia"/>
                <w:kern w:val="2"/>
                <w:sz w:val="21"/>
                <w:szCs w:val="21"/>
                <w:lang w:eastAsia="zh-CN"/>
              </w:rPr>
              <w:t>或者</w:t>
            </w:r>
            <w:r>
              <w:rPr>
                <w:rFonts w:ascii="宋体" w:eastAsia="宋体" w:hAnsi="宋体" w:cs="宋体" w:hint="eastAsia"/>
                <w:kern w:val="2"/>
                <w:sz w:val="21"/>
                <w:szCs w:val="21"/>
                <w:lang w:eastAsia="zh-CN"/>
              </w:rPr>
              <w:t>声音进行报警</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支持在视频界面对摄像头进行调整</w:t>
            </w:r>
          </w:p>
        </w:tc>
      </w:tr>
      <w:tr>
        <w:tblPrEx>
          <w:tblW w:w="5000" w:type="pct"/>
          <w:jc w:val="center"/>
          <w:tblLayout w:type="fixed"/>
          <w:tblCellMar>
            <w:top w:w="0" w:type="dxa"/>
            <w:left w:w="108" w:type="dxa"/>
            <w:bottom w:w="0" w:type="dxa"/>
            <w:right w:w="108" w:type="dxa"/>
          </w:tblCellMar>
        </w:tblPrEx>
        <w:trPr>
          <w:trHeight w:val="3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3"/>
              <w:gridCol w:w="1195"/>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0"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0" w:type="pct"/>
                  <w:vAlign w:val="top"/>
                </w:tcPr>
                <w:p>
                  <w:pPr>
                    <w:widowControl w:val="0"/>
                    <w:tabs>
                      <w:tab w:val="left" w:pos="420"/>
                    </w:tabs>
                    <w:jc w:val="both"/>
                    <w:rPr>
                      <w:rFonts w:ascii="宋体" w:hAnsi="宋体" w:cs="宋体" w:hint="eastAsia"/>
                      <w:spacing w:val="-13"/>
                      <w:sz w:val="21"/>
                      <w:szCs w:val="21"/>
                      <w:lang w:eastAsia="zh-CN"/>
                    </w:rPr>
                  </w:pPr>
                  <w:r>
                    <w:rPr>
                      <w:rFonts w:ascii="宋体" w:hAnsi="宋体" w:cs="宋体" w:hint="eastAsia"/>
                      <w:kern w:val="2"/>
                      <w:sz w:val="21"/>
                      <w:szCs w:val="21"/>
                      <w:lang w:eastAsia="zh-CN"/>
                    </w:rPr>
                    <w:t>信</w:t>
                  </w:r>
                  <w:r>
                    <w:rPr>
                      <w:rFonts w:ascii="宋体" w:hAnsi="宋体" w:cs="宋体" w:hint="eastAsia"/>
                      <w:kern w:val="2"/>
                      <w:sz w:val="21"/>
                      <w:szCs w:val="21"/>
                      <w:lang w:eastAsia="zh-CN"/>
                    </w:rPr>
                    <w:t>号放大器</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盘状电极</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根</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27</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导电膏、磨砂膏、医用胶带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各1个</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脑电帽</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台车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脑电采集与分析系统</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0"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事件相关电位软件</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0"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TDH-39刺激耳机</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2780"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眼罩刺激器</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2780"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音频转接器与USB线缆</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2780"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患者按钮</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2"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bookmarkEnd w:id="44"/>
      <w:bookmarkEnd w:id="45"/>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9"/>
        <w:gridCol w:w="1690"/>
        <w:gridCol w:w="5820"/>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合同签订后，乙方需向甲方提供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甲方在收到发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1.1乙方需向甲方提供合同总额5%的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由供应商自主选择以支票、汇票、本票、保函等非现金方式提交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10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乙方完成供货且经过甲方验收合格后，甲方在30日内不计息退还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违约处理：如乙方发生违约行为，如设备出现质量问题，或乙方未按甲方要求维修或替换，则甲方有权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7"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（肌电图诱发电位仪、动态心电血压记录仪、脑电事件相关电位（数字神经电生理系统））</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bl>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6"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7" w:name="_Hlk72070784"/>
      <w:r>
        <w:rPr>
          <w:rFonts w:eastAsia="宋体" w:hint="eastAsia"/>
          <w:kern w:val="2"/>
          <w:sz w:val="21"/>
          <w:szCs w:val="21"/>
          <w:lang w:eastAsia="zh-CN"/>
        </w:rPr>
        <w:t>投标函</w:t>
      </w:r>
      <w:bookmarkEnd w:id="47"/>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8" w:name="_Hlk72062521"/>
      <w:r>
        <w:rPr>
          <w:rFonts w:eastAsia="宋体" w:hint="eastAsia"/>
          <w:kern w:val="2"/>
          <w:sz w:val="21"/>
          <w:szCs w:val="21"/>
          <w:lang w:eastAsia="zh-CN"/>
        </w:rPr>
        <w:t>采购投标及履约承诺函</w:t>
      </w:r>
      <w:bookmarkEnd w:id="48"/>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49"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9"/>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w:t>
      </w:r>
      <w:r>
        <w:rPr>
          <w:rFonts w:eastAsia="宋体" w:hint="eastAsia"/>
          <w:kern w:val="2"/>
          <w:sz w:val="21"/>
          <w:szCs w:val="21"/>
          <w:lang w:eastAsia="zh-CN"/>
        </w:rPr>
        <w:t>技术保障措施</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kern w:val="2"/>
          <w:sz w:val="21"/>
          <w:szCs w:val="21"/>
          <w:lang w:eastAsia="zh-CN"/>
        </w:rPr>
        <w:t>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6"/>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0"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1"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0"/>
      <w:bookmarkEnd w:id="51"/>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2"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3"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4" w:name="_Hlk72263588"/>
      <w:r>
        <w:rPr>
          <w:rFonts w:eastAsia="宋体" w:hint="eastAsia"/>
          <w:kern w:val="2"/>
          <w:sz w:val="21"/>
          <w:szCs w:val="21"/>
          <w:lang w:eastAsia="zh-CN"/>
        </w:rPr>
        <w:t>愿意按照招标文件要求承包上述项目并修补其任何缺陷。</w:t>
      </w:r>
      <w:bookmarkEnd w:id="54"/>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5"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5"/>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3"/>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2"/>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6"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7" w:name="_Hlk72587269"/>
      <w:bookmarkStart w:id="58"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7"/>
      <w:r>
        <w:rPr>
          <w:rFonts w:ascii="宋体" w:eastAsia="宋体" w:hAnsi="宋体" w:hint="eastAsia"/>
          <w:kern w:val="2"/>
          <w:sz w:val="21"/>
          <w:szCs w:val="21"/>
          <w:lang w:eastAsia="zh-CN"/>
        </w:rPr>
        <w:t>。</w:t>
      </w:r>
    </w:p>
    <w:bookmarkEnd w:id="58"/>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6"/>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59"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0" w:name="_Hlk72257908"/>
      <w:r>
        <w:rPr>
          <w:rFonts w:ascii="黑体" w:eastAsia="黑体" w:hAnsi="宋体" w:hint="eastAsia"/>
          <w:bCs/>
          <w:szCs w:val="32"/>
          <w:lang w:eastAsia="zh-CN"/>
        </w:rPr>
        <w:t>（二）中小企业声明函、残疾人福利性单位声明函及监狱企业声明函</w:t>
      </w:r>
    </w:p>
    <w:bookmarkEnd w:id="59"/>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1"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1"/>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2" w:name="_Hlk73562331"/>
      <w:bookmarkStart w:id="63"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2"/>
    </w:p>
    <w:bookmarkEnd w:id="63"/>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0"/>
    </w:p>
    <w:p>
      <w:pPr>
        <w:keepNext/>
        <w:keepLines/>
        <w:widowControl w:val="0"/>
        <w:spacing w:before="260" w:after="260" w:line="240" w:lineRule="auto"/>
        <w:jc w:val="center"/>
        <w:outlineLvl w:val="2"/>
        <w:rPr>
          <w:rFonts w:ascii="黑体" w:eastAsia="黑体" w:hAnsi="宋体"/>
          <w:bCs/>
          <w:kern w:val="2"/>
          <w:lang w:eastAsia="zh-CN"/>
        </w:rPr>
      </w:pPr>
      <w:bookmarkStart w:id="64"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4"/>
        <w:gridCol w:w="1109"/>
        <w:gridCol w:w="611"/>
        <w:gridCol w:w="611"/>
        <w:gridCol w:w="510"/>
        <w:gridCol w:w="643"/>
        <w:gridCol w:w="878"/>
        <w:gridCol w:w="464"/>
        <w:gridCol w:w="878"/>
        <w:gridCol w:w="878"/>
        <w:gridCol w:w="590"/>
        <w:gridCol w:w="913"/>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6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58"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58"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99"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77"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1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7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51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346"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30"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6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肌电图诱发电位仪</w:t>
            </w:r>
          </w:p>
        </w:tc>
        <w:tc>
          <w:tcPr>
            <w:tcW w:w="358" w:type="pct"/>
            <w:vAlign w:val="center"/>
          </w:tcPr>
          <w:p>
            <w:pPr>
              <w:widowControl w:val="0"/>
              <w:jc w:val="center"/>
              <w:rPr>
                <w:rFonts w:eastAsia="宋体" w:hint="eastAsia"/>
                <w:bCs/>
                <w:kern w:val="2"/>
                <w:sz w:val="21"/>
                <w:szCs w:val="21"/>
                <w:lang w:eastAsia="zh-CN"/>
              </w:rPr>
            </w:pPr>
          </w:p>
        </w:tc>
        <w:tc>
          <w:tcPr>
            <w:tcW w:w="358" w:type="pct"/>
            <w:vAlign w:val="center"/>
          </w:tcPr>
          <w:p>
            <w:pPr>
              <w:widowControl w:val="0"/>
              <w:jc w:val="center"/>
              <w:rPr>
                <w:rFonts w:eastAsia="宋体"/>
                <w:bCs/>
                <w:kern w:val="2"/>
                <w:sz w:val="21"/>
                <w:szCs w:val="21"/>
                <w:lang w:eastAsia="zh-CN"/>
              </w:rPr>
            </w:pPr>
          </w:p>
        </w:tc>
        <w:tc>
          <w:tcPr>
            <w:tcW w:w="299"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299000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299000</w:t>
            </w:r>
          </w:p>
        </w:tc>
      </w:tr>
      <w:tr>
        <w:tblPrEx>
          <w:tblW w:w="5000" w:type="pct"/>
          <w:jc w:val="center"/>
          <w:tblLayout w:type="fixed"/>
          <w:tblCellMar>
            <w:top w:w="0" w:type="dxa"/>
            <w:left w:w="108" w:type="dxa"/>
            <w:bottom w:w="0" w:type="dxa"/>
            <w:right w:w="108" w:type="dxa"/>
          </w:tblCellMar>
        </w:tblPrEx>
        <w:trPr>
          <w:trHeight w:hRule="auto" w:val="0"/>
          <w:jc w:val="center"/>
        </w:trPr>
        <w:tc>
          <w:tcPr>
            <w:tcW w:w="26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动态心电血压记录仪</w:t>
            </w:r>
          </w:p>
        </w:tc>
        <w:tc>
          <w:tcPr>
            <w:tcW w:w="358" w:type="pct"/>
            <w:vAlign w:val="center"/>
          </w:tcPr>
          <w:p>
            <w:pPr>
              <w:widowControl w:val="0"/>
              <w:jc w:val="center"/>
              <w:rPr>
                <w:rFonts w:eastAsia="宋体" w:hint="eastAsia"/>
                <w:bCs/>
                <w:kern w:val="2"/>
                <w:sz w:val="21"/>
                <w:szCs w:val="21"/>
                <w:lang w:eastAsia="zh-CN"/>
              </w:rPr>
            </w:pPr>
          </w:p>
        </w:tc>
        <w:tc>
          <w:tcPr>
            <w:tcW w:w="358" w:type="pct"/>
            <w:vAlign w:val="center"/>
          </w:tcPr>
          <w:p>
            <w:pPr>
              <w:widowControl w:val="0"/>
              <w:jc w:val="center"/>
              <w:rPr>
                <w:rFonts w:eastAsia="宋体"/>
                <w:bCs/>
                <w:kern w:val="2"/>
                <w:sz w:val="21"/>
                <w:szCs w:val="21"/>
                <w:lang w:eastAsia="zh-CN"/>
              </w:rPr>
            </w:pPr>
          </w:p>
        </w:tc>
        <w:tc>
          <w:tcPr>
            <w:tcW w:w="299"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51600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51600</w:t>
            </w:r>
          </w:p>
        </w:tc>
      </w:tr>
      <w:tr>
        <w:tblPrEx>
          <w:tblW w:w="5000" w:type="pct"/>
          <w:jc w:val="center"/>
          <w:tblLayout w:type="fixed"/>
          <w:tblCellMar>
            <w:top w:w="0" w:type="dxa"/>
            <w:left w:w="108" w:type="dxa"/>
            <w:bottom w:w="0" w:type="dxa"/>
            <w:right w:w="108" w:type="dxa"/>
          </w:tblCellMar>
        </w:tblPrEx>
        <w:trPr>
          <w:trHeight w:hRule="auto" w:val="0"/>
          <w:jc w:val="center"/>
        </w:trPr>
        <w:tc>
          <w:tcPr>
            <w:tcW w:w="26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65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脑电事件相关电位（数字神经电生理系统）</w:t>
            </w:r>
          </w:p>
        </w:tc>
        <w:tc>
          <w:tcPr>
            <w:tcW w:w="358" w:type="pct"/>
            <w:vAlign w:val="center"/>
          </w:tcPr>
          <w:p>
            <w:pPr>
              <w:widowControl w:val="0"/>
              <w:jc w:val="center"/>
              <w:rPr>
                <w:rFonts w:eastAsia="宋体" w:hint="eastAsia"/>
                <w:bCs/>
                <w:kern w:val="2"/>
                <w:sz w:val="21"/>
                <w:szCs w:val="21"/>
                <w:lang w:eastAsia="zh-CN"/>
              </w:rPr>
            </w:pPr>
          </w:p>
        </w:tc>
        <w:tc>
          <w:tcPr>
            <w:tcW w:w="358" w:type="pct"/>
            <w:vAlign w:val="center"/>
          </w:tcPr>
          <w:p>
            <w:pPr>
              <w:widowControl w:val="0"/>
              <w:jc w:val="center"/>
              <w:rPr>
                <w:rFonts w:eastAsia="宋体"/>
                <w:bCs/>
                <w:kern w:val="2"/>
                <w:sz w:val="21"/>
                <w:szCs w:val="21"/>
                <w:lang w:eastAsia="zh-CN"/>
              </w:rPr>
            </w:pPr>
          </w:p>
        </w:tc>
        <w:tc>
          <w:tcPr>
            <w:tcW w:w="299"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2"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499000</w:t>
            </w:r>
          </w:p>
        </w:tc>
        <w:tc>
          <w:tcPr>
            <w:tcW w:w="515" w:type="pct"/>
            <w:vAlign w:val="center"/>
          </w:tcPr>
          <w:p>
            <w:pPr>
              <w:widowControl w:val="0"/>
              <w:jc w:val="center"/>
              <w:rPr>
                <w:rFonts w:ascii="仿宋" w:eastAsia="仿宋" w:hAnsi="仿宋" w:cs="仿宋" w:hint="eastAsia"/>
                <w:kern w:val="2"/>
                <w:lang w:eastAsia="zh-CN"/>
              </w:rPr>
            </w:pPr>
          </w:p>
        </w:tc>
        <w:tc>
          <w:tcPr>
            <w:tcW w:w="346" w:type="pct"/>
            <w:vAlign w:val="center"/>
          </w:tcPr>
          <w:p>
            <w:pPr>
              <w:widowControl w:val="0"/>
              <w:jc w:val="center"/>
              <w:rPr>
                <w:rFonts w:eastAsia="宋体"/>
                <w:bCs/>
                <w:kern w:val="2"/>
                <w:sz w:val="21"/>
                <w:szCs w:val="21"/>
                <w:lang w:eastAsia="zh-CN"/>
              </w:rPr>
            </w:pPr>
          </w:p>
        </w:tc>
        <w:tc>
          <w:tcPr>
            <w:tcW w:w="530"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499000</w:t>
            </w:r>
          </w:p>
        </w:tc>
      </w:tr>
      <w:tr>
        <w:tblPrEx>
          <w:tblW w:w="5000" w:type="pct"/>
          <w:jc w:val="center"/>
          <w:tblLayout w:type="fixed"/>
          <w:tblCellMar>
            <w:top w:w="0" w:type="dxa"/>
            <w:left w:w="108" w:type="dxa"/>
            <w:bottom w:w="0" w:type="dxa"/>
            <w:right w:w="108" w:type="dxa"/>
          </w:tblCellMar>
        </w:tblPrEx>
        <w:trPr>
          <w:trHeight w:val="589"/>
          <w:jc w:val="center"/>
        </w:trPr>
        <w:tc>
          <w:tcPr>
            <w:tcW w:w="5000" w:type="pct"/>
            <w:gridSpan w:val="12"/>
            <w:vAlign w:val="center"/>
          </w:tcPr>
          <w:p>
            <w:pPr>
              <w:widowControl w:val="0"/>
              <w:jc w:val="left"/>
              <w:rPr>
                <w:rFonts w:eastAsia="宋体"/>
                <w:bCs/>
                <w:kern w:val="2"/>
                <w:sz w:val="21"/>
                <w:szCs w:val="21"/>
                <w:lang w:eastAsia="zh-CN"/>
              </w:rPr>
            </w:pPr>
            <w:r>
              <w:rPr>
                <w:rFonts w:eastAsia="宋体"/>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5"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5"/>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6" w:name="_Hlk72073235"/>
      <w:r>
        <w:rPr>
          <w:rFonts w:eastAsia="宋体" w:hint="eastAsia"/>
          <w:b/>
          <w:kern w:val="2"/>
          <w:lang w:eastAsia="zh-CN"/>
        </w:rPr>
        <w:t>投标人认为需要涉及的其他内容报价清单</w:t>
      </w:r>
      <w:bookmarkEnd w:id="66"/>
    </w:p>
    <w:p>
      <w:pPr>
        <w:widowControl w:val="0"/>
        <w:jc w:val="both"/>
        <w:rPr>
          <w:rFonts w:eastAsia="宋体"/>
          <w:b/>
          <w:bCs/>
          <w:kern w:val="2"/>
          <w:sz w:val="21"/>
          <w:lang w:eastAsia="zh-CN"/>
        </w:rPr>
      </w:pPr>
    </w:p>
    <w:bookmarkEnd w:id="64"/>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7"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8" w:name="_Hlk72092499"/>
      <w:r>
        <w:rPr>
          <w:rFonts w:ascii="黑体" w:eastAsia="黑体" w:hAnsi="宋体" w:hint="eastAsia"/>
          <w:bCs/>
          <w:kern w:val="2"/>
          <w:szCs w:val="32"/>
          <w:lang w:eastAsia="zh-CN"/>
        </w:rPr>
        <w:t>法定代表人（负责人）证明书</w:t>
      </w:r>
      <w:bookmarkEnd w:id="68"/>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69" w:name="_Hlk72092634"/>
      <w:r>
        <w:rPr>
          <w:rFonts w:ascii="黑体" w:eastAsia="黑体" w:hAnsi="宋体" w:hint="eastAsia"/>
          <w:bCs/>
          <w:lang w:eastAsia="zh-CN"/>
        </w:rPr>
        <w:t>实质性条款响应情况表</w:t>
      </w:r>
      <w:bookmarkEnd w:id="6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0"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0"/>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ascii="宋体" w:eastAsia="宋体" w:hAnsi="宋体" w:cs="宋体" w:hint="eastAsia"/>
                <w:kern w:val="2"/>
                <w:sz w:val="21"/>
                <w:szCs w:val="21"/>
                <w:lang w:eastAsia="zh-CN"/>
              </w:rPr>
              <w:t>★</w:t>
            </w: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与本项目其他投标人</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7"/>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7"/>
        <w:gridCol w:w="636"/>
        <w:gridCol w:w="5279"/>
        <w:gridCol w:w="693"/>
        <w:gridCol w:w="725"/>
        <w:gridCol w:w="76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372"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094"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406"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425"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450"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val="restar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1</w:t>
            </w:r>
          </w:p>
        </w:tc>
        <w:tc>
          <w:tcPr>
            <w:tcW w:w="372" w:type="pct"/>
            <w:vMerge w:val="restart"/>
            <w:vAlign w:val="center"/>
          </w:tcPr>
          <w:p>
            <w:pPr>
              <w:widowControl/>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肌电图诱发电位仪</w:t>
            </w:r>
          </w:p>
        </w:tc>
        <w:tc>
          <w:tcPr>
            <w:tcW w:w="4376" w:type="pct"/>
            <w:gridSpan w:val="4"/>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一、技术参数：</w:t>
            </w: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1.通道数：≥4通道</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2.电压灵敏度：0.05uV/div到10mV/div分档控制；显示电压灵敏度0.01uV/div到30mV/div分档控制</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70"/>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3.系统输入短路噪声≤0.4uV RMS</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4.系统共模抑制比：≥117dB</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5.共模输入阻抗：≥3000兆欧</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6.分辨率：≥24比特</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7.采样率：≥200千赫/每通道</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8.频率范围：0.15Hz～10KHz，电压测量误差+5%～-15%</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9.刺激强度≤125dB刺激耳给予Click声，刺激极性：密波，交替波</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10.最大Click声强：125-135dB；恒流源：最大电流脉冲输出强度：100mA（安全上限），有自动复零功能</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（二）电流刺激器：</w:t>
            </w: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1.最大电流脉冲强度：100mA±5%，脉冲强度误差≤±5%</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2.脉冲输出频率：0.1Hz～120Hz。</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（三）视刺激器：</w:t>
            </w: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1.模式翻转刺激器、LED眼罩、黑白多档可调棋盘格，水平条，竖条格、横条格、垂直条模式图案</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2.刺激视野：满视野、半视野、1/4视野</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3.注视点：可移动</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（四）听刺激器：</w:t>
            </w: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1.耳机声刺激器：最大Click声强：≤135dB(SPL峰值），纯音，爆发音，等</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2.刺激极性：疏波，密波，交替波</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3.对侧耳最大白噪声声强105—115db(SPL峰值）</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4.掩蔽音：左、右、双侧、对侧或同侧白噪音</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（五）软件功能和要求：</w:t>
            </w: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1.事件相关电位软件包：听觉P300、视觉P300、听觉P50、伴随负电位（CVN）、失匹配负波（MMV）、三重P300</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2.肌电图软件包：干扰相、运动单位电位、静息电位、同步电位、单纤维</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3.神经传导速度软件包：感觉神经传导速度、运动神经传导速度、F波、H反射、重复电刺激、运动单位数目估计、瞬目反射、交感皮肤反应</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4.体感诱发电位软件包：上肢体感、下肢体感、脊髓诱发电位、阴部诱发电位、三叉诱发电位</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5.听觉诱发电位软件包：听觉脑干诱发、多道听觉诱发、40Hz、脑干听阈、听觉长潜</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22"/>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left"/>
              <w:rPr>
                <w:rFonts w:ascii="宋体" w:eastAsia="宋体" w:hAnsi="宋体" w:cs="宋体" w:hint="eastAsia"/>
                <w:b/>
                <w:bCs/>
                <w:color w:val="000000"/>
                <w:kern w:val="2"/>
                <w:sz w:val="21"/>
                <w:szCs w:val="21"/>
                <w:lang w:eastAsia="zh-CN"/>
              </w:rPr>
            </w:pPr>
            <w:r>
              <w:rPr>
                <w:rFonts w:ascii="宋体" w:eastAsia="宋体" w:hAnsi="宋体" w:cs="宋体" w:hint="eastAsia"/>
                <w:kern w:val="2"/>
                <w:sz w:val="21"/>
                <w:szCs w:val="21"/>
                <w:lang w:eastAsia="zh-CN"/>
              </w:rPr>
              <w:t>6.视觉诱发电位软件包：常规棋盘视觉诱发、LED闪光诱发、视觉长潜</w:t>
            </w:r>
          </w:p>
        </w:tc>
        <w:tc>
          <w:tcPr>
            <w:tcW w:w="406" w:type="pct"/>
            <w:vAlign w:val="center"/>
          </w:tcPr>
          <w:p>
            <w:pPr>
              <w:widowControl w:val="0"/>
              <w:jc w:val="left"/>
              <w:rPr>
                <w:rFonts w:ascii="宋体" w:eastAsia="宋体" w:hAnsi="宋体" w:cs="宋体" w:hint="eastAsia"/>
                <w:kern w:val="2"/>
                <w:sz w:val="21"/>
                <w:szCs w:val="21"/>
                <w:lang w:eastAsia="zh-CN"/>
              </w:rPr>
            </w:pPr>
          </w:p>
        </w:tc>
        <w:tc>
          <w:tcPr>
            <w:tcW w:w="425" w:type="pct"/>
            <w:vAlign w:val="center"/>
          </w:tcPr>
          <w:p>
            <w:pPr>
              <w:widowControl w:val="0"/>
              <w:jc w:val="left"/>
              <w:rPr>
                <w:rFonts w:ascii="宋体" w:eastAsia="宋体" w:hAnsi="宋体" w:cs="宋体" w:hint="eastAsia"/>
                <w:kern w:val="2"/>
                <w:sz w:val="21"/>
                <w:szCs w:val="21"/>
                <w:lang w:eastAsia="zh-CN"/>
              </w:rPr>
            </w:pPr>
          </w:p>
        </w:tc>
        <w:tc>
          <w:tcPr>
            <w:tcW w:w="450" w:type="pct"/>
            <w:vAlign w:val="center"/>
          </w:tcPr>
          <w:p>
            <w:pPr>
              <w:widowControl w:val="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7.运动诱发：上肢运动、下肢运动</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9"/>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83"/>
              <w:gridCol w:w="4031"/>
              <w:gridCol w:w="1371"/>
              <w:gridCol w:w="1059"/>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1"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1" w:type="pct"/>
                  <w:vAlign w:val="top"/>
                </w:tcPr>
                <w:p>
                  <w:pPr>
                    <w:widowControl w:val="0"/>
                    <w:jc w:val="both"/>
                    <w:rPr>
                      <w:rFonts w:ascii="宋体" w:hAnsi="宋体" w:cs="宋体" w:hint="eastAsia"/>
                      <w:spacing w:val="-13"/>
                      <w:sz w:val="21"/>
                      <w:szCs w:val="21"/>
                      <w:lang w:eastAsia="zh-CN"/>
                    </w:rPr>
                  </w:pPr>
                  <w:r>
                    <w:rPr>
                      <w:rFonts w:ascii="宋体" w:hAnsi="宋体" w:cs="宋体" w:hint="eastAsia"/>
                      <w:kern w:val="2"/>
                      <w:sz w:val="21"/>
                      <w:szCs w:val="21"/>
                      <w:lang w:eastAsia="zh-CN"/>
                    </w:rPr>
                    <w:t>软件主机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打印设备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显示设备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台车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指环电极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副</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鞍型电极</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副</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1" w:type="pct"/>
                  <w:vAlign w:val="top"/>
                </w:tcPr>
                <w:p>
                  <w:pPr>
                    <w:widowControl w:val="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手持电极</w:t>
                  </w:r>
                </w:p>
              </w:tc>
              <w:tc>
                <w:tcPr>
                  <w:tcW w:w="946" w:type="pct"/>
                  <w:shd w:val="clear" w:color="auto" w:fill="auto"/>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1" w:type="pct"/>
                  <w:vAlign w:val="top"/>
                </w:tcPr>
                <w:p>
                  <w:pPr>
                    <w:widowControl w:val="0"/>
                    <w:jc w:val="both"/>
                    <w:rPr>
                      <w:rFonts w:ascii="宋体" w:hAnsi="宋体" w:cs="宋体" w:hint="eastAsia"/>
                      <w:kern w:val="2"/>
                      <w:sz w:val="21"/>
                      <w:szCs w:val="21"/>
                      <w:lang w:eastAsia="zh-Hans"/>
                    </w:rPr>
                  </w:pPr>
                  <w:r>
                    <w:rPr>
                      <w:rFonts w:ascii="宋体" w:hAnsi="宋体" w:cs="宋体" w:hint="eastAsia"/>
                      <w:kern w:val="2"/>
                      <w:sz w:val="21"/>
                      <w:szCs w:val="21"/>
                      <w:lang w:eastAsia="zh-CN"/>
                    </w:rPr>
                    <w:t>耳机</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center"/>
              <w:rPr>
                <w:rFonts w:ascii="宋体" w:eastAsia="宋体" w:hAnsi="宋体" w:cs="宋体" w:hint="eastAsia"/>
                <w:b/>
                <w:bCs/>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restar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2</w:t>
            </w:r>
          </w:p>
        </w:tc>
        <w:tc>
          <w:tcPr>
            <w:tcW w:w="372" w:type="pct"/>
            <w:vMerge w:val="restart"/>
            <w:vAlign w:val="center"/>
          </w:tcPr>
          <w:p>
            <w:pPr>
              <w:widowControl/>
              <w:jc w:val="center"/>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动态心电血压记录仪</w:t>
            </w:r>
          </w:p>
        </w:tc>
        <w:tc>
          <w:tcPr>
            <w:tcW w:w="4376" w:type="pct"/>
            <w:gridSpan w:val="4"/>
            <w:vAlign w:val="center"/>
          </w:tcPr>
          <w:p>
            <w:pPr>
              <w:widowControl w:val="0"/>
              <w:jc w:val="both"/>
              <w:rPr>
                <w:rFonts w:eastAsia="宋体" w:hint="eastAsia"/>
                <w:kern w:val="2"/>
                <w:sz w:val="21"/>
                <w:lang w:eastAsia="zh-CN"/>
              </w:rPr>
            </w:pPr>
            <w:r>
              <w:rPr>
                <w:rFonts w:eastAsia="宋体" w:hint="eastAsia"/>
                <w:kern w:val="2"/>
                <w:sz w:val="21"/>
                <w:lang w:eastAsia="zh-CN"/>
              </w:rPr>
              <w:t>1.心电部分</w:t>
            </w: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(1)检测通道：12导联心电图（兼容3导联心电图）；独立起搏信号检测通道（双通道）；电池电压记录通道</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(2)电极数量：10电极/12导联；5、7电极/3导联 </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(3)记录时间：24 –48 小时</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(4)灵敏度：≥10mm/mv</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(5)输入阻抗：≥10 MΩ</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(6)共模抑制比：≥ 80 dB</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(7)增益准确度：误差 ≤ 10 %</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(8)频率响应范围：0.05 Hz ～ 60 Hz(±3.0 dB)</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(9)采样率：≥10000 Hz/通道</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A/D转换位数：≥12位</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2.血压部分</w:t>
            </w: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(1)示值范围：0 ～ 300 mmHg</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(2)测量范围：收缩压：50～255 mmHg舒张压：30～200 mmHg</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(3)脉搏测量范围：30～200 bpm</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(4)测量精度：误差 ≤ 3 mmHg</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3.通用部分</w:t>
            </w: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(1)通讯方式：USB 读卡器</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(2)存储方式、容量：≥16G容量SD数据卡</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(3)电源：2节1.5V（5号）碱性电池</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(4)记录仪尺寸：≥103 * 76 * 31 mm</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3094" w:type="pct"/>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(5)记录仪重量：≤ 180g </w:t>
            </w:r>
          </w:p>
        </w:tc>
        <w:tc>
          <w:tcPr>
            <w:tcW w:w="406" w:type="pct"/>
            <w:vAlign w:val="center"/>
          </w:tcPr>
          <w:p>
            <w:pPr>
              <w:widowControl w:val="0"/>
              <w:jc w:val="both"/>
              <w:rPr>
                <w:rFonts w:ascii="宋体" w:eastAsia="宋体" w:hAnsi="宋体" w:cs="宋体" w:hint="eastAsia"/>
                <w:kern w:val="2"/>
                <w:sz w:val="21"/>
                <w:szCs w:val="21"/>
                <w:lang w:eastAsia="zh-CN"/>
              </w:rPr>
            </w:pPr>
          </w:p>
        </w:tc>
        <w:tc>
          <w:tcPr>
            <w:tcW w:w="425" w:type="pct"/>
            <w:vAlign w:val="center"/>
          </w:tcPr>
          <w:p>
            <w:pPr>
              <w:widowControl w:val="0"/>
              <w:jc w:val="both"/>
              <w:rPr>
                <w:rFonts w:ascii="宋体" w:eastAsia="宋体" w:hAnsi="宋体" w:cs="宋体" w:hint="eastAsia"/>
                <w:kern w:val="2"/>
                <w:sz w:val="21"/>
                <w:szCs w:val="21"/>
                <w:lang w:eastAsia="zh-CN"/>
              </w:rPr>
            </w:pPr>
          </w:p>
        </w:tc>
        <w:tc>
          <w:tcPr>
            <w:tcW w:w="450" w:type="pct"/>
            <w:vAlign w:val="center"/>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38"/>
          <w:jc w:val="center"/>
        </w:trPr>
        <w:tc>
          <w:tcPr>
            <w:tcW w:w="250" w:type="pct"/>
            <w:vMerge/>
            <w:vAlign w:val="center"/>
          </w:tcPr>
          <w:p>
            <w:pPr>
              <w:widowControl w:val="0"/>
              <w:jc w:val="center"/>
              <w:rPr>
                <w:rFonts w:ascii="宋体" w:eastAsia="宋体" w:hAnsi="宋体" w:cs="宋体" w:hint="eastAsia"/>
                <w:b/>
                <w:bCs/>
                <w:color w:val="000000"/>
                <w:kern w:val="2"/>
                <w:sz w:val="21"/>
                <w:szCs w:val="21"/>
                <w:lang w:eastAsia="zh-CN"/>
              </w:rPr>
            </w:pPr>
          </w:p>
        </w:tc>
        <w:tc>
          <w:tcPr>
            <w:tcW w:w="372" w:type="pct"/>
            <w:vMerge/>
            <w:vAlign w:val="center"/>
          </w:tcPr>
          <w:p>
            <w:pPr>
              <w:widowControl/>
              <w:jc w:val="center"/>
              <w:rPr>
                <w:rFonts w:ascii="宋体" w:eastAsia="宋体" w:hAnsi="宋体" w:cs="宋体" w:hint="eastAsia"/>
                <w:bCs/>
                <w:kern w:val="2"/>
                <w:sz w:val="21"/>
                <w:szCs w:val="21"/>
                <w:lang w:eastAsia="zh-CN"/>
              </w:rPr>
            </w:pPr>
          </w:p>
        </w:tc>
        <w:tc>
          <w:tcPr>
            <w:tcW w:w="4376" w:type="pct"/>
            <w:gridSpan w:val="4"/>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83"/>
              <w:gridCol w:w="4031"/>
              <w:gridCol w:w="1371"/>
              <w:gridCol w:w="1059"/>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1"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3"/>
                      <w:sz w:val="21"/>
                      <w:szCs w:val="21"/>
                      <w:lang w:eastAsia="zh-CN"/>
                    </w:rPr>
                  </w:pPr>
                  <w:r>
                    <w:rPr>
                      <w:rFonts w:ascii="宋体" w:hAnsi="宋体" w:cs="宋体" w:hint="eastAsia"/>
                      <w:kern w:val="2"/>
                      <w:sz w:val="21"/>
                      <w:szCs w:val="21"/>
                      <w:lang w:eastAsia="zh-CN"/>
                    </w:rPr>
                    <w:t>动态心电血压二合一记录仪</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动态心电血压二合一分析软件</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移动处理设备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12导联心电导联线</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付</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SD数据存储卡</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z w:val="21"/>
                      <w:szCs w:val="21"/>
                      <w:lang w:eastAsia="zh-CN"/>
                    </w:rPr>
                    <w:t>张</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标准血压袖带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spacing w:val="-1"/>
                      <w:kern w:val="2"/>
                      <w:sz w:val="21"/>
                      <w:szCs w:val="21"/>
                      <w:lang w:eastAsia="zh-CN"/>
                    </w:rPr>
                  </w:pPr>
                  <w:r>
                    <w:rPr>
                      <w:rFonts w:ascii="宋体" w:hAnsi="宋体" w:cs="宋体" w:hint="eastAsia"/>
                      <w:kern w:val="2"/>
                      <w:sz w:val="21"/>
                      <w:szCs w:val="21"/>
                      <w:lang w:eastAsia="zh-CN"/>
                    </w:rPr>
                    <w:t>记录仪背包</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4</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1" w:type="pct"/>
                  <w:vAlign w:val="top"/>
                </w:tcPr>
                <w:p>
                  <w:pPr>
                    <w:widowControl w:val="0"/>
                    <w:numPr>
                      <w:ilvl w:val="0"/>
                      <w:numId w:val="0"/>
                    </w:numPr>
                    <w:ind w:left="425" w:hanging="425" w:leftChars="0" w:firstLineChars="0"/>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使用说明书</w:t>
                  </w:r>
                </w:p>
              </w:tc>
              <w:tc>
                <w:tcPr>
                  <w:tcW w:w="946" w:type="pct"/>
                  <w:shd w:val="clear" w:color="auto" w:fill="auto"/>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1" w:type="pct"/>
                  <w:vAlign w:val="top"/>
                </w:tcPr>
                <w:p>
                  <w:pPr>
                    <w:pageBreakBefore w:val="0"/>
                    <w:widowControl w:val="0"/>
                    <w:numPr>
                      <w:ilvl w:val="0"/>
                      <w:numId w:val="0"/>
                    </w:numPr>
                    <w:kinsoku/>
                    <w:wordWrap/>
                    <w:overflowPunct/>
                    <w:topLinePunct w:val="0"/>
                    <w:autoSpaceDE/>
                    <w:autoSpaceDN/>
                    <w:bidi w:val="0"/>
                    <w:adjustRightInd/>
                    <w:snapToGrid/>
                    <w:spacing w:line="360" w:lineRule="auto"/>
                    <w:ind w:left="425" w:hanging="425" w:leftChars="0" w:firstLineChars="0"/>
                    <w:jc w:val="both"/>
                    <w:textAlignment w:val="auto"/>
                    <w:rPr>
                      <w:rFonts w:ascii="宋体" w:hAnsi="宋体" w:cs="宋体" w:hint="eastAsia"/>
                      <w:kern w:val="2"/>
                      <w:sz w:val="21"/>
                      <w:szCs w:val="21"/>
                      <w:lang w:eastAsia="zh-Hans"/>
                    </w:rPr>
                  </w:pPr>
                  <w:r>
                    <w:rPr>
                      <w:rFonts w:ascii="宋体" w:hAnsi="宋体" w:cs="宋体" w:hint="eastAsia"/>
                      <w:kern w:val="2"/>
                      <w:sz w:val="21"/>
                      <w:szCs w:val="21"/>
                      <w:lang w:eastAsia="zh-CN"/>
                    </w:rPr>
                    <w:t>动态心电血压二合一记录仪</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pageBreakBefore w:val="0"/>
              <w:widowControl w:val="0"/>
              <w:numPr>
                <w:ilvl w:val="0"/>
                <w:numId w:val="0"/>
              </w:numPr>
              <w:kinsoku/>
              <w:wordWrap/>
              <w:overflowPunct/>
              <w:topLinePunct w:val="0"/>
              <w:autoSpaceDE/>
              <w:autoSpaceDN/>
              <w:bidi w:val="0"/>
              <w:adjustRightInd/>
              <w:snapToGrid/>
              <w:spacing w:line="360" w:lineRule="auto"/>
              <w:ind w:left="0" w:firstLine="0" w:leftChars="0" w:firstLineChars="0"/>
              <w:jc w:val="left"/>
              <w:textAlignment w:val="auto"/>
              <w:rPr>
                <w:rFonts w:ascii="宋体" w:eastAsia="宋体" w:hAnsi="宋体" w:cs="宋体" w:hint="eastAsia"/>
                <w:b/>
                <w:bCs/>
                <w:color w:val="000000"/>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372"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脑电事件相关电位（数字神经电生理系统）</w:t>
            </w: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一、技术</w:t>
            </w:r>
            <w:r>
              <w:rPr>
                <w:rFonts w:ascii="宋体" w:eastAsia="宋体" w:hAnsi="宋体" w:cs="宋体" w:hint="eastAsia"/>
                <w:kern w:val="2"/>
                <w:sz w:val="21"/>
                <w:szCs w:val="21"/>
                <w:lang w:eastAsia="zh-CN"/>
              </w:rPr>
              <w:t>参数</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72" w:type="pct"/>
            <w:vMerge/>
            <w:vAlign w:val="center"/>
          </w:tcPr>
          <w:p>
            <w:pPr>
              <w:widowControl w:val="0"/>
              <w:jc w:val="center"/>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信号放大器系统</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72" w:type="pct"/>
            <w:vMerge/>
            <w:vAlign w:val="center"/>
          </w:tcPr>
          <w:p>
            <w:pPr>
              <w:widowControl w:val="0"/>
              <w:jc w:val="center"/>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放大器通道：≥3</w:t>
            </w:r>
            <w:r>
              <w:rPr>
                <w:rFonts w:ascii="宋体" w:eastAsia="宋体" w:hAnsi="宋体" w:cs="宋体" w:hint="eastAsia"/>
                <w:kern w:val="2"/>
                <w:sz w:val="21"/>
                <w:szCs w:val="21"/>
                <w:lang w:eastAsia="zh-CN"/>
              </w:rPr>
              <w:t>2通道</w:t>
            </w:r>
            <w:r>
              <w:rPr>
                <w:rFonts w:ascii="宋体" w:eastAsia="宋体" w:hAnsi="宋体" w:cs="宋体" w:hint="eastAsia"/>
                <w:kern w:val="2"/>
                <w:sz w:val="21"/>
                <w:szCs w:val="21"/>
                <w:lang w:eastAsia="zh-CN"/>
              </w:rPr>
              <w:t>，独立REF通道</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72" w:type="pct"/>
            <w:vMerge/>
            <w:vAlign w:val="center"/>
          </w:tcPr>
          <w:p>
            <w:pPr>
              <w:widowControl w:val="0"/>
              <w:jc w:val="center"/>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设备接口：USB</w:t>
            </w:r>
            <w:r>
              <w:rPr>
                <w:rFonts w:ascii="宋体" w:eastAsia="宋体" w:hAnsi="宋体" w:cs="宋体" w:hint="eastAsia"/>
                <w:kern w:val="2"/>
                <w:sz w:val="21"/>
                <w:szCs w:val="21"/>
                <w:lang w:eastAsia="zh-CN"/>
              </w:rPr>
              <w:t>接口</w:t>
            </w:r>
            <w:r>
              <w:rPr>
                <w:rFonts w:ascii="宋体" w:eastAsia="宋体" w:hAnsi="宋体" w:cs="宋体" w:hint="eastAsia"/>
                <w:kern w:val="2"/>
                <w:sz w:val="21"/>
                <w:szCs w:val="21"/>
                <w:lang w:eastAsia="zh-CN"/>
              </w:rPr>
              <w:t>传输信号、供电，无需市电</w:t>
            </w:r>
            <w:r>
              <w:rPr>
                <w:rFonts w:ascii="宋体" w:eastAsia="宋体" w:hAnsi="宋体" w:cs="宋体" w:hint="eastAsia"/>
                <w:kern w:val="2"/>
                <w:sz w:val="21"/>
                <w:szCs w:val="21"/>
                <w:lang w:eastAsia="zh-Hans"/>
              </w:rPr>
              <w:t>；</w:t>
            </w:r>
            <w:r>
              <w:rPr>
                <w:rFonts w:ascii="宋体" w:eastAsia="宋体" w:hAnsi="宋体" w:cs="宋体" w:hint="eastAsia"/>
                <w:kern w:val="2"/>
                <w:sz w:val="21"/>
                <w:szCs w:val="21"/>
                <w:lang w:eastAsia="zh-CN"/>
              </w:rPr>
              <w:t>不需要专用地线支持</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A/D转换：≥24Bit</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共模抑制比：≥120dB</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AC滤波：50Hz、60Hz切换</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采样频率：≥16KHz/通道</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输入范围：±1100 mV</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噪声：不大于1.4μVpp</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所有通道兼容AC/DC</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三色阻抗指示：主机通道可视化阻抗，实时在线连续测试阻抗</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设备软件电脑系统</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Windows11</w:t>
            </w:r>
            <w:r>
              <w:rPr>
                <w:rFonts w:ascii="宋体" w:eastAsia="宋体" w:hAnsi="宋体" w:cs="宋体" w:hint="eastAsia"/>
                <w:kern w:val="2"/>
                <w:sz w:val="21"/>
                <w:szCs w:val="21"/>
                <w:lang w:eastAsia="zh-CN"/>
              </w:rPr>
              <w:t>及以上</w:t>
            </w:r>
            <w:r>
              <w:rPr>
                <w:rFonts w:ascii="宋体" w:eastAsia="宋体" w:hAnsi="宋体" w:cs="宋体" w:hint="eastAsia"/>
                <w:kern w:val="2"/>
                <w:sz w:val="21"/>
                <w:szCs w:val="21"/>
                <w:lang w:eastAsia="zh-CN"/>
              </w:rPr>
              <w:t>操作系统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i5</w:t>
            </w:r>
            <w:r>
              <w:rPr>
                <w:rFonts w:ascii="宋体" w:eastAsia="宋体" w:hAnsi="宋体" w:cs="宋体" w:hint="eastAsia"/>
                <w:kern w:val="2"/>
                <w:sz w:val="21"/>
                <w:szCs w:val="21"/>
                <w:lang w:eastAsia="zh-CN"/>
              </w:rPr>
              <w:t>及</w:t>
            </w:r>
            <w:r>
              <w:rPr>
                <w:rFonts w:ascii="宋体" w:eastAsia="宋体" w:hAnsi="宋体" w:cs="宋体" w:hint="eastAsia"/>
                <w:kern w:val="2"/>
                <w:sz w:val="21"/>
                <w:szCs w:val="21"/>
                <w:lang w:eastAsia="zh-CN"/>
              </w:rPr>
              <w:t>以上</w:t>
            </w:r>
            <w:r>
              <w:rPr>
                <w:rFonts w:ascii="宋体" w:eastAsia="宋体" w:hAnsi="宋体" w:cs="宋体" w:hint="eastAsia"/>
                <w:kern w:val="2"/>
                <w:sz w:val="21"/>
                <w:szCs w:val="21"/>
                <w:lang w:eastAsia="zh-CN"/>
              </w:rPr>
              <w:t>处理器，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16G内存，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23寸显示器</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74"/>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脑电图软件要求：</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软件包含专业的脑电信号采集、分析功能；不更换放大器</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扩展多导睡眠监测与分析、诱发电位（含事件相关电位）功能</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癫痫功能：自定义癫痫探测规则设置、自动探测，具有棘波、尖波和棘慢波分析功能，可自动识别并标记出癫痫病理波及癫痫发作片段</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软件具有实时/区间分析的波幅、频率地形图</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脑功能趋势图</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密度频谱阵列DSA/CSA（识别痫样发作和早期预后判断。）</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Delta节律指数（定性和定量分析判断脑血流变化。）</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Alpha节律指数与脑血流量密切相关，预测脑出血</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平均波幅（过滤了瞬态事件，剔除了大部分伪迹对于癫痫发作的干扰。）</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快慢波比值（快速连续EEG节律分析，</w:t>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昏迷或脑出血、癫痫</w:t>
            </w:r>
            <w:r>
              <w:rPr>
                <w:rFonts w:ascii="宋体" w:eastAsia="宋体" w:hAnsi="宋体" w:cs="宋体" w:hint="eastAsia"/>
                <w:kern w:val="2"/>
                <w:sz w:val="21"/>
                <w:szCs w:val="21"/>
                <w:lang w:eastAsia="zh-CN"/>
              </w:rPr>
              <w:t>客观评估指标</w:t>
            </w:r>
            <w:r>
              <w:rPr>
                <w:rFonts w:ascii="宋体" w:eastAsia="宋体" w:hAnsi="宋体" w:cs="宋体" w:hint="eastAsia"/>
                <w:kern w:val="2"/>
                <w:sz w:val="21"/>
                <w:szCs w:val="21"/>
                <w:lang w:eastAsia="zh-CN"/>
              </w:rPr>
              <w:t>。）</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节律指数比（了解大脑EEG占比情况，跟踪脑损伤变化；区分左右脑半球情况，以及识别睡眠</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觉醒周期。）</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ADR（ADR与脑血流量和脑氧代谢率相关，</w:t>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蛛网膜下腔出血后延迟性脑缺血</w:t>
            </w:r>
            <w:r>
              <w:rPr>
                <w:rFonts w:ascii="宋体" w:eastAsia="宋体" w:hAnsi="宋体" w:cs="宋体" w:hint="eastAsia"/>
                <w:kern w:val="2"/>
                <w:sz w:val="21"/>
                <w:szCs w:val="21"/>
                <w:lang w:eastAsia="zh-CN"/>
              </w:rPr>
              <w:t>客观评估指标</w:t>
            </w:r>
            <w:r>
              <w:rPr>
                <w:rFonts w:ascii="宋体" w:eastAsia="宋体" w:hAnsi="宋体" w:cs="宋体" w:hint="eastAsia"/>
                <w:kern w:val="2"/>
                <w:sz w:val="21"/>
                <w:szCs w:val="21"/>
                <w:lang w:eastAsia="zh-CN"/>
              </w:rPr>
              <w:t>。）</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光谱熵（意识、镇静状态监测）</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ABCD频谱功率图，自动计算图形类别，用于评估丘脑皮层传导功能，辅助临床医生评估患者意识状态；</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ABCD趋势图和图形类别统计结果呈现，细化ABCD分类，显示患者意识状态和对不同促醒方式进行客观评估，用于长程监测，促醒药物、神经调控方式疗效评估</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ABCD自动化采集分析和报告模板，用户可设置分析区间、采集时间、伪迹自动标识处理等参数</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支持计算阿尔法频率峰值与离散地形图，用于评估意识障碍患者恢复期认知水平</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软件内置脑电定量分析功能和指标：</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自相关与互相关分析</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相干性分析数据与图形显示</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频谱－功率分析</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不同区间对比分析波幅、功率和指数图</w:t>
            </w:r>
            <w:r>
              <w:rPr>
                <w:rFonts w:ascii="宋体" w:eastAsia="宋体" w:hAnsi="宋体" w:cs="宋体" w:hint="eastAsia"/>
                <w:kern w:val="2"/>
                <w:sz w:val="21"/>
                <w:szCs w:val="21"/>
                <w:lang w:eastAsia="zh-CN"/>
              </w:rPr>
              <w:t>功能、</w:t>
            </w:r>
            <w:r>
              <w:rPr>
                <w:rFonts w:ascii="宋体" w:eastAsia="宋体" w:hAnsi="宋体" w:cs="宋体" w:hint="eastAsia"/>
                <w:kern w:val="2"/>
                <w:sz w:val="21"/>
                <w:szCs w:val="21"/>
                <w:lang w:eastAsia="zh-CN"/>
              </w:rPr>
              <w:t>二维与三维脑电地形图</w:t>
            </w:r>
            <w:r>
              <w:rPr>
                <w:rFonts w:ascii="宋体" w:eastAsia="宋体" w:hAnsi="宋体" w:cs="宋体" w:hint="eastAsia"/>
                <w:kern w:val="2"/>
                <w:sz w:val="21"/>
                <w:szCs w:val="21"/>
                <w:lang w:eastAsia="zh-CN"/>
              </w:rPr>
              <w:t>显示功能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软件内置单通道时频分析</w:t>
            </w:r>
            <w:r>
              <w:rPr>
                <w:rFonts w:ascii="宋体" w:eastAsia="宋体" w:hAnsi="宋体" w:cs="宋体" w:hint="eastAsia"/>
                <w:kern w:val="2"/>
                <w:sz w:val="21"/>
                <w:szCs w:val="21"/>
                <w:lang w:eastAsia="zh-CN"/>
              </w:rPr>
              <w:t>功能</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软件内置脑功能趋势分析</w:t>
            </w:r>
            <w:r>
              <w:rPr>
                <w:rFonts w:ascii="宋体" w:eastAsia="宋体" w:hAnsi="宋体" w:cs="宋体" w:hint="eastAsia"/>
                <w:kern w:val="2"/>
                <w:sz w:val="21"/>
                <w:szCs w:val="21"/>
                <w:lang w:eastAsia="zh-CN"/>
              </w:rPr>
              <w:t>指标</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包括</w:t>
            </w:r>
            <w:r>
              <w:rPr>
                <w:rFonts w:ascii="宋体" w:eastAsia="宋体" w:hAnsi="宋体" w:cs="宋体" w:hint="eastAsia"/>
                <w:kern w:val="2"/>
                <w:sz w:val="21"/>
                <w:szCs w:val="21"/>
                <w:lang w:eastAsia="zh-CN"/>
              </w:rPr>
              <w:t>静息态指数，光谱熵，平均波幅，节律指数比，快慢波比值，各节律指数</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实时显示各个通道阻抗趋势图</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密度谱阵列（DSA）与压缩密度谱阵列（CSA）功能：支持以μV</w:t>
            </w:r>
            <w:r>
              <w:rPr>
                <w:rFonts w:ascii="宋体" w:eastAsia="宋体" w:hAnsi="宋体" w:cs="宋体" w:hint="eastAsia"/>
                <w:kern w:val="2"/>
                <w:sz w:val="21"/>
                <w:szCs w:val="21"/>
                <w:vertAlign w:val="superscript"/>
                <w:lang w:eastAsia="zh-CN"/>
              </w:rPr>
              <w:t>2</w:t>
            </w:r>
            <w:r>
              <w:rPr>
                <w:rFonts w:ascii="宋体" w:eastAsia="宋体" w:hAnsi="宋体" w:cs="宋体" w:hint="eastAsia"/>
                <w:kern w:val="2"/>
                <w:sz w:val="21"/>
                <w:szCs w:val="21"/>
                <w:lang w:eastAsia="zh-CN"/>
              </w:rPr>
              <w:t>与dB显示结果；显示优势频率、边缘频率和中位频率，可设置平滑水平；自定义噪声排除水平和去除标记为伪迹片段的分析结果</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具备</w:t>
            </w:r>
            <w:r>
              <w:rPr>
                <w:rFonts w:ascii="宋体" w:eastAsia="宋体" w:hAnsi="宋体" w:cs="宋体" w:hint="eastAsia"/>
                <w:kern w:val="2"/>
                <w:sz w:val="21"/>
                <w:szCs w:val="21"/>
                <w:lang w:eastAsia="zh-CN"/>
              </w:rPr>
              <w:t>功能测试、刺激系统：预设多种功能测试模板，用户可设置语音、文字提示与时长，标记的片段可用于对比分析；支持用户自定义测试</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软件内置小波分析与独立成分分析功能用于去除伪迹</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具备</w:t>
            </w:r>
            <w:r>
              <w:rPr>
                <w:rFonts w:ascii="宋体" w:eastAsia="宋体" w:hAnsi="宋体" w:cs="宋体" w:hint="eastAsia"/>
                <w:kern w:val="2"/>
                <w:sz w:val="21"/>
                <w:szCs w:val="21"/>
                <w:lang w:eastAsia="zh-CN"/>
              </w:rPr>
              <w:t>自动化采集、分析与报告</w:t>
            </w:r>
            <w:r>
              <w:rPr>
                <w:rFonts w:ascii="宋体" w:eastAsia="宋体" w:hAnsi="宋体" w:cs="宋体" w:hint="eastAsia"/>
                <w:kern w:val="2"/>
                <w:sz w:val="21"/>
                <w:szCs w:val="21"/>
                <w:lang w:eastAsia="zh-CN"/>
              </w:rPr>
              <w:t>生成功能</w:t>
            </w:r>
            <w:r>
              <w:rPr>
                <w:rFonts w:ascii="宋体" w:eastAsia="宋体" w:hAnsi="宋体" w:cs="宋体" w:hint="eastAsia"/>
                <w:kern w:val="2"/>
                <w:sz w:val="21"/>
                <w:szCs w:val="21"/>
                <w:lang w:eastAsia="zh-CN"/>
              </w:rPr>
              <w:t>：软件支持用户自定义信号校准、监测、采集，伪迹识别标记，分析和自动报告全过程；支持用户随时打断自动化过程</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16.</w:t>
            </w:r>
            <w:r>
              <w:rPr>
                <w:rFonts w:ascii="宋体" w:eastAsia="宋体" w:hAnsi="宋体" w:cs="宋体" w:hint="eastAsia"/>
                <w:kern w:val="2"/>
                <w:sz w:val="21"/>
                <w:szCs w:val="21"/>
                <w:lang w:eastAsia="zh-CN"/>
              </w:rPr>
              <w:t>软件支持同时打开</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个脑电采集、分析窗口，同步脑电采集与分析</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可设置视频1-10倍回放速度，使用视频定位脑电信号采集时间；可将视频画面保存为图片或直接导出至报告文件</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可将视频分段保存，删除、锁定、编辑操作，也可以将脑电图和视频片段剪辑后保存为独立文件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在不同脑电软件中回放</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软件内置波形频率、波幅测量尺；</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单波电子测量频率、功率和波幅；支持滑动测量，支持将所选波形和测量结果一键截取发送至报告</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设置各个通道EEG、EMG上下边界数值/线，通过肉眼</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查看信号是否超过设定数值</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21.</w:t>
            </w:r>
            <w:r>
              <w:rPr>
                <w:rFonts w:ascii="宋体" w:eastAsia="宋体" w:hAnsi="宋体" w:cs="宋体" w:hint="eastAsia"/>
                <w:kern w:val="2"/>
                <w:sz w:val="21"/>
                <w:szCs w:val="21"/>
                <w:lang w:eastAsia="zh-CN"/>
              </w:rPr>
              <w:t>左右侧导联叠放，操作者</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肉眼</w:t>
            </w:r>
            <w:r>
              <w:rPr>
                <w:rFonts w:ascii="宋体" w:eastAsia="宋体" w:hAnsi="宋体" w:cs="宋体" w:hint="eastAsia"/>
                <w:kern w:val="2"/>
                <w:sz w:val="21"/>
                <w:szCs w:val="21"/>
                <w:lang w:eastAsia="zh-CN"/>
              </w:rPr>
              <w:t>识</w:t>
            </w:r>
            <w:r>
              <w:rPr>
                <w:rFonts w:ascii="宋体" w:eastAsia="宋体" w:hAnsi="宋体" w:cs="宋体" w:hint="eastAsia"/>
                <w:kern w:val="2"/>
                <w:sz w:val="21"/>
                <w:szCs w:val="21"/>
                <w:lang w:eastAsia="zh-CN"/>
              </w:rPr>
              <w:t>别左右半球信号对称性</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22.</w:t>
            </w:r>
            <w:r>
              <w:rPr>
                <w:rFonts w:ascii="宋体" w:eastAsia="宋体" w:hAnsi="宋体" w:cs="宋体" w:hint="eastAsia"/>
                <w:kern w:val="2"/>
                <w:sz w:val="21"/>
                <w:szCs w:val="21"/>
                <w:lang w:eastAsia="zh-CN"/>
              </w:rPr>
              <w:t>软件预设单极、双极、横联、纵联和平均导联，支持用户自定义蒙太奇；以头形直观显示蒙太奇导联设置界面；可对蒙太奇内单个导联进行统一、独立设置滤波、颜色；监测和回放中可自由切换</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23.</w:t>
            </w:r>
            <w:r>
              <w:rPr>
                <w:rFonts w:ascii="宋体" w:eastAsia="宋体" w:hAnsi="宋体" w:cs="宋体" w:hint="eastAsia"/>
                <w:kern w:val="2"/>
                <w:sz w:val="21"/>
                <w:szCs w:val="21"/>
                <w:lang w:eastAsia="zh-CN"/>
              </w:rPr>
              <w:t>软件</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预设</w:t>
            </w:r>
            <w:r>
              <w:rPr>
                <w:rFonts w:ascii="宋体" w:eastAsia="宋体" w:hAnsi="宋体" w:cs="宋体" w:hint="eastAsia"/>
                <w:kern w:val="2"/>
                <w:sz w:val="21"/>
                <w:szCs w:val="21"/>
                <w:lang w:eastAsia="zh-CN"/>
              </w:rPr>
              <w:t>至少9种</w:t>
            </w:r>
            <w:r>
              <w:rPr>
                <w:rFonts w:ascii="宋体" w:eastAsia="宋体" w:hAnsi="宋体" w:cs="宋体" w:hint="eastAsia"/>
                <w:kern w:val="2"/>
                <w:sz w:val="21"/>
                <w:szCs w:val="21"/>
                <w:lang w:eastAsia="zh-CN"/>
              </w:rPr>
              <w:t>参考方式</w:t>
            </w:r>
            <w:r>
              <w:rPr>
                <w:rFonts w:ascii="宋体" w:eastAsia="宋体" w:hAnsi="宋体" w:cs="宋体" w:hint="eastAsia"/>
                <w:kern w:val="2"/>
                <w:sz w:val="21"/>
                <w:szCs w:val="21"/>
                <w:lang w:eastAsia="zh-CN"/>
              </w:rPr>
              <w:t>。包括：</w:t>
            </w:r>
            <w:r>
              <w:rPr>
                <w:rFonts w:ascii="宋体" w:eastAsia="宋体" w:hAnsi="宋体" w:cs="宋体" w:hint="eastAsia"/>
                <w:kern w:val="2"/>
                <w:sz w:val="21"/>
                <w:szCs w:val="21"/>
                <w:lang w:eastAsia="zh-CN"/>
              </w:rPr>
              <w:t>平均参考（AV），双耳平均参考（AA）， 中央参考（Cz）， 源参考（SD），左半球平均参考（AV1），右半球平均参考（AV2），系统参考（REF），同侧耳电极参考（A1或A2）；对侧耳电极参考（A2或A1）</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24.</w:t>
            </w:r>
            <w:r>
              <w:rPr>
                <w:rFonts w:ascii="宋体" w:eastAsia="宋体" w:hAnsi="宋体" w:cs="宋体" w:hint="eastAsia"/>
                <w:kern w:val="2"/>
                <w:sz w:val="21"/>
                <w:szCs w:val="21"/>
                <w:lang w:eastAsia="zh-CN"/>
              </w:rPr>
              <w:t>支持调用DirectX（图形优化组件），优化轨迹显示，还原信号连续性</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支持以秒为单位显示脑电信号</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支持</w:t>
            </w:r>
            <w:r>
              <w:rPr>
                <w:rFonts w:ascii="宋体" w:eastAsia="宋体" w:hAnsi="宋体" w:cs="宋体" w:hint="eastAsia"/>
                <w:kern w:val="2"/>
                <w:sz w:val="21"/>
                <w:szCs w:val="21"/>
                <w:lang w:eastAsia="zh-CN"/>
              </w:rPr>
              <w:t>以天文时间为单位标记脑电信号</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26.</w:t>
            </w:r>
            <w:r>
              <w:rPr>
                <w:rFonts w:ascii="宋体" w:eastAsia="宋体" w:hAnsi="宋体" w:cs="宋体" w:hint="eastAsia"/>
                <w:kern w:val="2"/>
                <w:sz w:val="21"/>
                <w:szCs w:val="21"/>
                <w:lang w:eastAsia="zh-CN"/>
              </w:rPr>
              <w:t>软件预设</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种脑电分析报告模板，</w:t>
            </w:r>
            <w:r>
              <w:rPr>
                <w:rFonts w:ascii="宋体" w:eastAsia="宋体" w:hAnsi="宋体" w:cs="宋体" w:hint="eastAsia"/>
                <w:kern w:val="2"/>
                <w:sz w:val="21"/>
                <w:szCs w:val="21"/>
                <w:lang w:eastAsia="zh-CN"/>
              </w:rPr>
              <w:t>支持以Word或PDF格式导出</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27.</w:t>
            </w:r>
            <w:r>
              <w:rPr>
                <w:rFonts w:ascii="宋体" w:eastAsia="宋体" w:hAnsi="宋体" w:cs="宋体" w:hint="eastAsia"/>
                <w:kern w:val="2"/>
                <w:sz w:val="21"/>
                <w:szCs w:val="21"/>
                <w:lang w:eastAsia="zh-CN"/>
              </w:rPr>
              <w:t>支持预设报告术语表，在书写结论时，通过点击粘贴文本</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28.</w:t>
            </w:r>
            <w:r>
              <w:rPr>
                <w:rFonts w:ascii="宋体" w:eastAsia="宋体" w:hAnsi="宋体" w:cs="宋体" w:hint="eastAsia"/>
                <w:kern w:val="2"/>
                <w:sz w:val="21"/>
                <w:szCs w:val="21"/>
                <w:lang w:eastAsia="zh-CN"/>
              </w:rPr>
              <w:t>事件管理：内置事件列表，可筛选、编辑、删除事件</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数据管理，软件支持网络和本地数据管理器，支持导入、导出数据存档；对数据进行合并；</w:t>
            </w:r>
            <w:r>
              <w:rPr>
                <w:rFonts w:ascii="宋体" w:eastAsia="宋体" w:hAnsi="宋体" w:cs="宋体" w:hint="eastAsia"/>
                <w:kern w:val="2"/>
                <w:sz w:val="21"/>
                <w:szCs w:val="21"/>
                <w:lang w:eastAsia="zh-CN"/>
              </w:rPr>
              <w:t>支持以word和excel格式</w:t>
            </w:r>
            <w:r>
              <w:rPr>
                <w:rFonts w:ascii="宋体" w:eastAsia="宋体" w:hAnsi="宋体" w:cs="宋体" w:hint="eastAsia"/>
                <w:kern w:val="2"/>
                <w:sz w:val="21"/>
                <w:szCs w:val="21"/>
                <w:lang w:eastAsia="zh-CN"/>
              </w:rPr>
              <w:t>导出检查统计记录</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软件预设</w:t>
            </w:r>
            <w:r>
              <w:rPr>
                <w:rFonts w:ascii="宋体" w:eastAsia="宋体" w:hAnsi="宋体" w:cs="宋体" w:hint="eastAsia"/>
                <w:kern w:val="2"/>
                <w:sz w:val="21"/>
                <w:szCs w:val="21"/>
                <w:lang w:eastAsia="zh-CN"/>
              </w:rPr>
              <w:t>至少</w:t>
            </w: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种患者信息，支持用户自定义参数、编写列表和历史字符串录入信息</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31.</w:t>
            </w:r>
            <w:r>
              <w:rPr>
                <w:rFonts w:ascii="宋体" w:eastAsia="宋体" w:hAnsi="宋体" w:cs="宋体" w:hint="eastAsia"/>
                <w:kern w:val="2"/>
                <w:sz w:val="21"/>
                <w:szCs w:val="21"/>
                <w:lang w:eastAsia="zh-CN"/>
              </w:rPr>
              <w:t>软件支持同步保存检查数据和备份EDF+，BDF格式文档到</w:t>
            </w:r>
            <w:r>
              <w:rPr>
                <w:rFonts w:ascii="宋体" w:eastAsia="宋体" w:hAnsi="宋体" w:cs="宋体" w:hint="eastAsia"/>
                <w:kern w:val="2"/>
                <w:sz w:val="21"/>
                <w:szCs w:val="21"/>
                <w:lang w:eastAsia="zh-CN"/>
              </w:rPr>
              <w:t>移动硬</w:t>
            </w:r>
            <w:r>
              <w:rPr>
                <w:rFonts w:ascii="宋体" w:eastAsia="宋体" w:hAnsi="宋体" w:cs="宋体" w:hint="eastAsia"/>
                <w:kern w:val="2"/>
                <w:sz w:val="21"/>
                <w:szCs w:val="21"/>
                <w:lang w:eastAsia="zh-CN"/>
              </w:rPr>
              <w:t>盘</w:t>
            </w:r>
            <w:r>
              <w:rPr>
                <w:rFonts w:ascii="宋体" w:eastAsia="宋体" w:hAnsi="宋体" w:cs="宋体" w:hint="eastAsia"/>
                <w:kern w:val="2"/>
                <w:sz w:val="21"/>
                <w:szCs w:val="21"/>
                <w:lang w:eastAsia="zh-CN"/>
              </w:rPr>
              <w:t>。</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32.</w:t>
            </w:r>
            <w:r>
              <w:rPr>
                <w:rFonts w:ascii="宋体" w:eastAsia="宋体" w:hAnsi="宋体" w:cs="宋体" w:hint="eastAsia"/>
                <w:kern w:val="2"/>
                <w:sz w:val="21"/>
                <w:szCs w:val="21"/>
                <w:lang w:eastAsia="zh-CN"/>
              </w:rPr>
              <w:t>支持局域网内从不同终端设备调取、查看实时软件界面</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33.</w:t>
            </w:r>
            <w:r>
              <w:rPr>
                <w:rFonts w:ascii="宋体" w:eastAsia="宋体" w:hAnsi="宋体" w:cs="宋体" w:hint="eastAsia"/>
                <w:kern w:val="2"/>
                <w:sz w:val="21"/>
                <w:szCs w:val="21"/>
                <w:lang w:eastAsia="zh-CN"/>
              </w:rPr>
              <w:t>支持创建不同权限的账户，满足不同用户需求</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34.</w:t>
            </w:r>
            <w:r>
              <w:rPr>
                <w:rFonts w:ascii="宋体" w:eastAsia="宋体" w:hAnsi="宋体" w:cs="宋体" w:hint="eastAsia"/>
                <w:kern w:val="2"/>
                <w:sz w:val="21"/>
                <w:szCs w:val="21"/>
                <w:lang w:eastAsia="zh-CN"/>
              </w:rPr>
              <w:t>滤波范围</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：高通0.05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10Hz；低通5</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600Hz，范围内任意调节</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35.</w:t>
            </w:r>
            <w:r>
              <w:rPr>
                <w:rFonts w:ascii="宋体" w:eastAsia="宋体" w:hAnsi="宋体" w:cs="宋体" w:hint="eastAsia"/>
                <w:kern w:val="2"/>
                <w:sz w:val="21"/>
                <w:szCs w:val="21"/>
                <w:lang w:eastAsia="zh-CN"/>
              </w:rPr>
              <w:t>软件内置带通滤波器，用户</w:t>
            </w:r>
            <w:r>
              <w:rPr>
                <w:rFonts w:ascii="宋体" w:eastAsia="宋体" w:hAnsi="宋体" w:cs="宋体" w:hint="eastAsia"/>
                <w:kern w:val="2"/>
                <w:sz w:val="21"/>
                <w:szCs w:val="21"/>
                <w:lang w:eastAsia="zh-CN"/>
              </w:rPr>
              <w:t>可通过</w:t>
            </w:r>
            <w:r>
              <w:rPr>
                <w:rFonts w:ascii="宋体" w:eastAsia="宋体" w:hAnsi="宋体" w:cs="宋体" w:hint="eastAsia"/>
                <w:kern w:val="2"/>
                <w:sz w:val="21"/>
                <w:szCs w:val="21"/>
                <w:lang w:eastAsia="zh-CN"/>
              </w:rPr>
              <w:t>滤波获取目标信息；滤波范围支持自定义</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36.</w:t>
            </w:r>
            <w:r>
              <w:rPr>
                <w:rFonts w:ascii="宋体" w:eastAsia="宋体" w:hAnsi="宋体" w:cs="宋体" w:hint="eastAsia"/>
                <w:kern w:val="2"/>
                <w:sz w:val="21"/>
                <w:szCs w:val="21"/>
                <w:lang w:eastAsia="zh-CN"/>
              </w:rPr>
              <w:t>扫描速度</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：1～10000mm/s单位范围内任意调节</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37.</w:t>
            </w:r>
            <w:r>
              <w:rPr>
                <w:rFonts w:ascii="宋体" w:eastAsia="宋体" w:hAnsi="宋体" w:cs="宋体" w:hint="eastAsia"/>
                <w:kern w:val="2"/>
                <w:sz w:val="21"/>
                <w:szCs w:val="21"/>
                <w:lang w:eastAsia="zh-CN"/>
              </w:rPr>
              <w:t>灵敏度</w:t>
            </w:r>
            <w:r>
              <w:rPr>
                <w:rFonts w:ascii="宋体" w:eastAsia="宋体" w:hAnsi="宋体" w:cs="宋体" w:hint="eastAsia"/>
                <w:kern w:val="2"/>
                <w:sz w:val="21"/>
                <w:szCs w:val="21"/>
                <w:lang w:eastAsia="zh-CN"/>
              </w:rPr>
              <w:t>至少包含</w:t>
            </w:r>
            <w:r>
              <w:rPr>
                <w:rFonts w:ascii="宋体" w:eastAsia="宋体" w:hAnsi="宋体" w:cs="宋体" w:hint="eastAsia"/>
                <w:kern w:val="2"/>
                <w:sz w:val="21"/>
                <w:szCs w:val="21"/>
                <w:lang w:eastAsia="zh-CN"/>
              </w:rPr>
              <w:t>：1~10000μV/mm，可根据屏幕脑电信号范围自动调整灵敏度</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事件相关电位软件要求</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(1) 软件预设声音刺激范式P300、 MMN，以及P50、CNV，GoNoGo 刺激软件</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(2) 支持用户自定义刺激声音类型，出现概率、分析区间、刺激频率，刺激个数</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 刺激和分析系统在同一个软件中，软件将刺激范式（媒体文件）与采集程序同步加载到软件中再进行触发，避免延时</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 脑电ERP分析系统：可进行基于声音-闪光刺激的P300、MMN，以及P50、CNV，GoNoGo成分分析，以及高级脑电ERP分析</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 具备同步触发刺激时，实时采集、储存、回放脑电图的原始波和叠加脑电波变化功能；同屏显示：左侧显示原始EEG，右侧实时显示ERP叠加结果</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 ERP结果呈现模式：以列表形式，实时显示波幅图，以图、表形式展示分析结果；以蒙太奇形式，显示不同导联中的ERP分析结果，和ERP图表结果</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 ERP分析结果展示窗口工具：颜色设置，轨迹重叠，灵敏度和扫描速度设置</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w:t>
            </w:r>
            <w:r>
              <w:rPr>
                <w:rFonts w:ascii="宋体" w:eastAsia="宋体" w:hAnsi="宋体" w:cs="宋体" w:hint="eastAsia"/>
                <w:kern w:val="2"/>
                <w:sz w:val="21"/>
                <w:szCs w:val="21"/>
                <w:lang w:eastAsia="zh-CN"/>
              </w:rPr>
              <w:t>视频系统要求</w:t>
            </w:r>
            <w:r>
              <w:rPr>
                <w:rFonts w:ascii="宋体" w:eastAsia="宋体" w:hAnsi="宋体" w:cs="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 xml:space="preserve">软件支持 </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 路视频监测</w:t>
            </w:r>
            <w:r>
              <w:rPr>
                <w:rFonts w:ascii="宋体" w:eastAsia="宋体" w:hAnsi="宋体" w:cs="宋体" w:hint="eastAsia"/>
                <w:kern w:val="2"/>
                <w:sz w:val="21"/>
                <w:szCs w:val="21"/>
                <w:lang w:eastAsia="zh-CN"/>
              </w:rPr>
              <w:t>，视频分辨率≥1920×1080</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软件内置控制面板，并可</w:t>
            </w:r>
            <w:r>
              <w:rPr>
                <w:rFonts w:ascii="宋体" w:eastAsia="宋体" w:hAnsi="宋体" w:cs="宋体" w:hint="eastAsia"/>
                <w:kern w:val="2"/>
                <w:sz w:val="21"/>
                <w:szCs w:val="21"/>
                <w:lang w:eastAsia="zh-CN"/>
              </w:rPr>
              <w:t>适配</w:t>
            </w:r>
            <w:r>
              <w:rPr>
                <w:rFonts w:ascii="宋体" w:eastAsia="宋体" w:hAnsi="宋体" w:cs="宋体" w:hint="eastAsia"/>
                <w:kern w:val="2"/>
                <w:sz w:val="21"/>
                <w:szCs w:val="21"/>
                <w:lang w:eastAsia="zh-CN"/>
              </w:rPr>
              <w:t>IE浏览器进行</w:t>
            </w:r>
            <w:r>
              <w:rPr>
                <w:rFonts w:ascii="宋体" w:eastAsia="宋体" w:hAnsi="宋体" w:cs="宋体" w:hint="eastAsia"/>
                <w:kern w:val="2"/>
                <w:sz w:val="21"/>
                <w:szCs w:val="21"/>
                <w:lang w:eastAsia="zh-CN"/>
              </w:rPr>
              <w:t>监控</w:t>
            </w:r>
            <w:r>
              <w:rPr>
                <w:rFonts w:ascii="宋体" w:eastAsia="宋体" w:hAnsi="宋体" w:cs="宋体" w:hint="eastAsia"/>
                <w:kern w:val="2"/>
                <w:sz w:val="21"/>
                <w:szCs w:val="21"/>
                <w:lang w:eastAsia="zh-CN"/>
              </w:rPr>
              <w:t>视频录制</w:t>
            </w:r>
            <w:r>
              <w:rPr>
                <w:rFonts w:ascii="宋体" w:eastAsia="宋体" w:hAnsi="宋体" w:cs="宋体" w:hint="eastAsia"/>
                <w:kern w:val="2"/>
                <w:sz w:val="21"/>
                <w:szCs w:val="21"/>
                <w:lang w:eastAsia="zh-CN"/>
              </w:rPr>
              <w:t>，调节视频的分辨率和帧率</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内置画面动态监测（可设置监测灵敏度），可通过文字</w:t>
            </w:r>
            <w:r>
              <w:rPr>
                <w:rFonts w:ascii="宋体" w:eastAsia="宋体" w:hAnsi="宋体" w:cs="宋体" w:hint="eastAsia"/>
                <w:kern w:val="2"/>
                <w:sz w:val="21"/>
                <w:szCs w:val="21"/>
                <w:lang w:eastAsia="zh-CN"/>
              </w:rPr>
              <w:t>或者</w:t>
            </w:r>
            <w:r>
              <w:rPr>
                <w:rFonts w:ascii="宋体" w:eastAsia="宋体" w:hAnsi="宋体" w:cs="宋体" w:hint="eastAsia"/>
                <w:kern w:val="2"/>
                <w:sz w:val="21"/>
                <w:szCs w:val="21"/>
                <w:lang w:eastAsia="zh-CN"/>
              </w:rPr>
              <w:t>声音进行报警</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3094" w:type="pc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kern w:val="2"/>
                <w:sz w:val="21"/>
                <w:szCs w:val="21"/>
                <w:lang w:eastAsia="zh-CN"/>
              </w:rPr>
              <w:t>支持在视频界面对摄像头进行调整</w:t>
            </w:r>
          </w:p>
        </w:tc>
        <w:tc>
          <w:tcPr>
            <w:tcW w:w="406" w:type="pct"/>
          </w:tcPr>
          <w:p>
            <w:pPr>
              <w:widowControl w:val="0"/>
              <w:jc w:val="both"/>
              <w:rPr>
                <w:rFonts w:ascii="宋体" w:eastAsia="宋体" w:hAnsi="宋体" w:cs="宋体" w:hint="eastAsia"/>
                <w:kern w:val="2"/>
                <w:sz w:val="21"/>
                <w:szCs w:val="21"/>
                <w:lang w:eastAsia="zh-CN"/>
              </w:rPr>
            </w:pPr>
          </w:p>
        </w:tc>
        <w:tc>
          <w:tcPr>
            <w:tcW w:w="425" w:type="pct"/>
          </w:tcPr>
          <w:p>
            <w:pPr>
              <w:widowControl w:val="0"/>
              <w:jc w:val="both"/>
              <w:rPr>
                <w:rFonts w:ascii="宋体" w:eastAsia="宋体" w:hAnsi="宋体" w:cs="宋体" w:hint="eastAsia"/>
                <w:kern w:val="2"/>
                <w:sz w:val="21"/>
                <w:szCs w:val="21"/>
                <w:lang w:eastAsia="zh-CN"/>
              </w:rPr>
            </w:pPr>
          </w:p>
        </w:tc>
        <w:tc>
          <w:tcPr>
            <w:tcW w:w="450"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72" w:type="pct"/>
            <w:vMerge/>
          </w:tcPr>
          <w:p>
            <w:pPr>
              <w:widowControl w:val="0"/>
              <w:jc w:val="both"/>
              <w:rPr>
                <w:rFonts w:ascii="宋体" w:eastAsia="宋体" w:hAnsi="宋体" w:cs="宋体" w:hint="eastAsia"/>
                <w:color w:val="000000"/>
                <w:kern w:val="2"/>
                <w:sz w:val="21"/>
                <w:szCs w:val="21"/>
                <w:lang w:eastAsia="zh-CN"/>
              </w:rPr>
            </w:pPr>
          </w:p>
        </w:tc>
        <w:tc>
          <w:tcPr>
            <w:tcW w:w="4376"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83"/>
              <w:gridCol w:w="4031"/>
              <w:gridCol w:w="1371"/>
              <w:gridCol w:w="1059"/>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1"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1" w:type="pct"/>
                  <w:vAlign w:val="top"/>
                </w:tcPr>
                <w:p>
                  <w:pPr>
                    <w:widowControl w:val="0"/>
                    <w:tabs>
                      <w:tab w:val="left" w:pos="420"/>
                    </w:tabs>
                    <w:jc w:val="both"/>
                    <w:rPr>
                      <w:rFonts w:ascii="宋体" w:hAnsi="宋体" w:cs="宋体" w:hint="eastAsia"/>
                      <w:spacing w:val="-13"/>
                      <w:sz w:val="21"/>
                      <w:szCs w:val="21"/>
                      <w:lang w:eastAsia="zh-CN"/>
                    </w:rPr>
                  </w:pPr>
                  <w:r>
                    <w:rPr>
                      <w:rFonts w:ascii="宋体" w:hAnsi="宋体" w:cs="宋体" w:hint="eastAsia"/>
                      <w:kern w:val="2"/>
                      <w:sz w:val="21"/>
                      <w:szCs w:val="21"/>
                      <w:lang w:eastAsia="zh-CN"/>
                    </w:rPr>
                    <w:t>信</w:t>
                  </w:r>
                  <w:r>
                    <w:rPr>
                      <w:rFonts w:ascii="宋体" w:hAnsi="宋体" w:cs="宋体" w:hint="eastAsia"/>
                      <w:kern w:val="2"/>
                      <w:sz w:val="21"/>
                      <w:szCs w:val="21"/>
                      <w:lang w:eastAsia="zh-CN"/>
                    </w:rPr>
                    <w:t>号放大器</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台</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盘状电极</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根</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27</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导电膏、磨砂膏、医用胶带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各1个</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脑电帽</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台车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脑电采集与分析系统</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2781" w:type="pct"/>
                  <w:vAlign w:val="top"/>
                </w:tcPr>
                <w:p>
                  <w:pPr>
                    <w:widowControl w:val="0"/>
                    <w:tabs>
                      <w:tab w:val="left" w:pos="420"/>
                    </w:tabs>
                    <w:jc w:val="both"/>
                    <w:rPr>
                      <w:rFonts w:ascii="宋体" w:hAnsi="宋体" w:cs="宋体" w:hint="eastAsia"/>
                      <w:spacing w:val="-1"/>
                      <w:kern w:val="2"/>
                      <w:sz w:val="21"/>
                      <w:szCs w:val="21"/>
                      <w:lang w:eastAsia="zh-CN"/>
                    </w:rPr>
                  </w:pPr>
                  <w:r>
                    <w:rPr>
                      <w:rFonts w:ascii="宋体" w:hAnsi="宋体" w:cs="宋体" w:hint="eastAsia"/>
                      <w:kern w:val="2"/>
                      <w:sz w:val="21"/>
                      <w:szCs w:val="21"/>
                      <w:lang w:eastAsia="zh-CN"/>
                    </w:rPr>
                    <w:t>事件相关电位软件</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套</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9.</w:t>
                  </w:r>
                </w:p>
              </w:tc>
              <w:tc>
                <w:tcPr>
                  <w:tcW w:w="2781"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TDH-39刺激耳机</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10.</w:t>
                  </w:r>
                </w:p>
              </w:tc>
              <w:tc>
                <w:tcPr>
                  <w:tcW w:w="2781"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眼罩刺激器</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11.</w:t>
                  </w:r>
                </w:p>
              </w:tc>
              <w:tc>
                <w:tcPr>
                  <w:tcW w:w="2781"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音频转接器与USB线缆</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12.</w:t>
                  </w:r>
                </w:p>
              </w:tc>
              <w:tc>
                <w:tcPr>
                  <w:tcW w:w="2781" w:type="pct"/>
                  <w:vAlign w:val="top"/>
                </w:tcPr>
                <w:p>
                  <w:pPr>
                    <w:widowControl w:val="0"/>
                    <w:tabs>
                      <w:tab w:val="left" w:pos="420"/>
                    </w:tabs>
                    <w:jc w:val="both"/>
                    <w:rPr>
                      <w:rFonts w:ascii="宋体" w:hAnsi="宋体" w:cs="宋体" w:hint="eastAsia"/>
                      <w:kern w:val="2"/>
                      <w:sz w:val="21"/>
                      <w:szCs w:val="21"/>
                      <w:lang w:eastAsia="zh-Hans"/>
                    </w:rPr>
                  </w:pPr>
                  <w:r>
                    <w:rPr>
                      <w:rFonts w:ascii="宋体" w:hAnsi="宋体" w:cs="宋体" w:hint="eastAsia"/>
                      <w:kern w:val="2"/>
                      <w:sz w:val="21"/>
                      <w:szCs w:val="21"/>
                      <w:lang w:eastAsia="zh-CN"/>
                    </w:rPr>
                    <w:t>患者按钮</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kern w:val="2"/>
                      <w:sz w:val="21"/>
                      <w:szCs w:val="21"/>
                      <w:lang w:eastAsia="zh-CN"/>
                    </w:rPr>
                    <w:t>个</w:t>
                  </w:r>
                </w:p>
              </w:tc>
              <w:tc>
                <w:tcPr>
                  <w:tcW w:w="731" w:type="pct"/>
                  <w:shd w:val="clear" w:color="auto" w:fill="auto"/>
                  <w:vAlign w:val="top"/>
                </w:tcPr>
                <w:p>
                  <w:pPr>
                    <w:widowControl w:val="0"/>
                    <w:tabs>
                      <w:tab w:val="left" w:pos="420"/>
                    </w:tabs>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1" w:name="_Hlk72095977"/>
      <w:r>
        <w:rPr>
          <w:rFonts w:eastAsia="宋体" w:hint="eastAsia"/>
          <w:kern w:val="2"/>
          <w:sz w:val="21"/>
          <w:szCs w:val="21"/>
          <w:lang w:eastAsia="zh-CN"/>
        </w:rPr>
        <w:t>证明资料【如有的话，提供的证明资料应统一编号（排序），格式自定】</w:t>
      </w:r>
      <w:bookmarkEnd w:id="71"/>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2" w:name="_Hlk72094407"/>
      <w:r>
        <w:rPr>
          <w:rFonts w:eastAsia="宋体" w:hint="eastAsia"/>
          <w:bCs/>
          <w:kern w:val="2"/>
          <w:sz w:val="21"/>
          <w:szCs w:val="21"/>
          <w:lang w:eastAsia="zh-CN"/>
        </w:rPr>
        <w:t>对应“用户需求书”中的“技术要求”章节</w:t>
      </w:r>
      <w:bookmarkEnd w:id="72"/>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3" w:name="_Hlk72158270"/>
      <w:r>
        <w:rPr>
          <w:rFonts w:eastAsia="宋体" w:hint="eastAsia"/>
          <w:bCs/>
          <w:kern w:val="2"/>
          <w:sz w:val="21"/>
          <w:szCs w:val="21"/>
          <w:lang w:eastAsia="zh-CN"/>
        </w:rPr>
        <w:t>“偏离情况”</w:t>
      </w:r>
      <w:bookmarkEnd w:id="73"/>
      <w:r>
        <w:rPr>
          <w:rFonts w:eastAsia="宋体" w:hint="eastAsia"/>
          <w:bCs/>
          <w:kern w:val="2"/>
          <w:sz w:val="21"/>
          <w:szCs w:val="21"/>
          <w:lang w:eastAsia="zh-CN"/>
        </w:rPr>
        <w:t>一栏填写如实填写“正偏离”、“负偏离”或“无偏离”，其中：</w:t>
      </w:r>
      <w:bookmarkStart w:id="74"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4"/>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5" w:name="_Hlk72096106"/>
      <w:r>
        <w:rPr>
          <w:rFonts w:eastAsia="宋体" w:hint="eastAsia"/>
          <w:bCs/>
          <w:kern w:val="2"/>
          <w:sz w:val="21"/>
          <w:szCs w:val="21"/>
          <w:lang w:eastAsia="zh-CN"/>
        </w:rPr>
        <w:t>证明资料条款响应要求</w:t>
      </w:r>
      <w:bookmarkEnd w:id="75"/>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6"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7" w:name="_Hlk73558164"/>
      <w:r>
        <w:rPr>
          <w:rFonts w:eastAsia="宋体" w:hint="eastAsia"/>
          <w:bCs/>
          <w:kern w:val="2"/>
          <w:sz w:val="21"/>
          <w:szCs w:val="21"/>
          <w:lang w:eastAsia="zh-CN"/>
        </w:rPr>
        <w:t>且投标人在“偏离情况”一栏响应为“正偏离”或“无偏离”的，经评审委员会认定，将判定为负偏离。</w:t>
      </w:r>
      <w:bookmarkEnd w:id="76"/>
      <w:bookmarkEnd w:id="77"/>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8" w:name="_Hlk72096137"/>
      <w:r>
        <w:rPr>
          <w:rFonts w:eastAsia="宋体" w:hint="eastAsia"/>
          <w:bCs/>
          <w:kern w:val="2"/>
          <w:sz w:val="21"/>
          <w:szCs w:val="21"/>
          <w:lang w:eastAsia="zh-CN"/>
        </w:rPr>
        <w:t>表后“证明资料”部分内容的编制</w:t>
      </w:r>
      <w:bookmarkEnd w:id="78"/>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79"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79"/>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0" w:name="_Hlk72096176"/>
      <w:r>
        <w:rPr>
          <w:rFonts w:eastAsia="宋体" w:hint="eastAsia"/>
          <w:bCs/>
          <w:kern w:val="2"/>
          <w:sz w:val="21"/>
          <w:szCs w:val="21"/>
          <w:lang w:eastAsia="zh-CN"/>
        </w:rPr>
        <w:t>证明资料的形式及其它具体要求</w:t>
      </w:r>
      <w:bookmarkEnd w:id="80"/>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1"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1"/>
    </w:p>
    <w:p>
      <w:pPr>
        <w:widowControl w:val="0"/>
        <w:jc w:val="both"/>
        <w:rPr>
          <w:rFonts w:eastAsia="宋体"/>
          <w:kern w:val="2"/>
          <w:lang w:eastAsia="zh-CN"/>
        </w:rPr>
      </w:pPr>
    </w:p>
    <w:p>
      <w:pPr>
        <w:widowControl w:val="0"/>
        <w:numPr>
          <w:ilvl w:val="0"/>
          <w:numId w:val="0"/>
        </w:numPr>
        <w:ind w:left="0" w:firstLine="0"/>
        <w:jc w:val="center"/>
        <w:rPr>
          <w:rFonts w:ascii="黑体" w:eastAsia="黑体" w:hint="eastAsia"/>
          <w:kern w:val="2"/>
          <w:szCs w:val="20"/>
          <w:lang w:eastAsia="zh-CN"/>
        </w:rPr>
      </w:pPr>
      <w:bookmarkStart w:id="82" w:name="_Hlk72260576"/>
      <w:r>
        <w:rPr>
          <w:rFonts w:ascii="黑体" w:eastAsia="黑体" w:hint="eastAsia"/>
          <w:kern w:val="2"/>
          <w:szCs w:val="20"/>
          <w:lang w:eastAsia="zh-CN"/>
        </w:rPr>
        <w:t>十、项目服务方案</w:t>
      </w: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、技术保障措施</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w:t>
      </w:r>
      <w:r>
        <w:rPr>
          <w:rFonts w:ascii="黑体" w:eastAsia="黑体" w:hint="eastAsia"/>
          <w:kern w:val="2"/>
          <w:szCs w:val="20"/>
          <w:lang w:eastAsia="zh-CN"/>
        </w:rPr>
        <w:t>同类业绩</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3" w:name="_Hlk72062872"/>
      <w:r>
        <w:rPr>
          <w:rFonts w:ascii="黑体" w:eastAsia="黑体" w:hAnsi="宋体" w:hint="eastAsia"/>
          <w:kern w:val="2"/>
          <w:szCs w:val="20"/>
          <w:lang w:eastAsia="zh-CN"/>
        </w:rPr>
        <w:t>投标人认为需要加以说明的其他内容</w:t>
      </w:r>
      <w:bookmarkEnd w:id="83"/>
    </w:p>
    <w:bookmarkEnd w:id="82"/>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4"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4"/>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5"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5"/>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6" w:name="_Toc27624"/>
      <w:r>
        <w:rPr>
          <w:rFonts w:ascii="黑体" w:eastAsia="黑体" w:hAnsi="黑体" w:hint="eastAsia"/>
          <w:kern w:val="2"/>
          <w:sz w:val="28"/>
          <w:szCs w:val="28"/>
          <w:lang w:eastAsia="zh-CN"/>
        </w:rPr>
        <w:t>第二节 政府采购合同通用条款</w:t>
      </w:r>
      <w:bookmarkEnd w:id="86"/>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7"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7"/>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8"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8"/>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89" w:name="_Hlk72399513"/>
      <w:r>
        <w:rPr>
          <w:rFonts w:ascii="宋体" w:eastAsia="宋体" w:hAnsi="宋体" w:hint="eastAsia"/>
          <w:b/>
          <w:bCs/>
          <w:sz w:val="28"/>
          <w:szCs w:val="28"/>
          <w:lang w:eastAsia="zh-CN"/>
        </w:rPr>
        <w:t>总则</w:t>
      </w:r>
    </w:p>
    <w:bookmarkEnd w:id="89"/>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0" w:name="_Hlk72399729"/>
      <w:r>
        <w:rPr>
          <w:rFonts w:ascii="宋体" w:eastAsia="宋体" w:hAnsi="宋体" w:hint="eastAsia"/>
          <w:kern w:val="2"/>
          <w:sz w:val="21"/>
          <w:szCs w:val="21"/>
          <w:lang w:eastAsia="zh-CN"/>
        </w:rPr>
        <w:t>如有需要，政府集中采购机构可以对通用条款的内容进行补充。</w:t>
      </w:r>
      <w:bookmarkEnd w:id="9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1"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2"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2"/>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1"/>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3"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3"/>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4"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4"/>
    <w:p>
      <w:pPr>
        <w:widowControl w:val="0"/>
        <w:jc w:val="both"/>
        <w:rPr>
          <w:rFonts w:ascii="黑体" w:eastAsia="黑体" w:hAnsi="宋体"/>
          <w:kern w:val="2"/>
          <w:lang w:eastAsia="zh-CN"/>
        </w:rPr>
      </w:pPr>
      <w:r>
        <w:rPr>
          <w:rFonts w:ascii="黑体" w:eastAsia="黑体" w:hAnsi="宋体" w:hint="eastAsia"/>
          <w:kern w:val="2"/>
          <w:lang w:eastAsia="zh-CN"/>
        </w:rPr>
        <w:t>15．</w:t>
      </w:r>
      <w:bookmarkStart w:id="95"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5"/>
    <w:p>
      <w:pPr>
        <w:widowControl w:val="0"/>
        <w:jc w:val="both"/>
        <w:rPr>
          <w:rFonts w:ascii="黑体" w:eastAsia="黑体" w:hAnsi="宋体"/>
          <w:kern w:val="2"/>
          <w:lang w:eastAsia="zh-CN"/>
        </w:rPr>
      </w:pPr>
      <w:r>
        <w:rPr>
          <w:rFonts w:ascii="黑体" w:eastAsia="黑体" w:hAnsi="宋体" w:hint="eastAsia"/>
          <w:kern w:val="2"/>
          <w:lang w:eastAsia="zh-CN"/>
        </w:rPr>
        <w:t>18．</w:t>
      </w:r>
      <w:bookmarkStart w:id="96"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6"/>
    <w:p>
      <w:pPr>
        <w:widowControl w:val="0"/>
        <w:jc w:val="both"/>
        <w:rPr>
          <w:rFonts w:ascii="黑体" w:eastAsia="黑体" w:hAnsi="宋体"/>
          <w:kern w:val="2"/>
          <w:lang w:eastAsia="zh-CN"/>
        </w:rPr>
      </w:pPr>
      <w:r>
        <w:rPr>
          <w:rFonts w:ascii="黑体" w:eastAsia="黑体" w:hAnsi="宋体" w:hint="eastAsia"/>
          <w:kern w:val="2"/>
          <w:lang w:eastAsia="zh-CN"/>
        </w:rPr>
        <w:t>19．</w:t>
      </w:r>
      <w:bookmarkStart w:id="97"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8"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8"/>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7"/>
    <w:p>
      <w:pPr>
        <w:widowControl w:val="0"/>
        <w:ind w:firstLine="412" w:firstLineChars="196"/>
        <w:jc w:val="both"/>
        <w:rPr>
          <w:rFonts w:ascii="宋体" w:eastAsia="宋体" w:hAnsi="宋体"/>
          <w:kern w:val="2"/>
          <w:sz w:val="21"/>
          <w:szCs w:val="21"/>
          <w:lang w:eastAsia="zh-CN"/>
        </w:rPr>
      </w:pPr>
      <w:bookmarkStart w:id="99"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99"/>
    <w:p>
      <w:pPr>
        <w:widowControl w:val="0"/>
        <w:jc w:val="both"/>
        <w:rPr>
          <w:rFonts w:ascii="黑体" w:eastAsia="黑体" w:hAnsi="宋体"/>
          <w:kern w:val="2"/>
          <w:lang w:eastAsia="zh-CN"/>
        </w:rPr>
      </w:pPr>
      <w:r>
        <w:rPr>
          <w:rFonts w:ascii="黑体" w:eastAsia="黑体" w:hAnsi="宋体" w:hint="eastAsia"/>
          <w:kern w:val="2"/>
          <w:lang w:eastAsia="zh-CN"/>
        </w:rPr>
        <w:t>21．</w:t>
      </w:r>
      <w:bookmarkStart w:id="100"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0"/>
    <w:p>
      <w:pPr>
        <w:widowControl w:val="0"/>
        <w:jc w:val="both"/>
        <w:rPr>
          <w:rFonts w:ascii="黑体" w:eastAsia="黑体" w:hAnsi="宋体"/>
          <w:kern w:val="2"/>
          <w:lang w:eastAsia="zh-CN"/>
        </w:rPr>
      </w:pPr>
      <w:r>
        <w:rPr>
          <w:rFonts w:ascii="黑体" w:eastAsia="黑体" w:hAnsi="宋体" w:hint="eastAsia"/>
          <w:kern w:val="2"/>
          <w:lang w:eastAsia="zh-CN"/>
        </w:rPr>
        <w:t>23．</w:t>
      </w:r>
      <w:bookmarkStart w:id="101"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1"/>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2"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2"/>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3"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3"/>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4" w:name="_Hlk72436580"/>
      <w:r>
        <w:rPr>
          <w:rFonts w:ascii="宋体" w:eastAsia="宋体" w:hAnsi="宋体" w:hint="eastAsia"/>
          <w:kern w:val="2"/>
          <w:sz w:val="21"/>
          <w:lang w:eastAsia="zh-CN"/>
        </w:rPr>
        <w:t>评审委员会由采购人代表和评审专家组成。</w:t>
      </w:r>
      <w:bookmarkEnd w:id="104"/>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5"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5"/>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6" w:name="_Toc100052400"/>
      <w:bookmarkStart w:id="107" w:name="_Toc73521581"/>
      <w:bookmarkStart w:id="108" w:name="_Toc73518151"/>
      <w:bookmarkStart w:id="109" w:name="_Toc73517673"/>
      <w:bookmarkStart w:id="110" w:name="_Toc73521669"/>
      <w:r>
        <w:rPr>
          <w:rFonts w:ascii="黑体" w:eastAsia="黑体" w:hAnsi="宋体" w:hint="eastAsia"/>
          <w:kern w:val="2"/>
          <w:lang w:eastAsia="zh-CN"/>
        </w:rPr>
        <w:t>34．错误的修正</w:t>
      </w:r>
      <w:bookmarkEnd w:id="106"/>
      <w:bookmarkEnd w:id="107"/>
      <w:bookmarkEnd w:id="108"/>
      <w:bookmarkEnd w:id="109"/>
      <w:bookmarkEnd w:id="110"/>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1"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1"/>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2"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3"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3"/>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4"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5"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4"/>
      <w:bookmarkEnd w:id="115"/>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2"/>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6"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6"/>
      <w:bookmarkStart w:id="117"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7"/>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8"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8"/>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19"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19"/>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0" w:name="_Hlk72439043"/>
      <w:r>
        <w:rPr>
          <w:rFonts w:ascii="宋体" w:eastAsia="宋体" w:hAnsi="宋体" w:hint="eastAsia"/>
          <w:b/>
          <w:bCs/>
          <w:sz w:val="28"/>
          <w:szCs w:val="28"/>
          <w:lang w:eastAsia="zh-CN"/>
        </w:rPr>
        <w:t>合同的授予与备案</w:t>
      </w:r>
      <w:bookmarkEnd w:id="120"/>
    </w:p>
    <w:p>
      <w:pPr>
        <w:widowControl w:val="0"/>
        <w:jc w:val="both"/>
        <w:rPr>
          <w:rFonts w:ascii="黑体" w:eastAsia="黑体" w:hAnsi="宋体"/>
          <w:kern w:val="2"/>
          <w:lang w:eastAsia="zh-CN"/>
        </w:rPr>
      </w:pPr>
      <w:bookmarkStart w:id="121" w:name="_Toc100052408"/>
      <w:bookmarkStart w:id="122" w:name="_Toc73517679"/>
      <w:bookmarkStart w:id="123" w:name="_Toc73521586"/>
      <w:bookmarkStart w:id="124" w:name="_Toc73518157"/>
      <w:bookmarkStart w:id="125" w:name="_Toc73521674"/>
      <w:bookmarkStart w:id="126" w:name="_Hlk72439088"/>
      <w:r>
        <w:rPr>
          <w:rFonts w:ascii="黑体" w:eastAsia="黑体" w:hAnsi="宋体" w:hint="eastAsia"/>
          <w:kern w:val="2"/>
          <w:lang w:eastAsia="zh-CN"/>
        </w:rPr>
        <w:t>43．合同授予标准</w:t>
      </w:r>
      <w:bookmarkEnd w:id="121"/>
      <w:bookmarkEnd w:id="122"/>
      <w:bookmarkEnd w:id="123"/>
      <w:bookmarkEnd w:id="124"/>
      <w:bookmarkEnd w:id="125"/>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7" w:name="_Toc73518158"/>
      <w:bookmarkStart w:id="128" w:name="_Toc73521675"/>
      <w:bookmarkStart w:id="129" w:name="_Toc73521587"/>
      <w:bookmarkStart w:id="130" w:name="_Toc73517680"/>
      <w:bookmarkStart w:id="131" w:name="_Toc100052409"/>
      <w:r>
        <w:rPr>
          <w:rFonts w:ascii="黑体" w:eastAsia="黑体" w:hAnsi="宋体" w:hint="eastAsia"/>
          <w:kern w:val="2"/>
          <w:lang w:eastAsia="zh-CN"/>
        </w:rPr>
        <w:t>44．</w:t>
      </w:r>
      <w:bookmarkEnd w:id="127"/>
      <w:bookmarkEnd w:id="128"/>
      <w:bookmarkEnd w:id="129"/>
      <w:bookmarkEnd w:id="130"/>
      <w:bookmarkEnd w:id="131"/>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2" w:name="_Toc100052410"/>
      <w:bookmarkStart w:id="133" w:name="_Toc73518160"/>
      <w:bookmarkStart w:id="134" w:name="_Toc73517682"/>
      <w:bookmarkStart w:id="135" w:name="_Toc73521589"/>
      <w:bookmarkStart w:id="136" w:name="_Toc73521677"/>
      <w:r>
        <w:rPr>
          <w:rFonts w:ascii="黑体" w:eastAsia="黑体" w:hAnsi="宋体" w:hint="eastAsia"/>
          <w:kern w:val="2"/>
          <w:lang w:eastAsia="zh-CN"/>
        </w:rPr>
        <w:t>45．合同的签订</w:t>
      </w:r>
      <w:bookmarkEnd w:id="132"/>
      <w:bookmarkEnd w:id="133"/>
      <w:bookmarkEnd w:id="134"/>
      <w:bookmarkEnd w:id="135"/>
      <w:bookmarkEnd w:id="13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7" w:name="_Toc73521590"/>
      <w:bookmarkStart w:id="138" w:name="_Toc73521678"/>
      <w:bookmarkStart w:id="139" w:name="_Toc73517683"/>
      <w:bookmarkStart w:id="140" w:name="_Toc73518161"/>
      <w:bookmarkStart w:id="141" w:name="_Toc100052411"/>
      <w:r>
        <w:rPr>
          <w:rFonts w:ascii="黑体" w:eastAsia="黑体" w:hAnsi="宋体" w:hint="eastAsia"/>
          <w:kern w:val="2"/>
          <w:lang w:eastAsia="zh-CN"/>
        </w:rPr>
        <w:t>46．履约担保</w:t>
      </w:r>
      <w:bookmarkEnd w:id="137"/>
      <w:bookmarkEnd w:id="138"/>
      <w:bookmarkEnd w:id="139"/>
      <w:bookmarkEnd w:id="140"/>
      <w:bookmarkEnd w:id="14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2"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2"/>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6"/>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3" w:name="_Hlk75374941"/>
      <w:r>
        <w:rPr>
          <w:rFonts w:ascii="宋体" w:eastAsia="宋体" w:hAnsi="宋体" w:hint="eastAsia"/>
          <w:kern w:val="2"/>
          <w:sz w:val="21"/>
          <w:szCs w:val="21"/>
          <w:lang w:eastAsia="zh-CN"/>
        </w:rPr>
        <w:t>以联合体形式参与的，质疑应当由组成联合体的所有成员共同提出</w:t>
      </w:r>
      <w:bookmarkEnd w:id="143"/>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康复评定科设备采购项目-A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DPZXCG-2025-00030-001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康复评定科设备采购项目-A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1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①供货进度安排；②安装调试方案；③质量控制措施； ④安全保障措施（包括但不限于交货安全、设备安全、信息化安全等）；⑤技术团队情况（包括但不限于交货人员、验收人员、维修保养人员、培训人员等）；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自2019年1月1日至本项目投标截止日前（以合同签订日期为准），投标人承担医疗设备康复设备类销售业绩，每提供1份同类项目业绩得20分，本项累计最高得100分。 （二）评分依据： 1.提供销售合同关键页【包括但不限于合同（项目）名称、采购货物内容、签订日期、合同双方签字盖章页】扫描件，原件备查； 2.以上证明材料原件备查，未提供证明材料或者提供的证明材料不符合要求或评审专家无法凭所提供资料判断是否得分的，一律做不得分处理。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Normal"/>
    <w:link w:val="Char1"/>
    <w:qFormat/>
    <w:pPr>
      <w:widowControl w:val="0"/>
      <w:spacing w:line="360" w:lineRule="auto"/>
      <w:jc w:val="both"/>
    </w:pPr>
    <w:rPr>
      <w:rFonts w:eastAsia="宋体"/>
      <w:b/>
      <w:bCs/>
      <w:kern w:val="2"/>
      <w:lang w:eastAsia="zh-CN"/>
    </w:rPr>
  </w:style>
  <w:style w:type="character" w:customStyle="1" w:styleId="Char1">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2"/>
    <w:qFormat/>
    <w:pPr>
      <w:widowControl w:val="0"/>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