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ind w:firstLine="2730" w:firstLineChars="1300"/>
        <w:outlineLvl w:val="1"/>
        <w:rPr>
          <w:rFonts w:ascii="宋体" w:hAnsi="宋体"/>
          <w:color w:val="FF0000"/>
          <w:szCs w:val="21"/>
        </w:rPr>
      </w:pPr>
      <w:bookmarkStart w:id="0" w:name="_Hlk71456902"/>
      <w:r>
        <w:rPr>
          <w:rFonts w:ascii="宋体" w:eastAsia="黑体" w:hAnsi="宋体" w:hint="eastAsia"/>
          <w:b/>
          <w:bCs/>
          <w:color w:val="FF0000"/>
          <w:kern w:val="44"/>
          <w:sz w:val="28"/>
          <w:szCs w:val="44"/>
          <w:lang w:val="en-US" w:eastAsia="zh-CN"/>
        </w:rPr>
        <w:t>特别</w:t>
      </w:r>
      <w:r>
        <w:rPr>
          <w:rFonts w:ascii="宋体" w:eastAsia="黑体" w:hAnsi="宋体" w:hint="eastAsia"/>
          <w:b/>
          <w:bCs/>
          <w:color w:val="FF0000"/>
          <w:kern w:val="44"/>
          <w:sz w:val="28"/>
          <w:szCs w:val="44"/>
        </w:rPr>
        <w:t>警示条款</w:t>
      </w:r>
    </w:p>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after="240" w:afterLines="100" w:line="400" w:lineRule="exact"/>
        <w:ind w:firstLine="420" w:firstLineChars="200"/>
        <w:jc w:val="both"/>
        <w:textAlignment w:val="auto"/>
        <w:rPr>
          <w:rFonts w:ascii="宋体" w:eastAsia="宋体" w:hAnsi="宋体" w:cs="宋体" w:hint="eastAsia"/>
          <w:b/>
          <w:bCs/>
          <w:color w:val="FF0000"/>
          <w:sz w:val="21"/>
          <w:szCs w:val="21"/>
          <w:highlight w:val="yellow"/>
          <w:lang w:val="en-US" w:eastAsia="zh-CN"/>
        </w:rPr>
      </w:pPr>
      <w:r>
        <w:rPr>
          <w:rFonts w:ascii="宋体" w:eastAsia="宋体" w:hAnsi="宋体" w:cs="宋体" w:hint="eastAsia"/>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b/>
                <w:bCs/>
                <w:color w:val="FF0000"/>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1"/>
                <w:szCs w:val="21"/>
                <w:highlight w:val="none"/>
                <w:lang w:val="en-US" w:eastAsia="zh-CN"/>
              </w:rPr>
              <w:t>同一人、属同一单位或者在同一单位缴纳社会保险</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参与本项目政府采购活动时，与其他投标供应商存在单位负责人为</w:t>
            </w:r>
            <w:r>
              <w:rPr>
                <w:rFonts w:ascii="宋体" w:eastAsia="宋体" w:hAnsi="宋体" w:cs="宋体" w:hint="eastAsia"/>
                <w:b/>
                <w:bCs/>
                <w:color w:val="FF0000"/>
                <w:sz w:val="21"/>
                <w:szCs w:val="21"/>
                <w:highlight w:val="none"/>
                <w:lang w:val="en-US" w:eastAsia="zh-CN"/>
              </w:rPr>
              <w:t>同一人或直接控股、管理关系</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与其他投标供应商的投标文件或部分投标文件</w:t>
            </w:r>
            <w:r>
              <w:rPr>
                <w:rFonts w:ascii="宋体" w:eastAsia="宋体" w:hAnsi="宋体" w:cs="宋体" w:hint="eastAsia"/>
                <w:b/>
                <w:bCs/>
                <w:color w:val="FF0000"/>
                <w:sz w:val="21"/>
                <w:szCs w:val="21"/>
                <w:highlight w:val="none"/>
                <w:lang w:val="en-US" w:eastAsia="zh-CN"/>
              </w:rPr>
              <w:t>相互混装或存在非正常一致</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与其他投标供应商的投标文件由</w:t>
            </w:r>
            <w:r>
              <w:rPr>
                <w:rFonts w:ascii="宋体" w:eastAsia="宋体" w:hAnsi="宋体" w:cs="宋体" w:hint="eastAsia"/>
                <w:b/>
                <w:bCs/>
                <w:color w:val="FF0000"/>
                <w:sz w:val="21"/>
                <w:szCs w:val="21"/>
                <w:highlight w:val="none"/>
                <w:lang w:val="en-US" w:eastAsia="zh-CN"/>
              </w:rPr>
              <w:t>同一单位或者同一人编制</w:t>
            </w:r>
            <w:r>
              <w:rPr>
                <w:rFonts w:ascii="宋体" w:eastAsia="宋体" w:hAnsi="宋体" w:cs="宋体" w:hint="eastAsia"/>
                <w:color w:val="FF0000"/>
                <w:sz w:val="21"/>
                <w:szCs w:val="21"/>
                <w:highlight w:val="none"/>
                <w:lang w:val="en-US" w:eastAsia="zh-CN"/>
              </w:rPr>
              <w:t>，或者使用</w:t>
            </w:r>
            <w:r>
              <w:rPr>
                <w:rFonts w:ascii="宋体" w:eastAsia="宋体" w:hAnsi="宋体" w:cs="宋体" w:hint="eastAsia"/>
                <w:b/>
                <w:bCs/>
                <w:color w:val="FF0000"/>
                <w:sz w:val="21"/>
                <w:szCs w:val="21"/>
                <w:highlight w:val="none"/>
                <w:lang w:val="en-US" w:eastAsia="zh-CN"/>
              </w:rPr>
              <w:t>同一设备编制</w:t>
            </w:r>
            <w:r>
              <w:rPr>
                <w:rFonts w:ascii="宋体" w:eastAsia="宋体" w:hAnsi="宋体" w:cs="宋体" w:hint="eastAsia"/>
                <w:color w:val="FF0000"/>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提供</w:t>
            </w:r>
            <w:r>
              <w:rPr>
                <w:rFonts w:ascii="宋体" w:eastAsia="宋体" w:hAnsi="宋体" w:cs="宋体" w:hint="eastAsia"/>
                <w:b/>
                <w:bCs/>
                <w:color w:val="FF0000"/>
                <w:sz w:val="21"/>
                <w:szCs w:val="21"/>
                <w:highlight w:val="none"/>
                <w:lang w:val="en-US" w:eastAsia="zh-CN"/>
              </w:rPr>
              <w:t>未经出具机构核实</w:t>
            </w:r>
            <w:r>
              <w:rPr>
                <w:rFonts w:ascii="宋体" w:eastAsia="宋体" w:hAnsi="宋体" w:cs="宋体" w:hint="eastAsia"/>
                <w:color w:val="FF0000"/>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擅自将投标密钥</w:t>
            </w:r>
            <w:r>
              <w:rPr>
                <w:rFonts w:ascii="宋体" w:eastAsia="宋体" w:hAnsi="宋体" w:cs="宋体" w:hint="eastAsia"/>
                <w:color w:val="FF0000"/>
                <w:sz w:val="21"/>
                <w:szCs w:val="21"/>
                <w:highlight w:val="none"/>
                <w:lang w:eastAsia="zh-CN"/>
              </w:rPr>
              <w:t>或</w:t>
            </w:r>
            <w:r>
              <w:rPr>
                <w:rFonts w:ascii="宋体" w:eastAsia="宋体" w:hAnsi="宋体" w:cs="宋体" w:hint="eastAsia"/>
                <w:color w:val="FF0000"/>
                <w:sz w:val="21"/>
                <w:szCs w:val="21"/>
                <w:highlight w:val="none"/>
                <w:lang w:val="en-US" w:eastAsia="zh-CN"/>
              </w:rPr>
              <w:t>电子营业执照出借他人使用或未妥善保管。</w:t>
            </w:r>
          </w:p>
        </w:tc>
      </w:tr>
    </w:tbl>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hint="eastAsia"/>
          <w:color w:val="FF0000"/>
          <w:sz w:val="20"/>
          <w:szCs w:val="20"/>
        </w:rPr>
      </w:pP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（一）在采购活动中应当回避而未回避的；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（二）未按本条例规定签订、履行采购合同，造成严重后果的；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（三）隐瞒真实情况，提供虚假资料的；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（四）以非法手段排斥其他供应商参与竞争的；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（五）与其他采购参加人串通投标的；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（六）恶意投诉的；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（七）向采购项目相关人行贿或者提供其他不当利益的；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（八）阻碍、抗拒主管部门监督检查的；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（九）其他违反本条例规定的行为。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二、《深圳经济特区政府采购条例实施细则》第七十五条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w:t>
      </w:r>
      <w:r>
        <w:rPr>
          <w:rFonts w:ascii="宋体" w:hAnsi="宋体" w:hint="eastAsia"/>
          <w:color w:val="FF0000"/>
          <w:sz w:val="20"/>
          <w:szCs w:val="20"/>
          <w:lang w:val="en-US" w:eastAsia="zh-CN"/>
        </w:rPr>
        <w:t>之一</w:t>
      </w:r>
      <w:r>
        <w:rPr>
          <w:rFonts w:ascii="宋体" w:hAnsi="宋体" w:hint="eastAsia"/>
          <w:color w:val="FF0000"/>
          <w:sz w:val="20"/>
          <w:szCs w:val="20"/>
        </w:rPr>
        <w:t>的，属于采购条例所称的串通投标行为，按照采购条例第五十七条有关规定处理：（一）投标供应商之间相互约定给予未中标的供应商利益补偿</w:t>
      </w:r>
      <w:r>
        <w:rPr>
          <w:rFonts w:ascii="宋体" w:hAnsi="宋体" w:hint="eastAsia"/>
          <w:color w:val="FF0000"/>
          <w:sz w:val="20"/>
          <w:szCs w:val="20"/>
          <w:lang w:eastAsia="zh-CN"/>
        </w:rPr>
        <w:t>。</w:t>
      </w:r>
      <w:r>
        <w:rPr>
          <w:rFonts w:ascii="宋体" w:hAnsi="宋体" w:hint="eastAsia"/>
          <w:color w:val="FF0000"/>
          <w:sz w:val="20"/>
          <w:szCs w:val="20"/>
        </w:rPr>
        <w:t>（二）不同投标供应商的法定代表人、主要经营负责人、项目投标授权代表人、项目负责人、主要技术人员为同一人、属同一单位或者在同一单位缴纳社会保险</w:t>
      </w:r>
      <w:r>
        <w:rPr>
          <w:rFonts w:ascii="宋体" w:hAnsi="宋体" w:hint="eastAsia"/>
          <w:color w:val="FF0000"/>
          <w:sz w:val="20"/>
          <w:szCs w:val="20"/>
          <w:lang w:eastAsia="zh-CN"/>
        </w:rPr>
        <w:t>。</w:t>
      </w:r>
      <w:r>
        <w:rPr>
          <w:rFonts w:ascii="宋体" w:hAnsi="宋体" w:hint="eastAsia"/>
          <w:color w:val="FF0000"/>
          <w:sz w:val="20"/>
          <w:szCs w:val="20"/>
        </w:rPr>
        <w:t>（三）不同投标供应商的投标文件由同一单位或者同一人编制，或者由同一人分阶段参与编制的</w:t>
      </w:r>
      <w:r>
        <w:rPr>
          <w:rFonts w:ascii="宋体" w:hAnsi="宋体" w:hint="eastAsia"/>
          <w:color w:val="FF0000"/>
          <w:sz w:val="20"/>
          <w:szCs w:val="20"/>
          <w:lang w:eastAsia="zh-CN"/>
        </w:rPr>
        <w:t>。</w:t>
      </w:r>
      <w:r>
        <w:rPr>
          <w:rFonts w:ascii="宋体" w:hAnsi="宋体" w:hint="eastAsia"/>
          <w:color w:val="FF0000"/>
          <w:sz w:val="20"/>
          <w:szCs w:val="20"/>
        </w:rPr>
        <w:t>（四）不同投标供应商的投标文件或部分投标文件相互混装</w:t>
      </w:r>
      <w:r>
        <w:rPr>
          <w:rFonts w:ascii="宋体" w:hAnsi="宋体" w:hint="eastAsia"/>
          <w:color w:val="FF0000"/>
          <w:sz w:val="20"/>
          <w:szCs w:val="20"/>
          <w:lang w:eastAsia="zh-CN"/>
        </w:rPr>
        <w:t>。</w:t>
      </w:r>
      <w:r>
        <w:rPr>
          <w:rFonts w:ascii="宋体" w:hAnsi="宋体" w:hint="eastAsia"/>
          <w:color w:val="FF0000"/>
          <w:sz w:val="20"/>
          <w:szCs w:val="20"/>
        </w:rPr>
        <w:t>（五）不同投标供应商的投标文件内容存在非正常一致</w:t>
      </w:r>
      <w:r>
        <w:rPr>
          <w:rFonts w:ascii="宋体" w:hAnsi="宋体" w:hint="eastAsia"/>
          <w:color w:val="FF0000"/>
          <w:sz w:val="20"/>
          <w:szCs w:val="20"/>
          <w:lang w:eastAsia="zh-CN"/>
        </w:rPr>
        <w:t>。</w:t>
      </w:r>
      <w:r>
        <w:rPr>
          <w:rFonts w:ascii="宋体" w:hAnsi="宋体" w:hint="eastAsia"/>
          <w:color w:val="FF0000"/>
          <w:sz w:val="20"/>
          <w:szCs w:val="20"/>
        </w:rPr>
        <w:t>（六）由同一单位工作人员为两家以上（含两家）供应商进行同一项投标活动的</w:t>
      </w:r>
      <w:r>
        <w:rPr>
          <w:rFonts w:ascii="宋体" w:hAnsi="宋体" w:hint="eastAsia"/>
          <w:color w:val="FF0000"/>
          <w:sz w:val="20"/>
          <w:szCs w:val="20"/>
          <w:lang w:eastAsia="zh-CN"/>
        </w:rPr>
        <w:t>。</w:t>
      </w:r>
      <w:r>
        <w:rPr>
          <w:rFonts w:ascii="宋体" w:hAnsi="宋体" w:hint="eastAsia"/>
          <w:color w:val="FF0000"/>
          <w:sz w:val="20"/>
          <w:szCs w:val="20"/>
        </w:rPr>
        <w:t>（七）主管部门依照法律、法规认定的其他情形。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三、《深圳经济特区政府采购条例实施细则》第七十七条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供应商有下列情形之一的，属于隐瞒真实情况，提供虚假资料，按照采购条例第五十七</w:t>
      </w:r>
      <w:r>
        <w:rPr>
          <w:rFonts w:ascii="宋体" w:hAnsi="宋体" w:hint="eastAsia"/>
          <w:color w:val="FF0000"/>
          <w:sz w:val="20"/>
          <w:szCs w:val="20"/>
          <w:lang w:val="en-US" w:eastAsia="zh-CN"/>
        </w:rPr>
        <w:t>条</w:t>
      </w:r>
      <w:r>
        <w:rPr>
          <w:rFonts w:ascii="宋体" w:hAnsi="宋体" w:hint="eastAsia"/>
          <w:color w:val="FF0000"/>
          <w:sz w:val="20"/>
          <w:szCs w:val="20"/>
        </w:rPr>
        <w:t>的有关规定处理：（一）通过转让或者租借等方式从其他单位获取资格或者资质证书投标的</w:t>
      </w:r>
      <w:r>
        <w:rPr>
          <w:rFonts w:ascii="宋体" w:hAnsi="宋体" w:hint="eastAsia"/>
          <w:color w:val="FF0000"/>
          <w:sz w:val="20"/>
          <w:szCs w:val="20"/>
          <w:lang w:eastAsia="zh-CN"/>
        </w:rPr>
        <w:t>。</w:t>
      </w:r>
      <w:r>
        <w:rPr>
          <w:rFonts w:ascii="宋体" w:hAnsi="宋体" w:hint="eastAsia"/>
          <w:color w:val="FF0000"/>
          <w:sz w:val="20"/>
          <w:szCs w:val="20"/>
        </w:rPr>
        <w:t>（二）由其他单位或者其他单位负责人在投标供应商编制的投标文件上加盖印章或者签字的</w:t>
      </w:r>
      <w:r>
        <w:rPr>
          <w:rFonts w:ascii="宋体" w:hAnsi="宋体" w:hint="eastAsia"/>
          <w:color w:val="FF0000"/>
          <w:sz w:val="20"/>
          <w:szCs w:val="20"/>
          <w:lang w:eastAsia="zh-CN"/>
        </w:rPr>
        <w:t>。</w:t>
      </w:r>
      <w:r>
        <w:rPr>
          <w:rFonts w:ascii="宋体" w:hAnsi="宋体" w:hint="eastAsia"/>
          <w:color w:val="FF0000"/>
          <w:sz w:val="20"/>
          <w:szCs w:val="20"/>
        </w:rPr>
        <w:t>（三）项目负责人或者主要技术人员不是本单位人员的</w:t>
      </w:r>
      <w:r>
        <w:rPr>
          <w:rFonts w:ascii="宋体" w:hAnsi="宋体" w:hint="eastAsia"/>
          <w:color w:val="FF0000"/>
          <w:sz w:val="20"/>
          <w:szCs w:val="20"/>
          <w:lang w:eastAsia="zh-CN"/>
        </w:rPr>
        <w:t>。</w:t>
      </w:r>
      <w:r>
        <w:rPr>
          <w:rFonts w:ascii="宋体" w:hAnsi="宋体" w:hint="eastAsia"/>
          <w:color w:val="FF0000"/>
          <w:sz w:val="20"/>
          <w:szCs w:val="20"/>
        </w:rPr>
        <w:t>（四）投标保证金不是从投标供应商基本账户转出的</w:t>
      </w:r>
      <w:r>
        <w:rPr>
          <w:rFonts w:ascii="宋体" w:hAnsi="宋体" w:hint="eastAsia"/>
          <w:color w:val="FF0000"/>
          <w:sz w:val="20"/>
          <w:szCs w:val="20"/>
          <w:lang w:eastAsia="zh-CN"/>
        </w:rPr>
        <w:t>。</w:t>
      </w:r>
      <w:r>
        <w:rPr>
          <w:rFonts w:ascii="宋体" w:hAnsi="宋体" w:hint="eastAsia"/>
          <w:color w:val="FF0000"/>
          <w:sz w:val="20"/>
          <w:szCs w:val="20"/>
        </w:rPr>
        <w:t>（五）其他隐瞒真实情况、提供虚假资料的行为。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ascii="Times New Roman" w:eastAsia="宋体" w:hint="eastAsia"/>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ascii="Times New Roman" w:eastAsia="宋体" w:hint="eastAsia"/>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Times New Roman" w:eastAsia="宋体" w:hint="eastAsia"/>
          <w:b w:val="0"/>
          <w:bCs/>
          <w:color w:val="FF0000"/>
          <w:sz w:val="20"/>
          <w:szCs w:val="20"/>
          <w:lang w:val="en-US" w:eastAsia="zh-CN"/>
        </w:rPr>
      </w:pPr>
      <w:r>
        <w:rPr>
          <w:rFonts w:ascii="Times New Roman" w:eastAsia="宋体" w:hint="eastAsia"/>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lang w:eastAsia="zh-CN"/>
        </w:rPr>
        <w:t>、</w:t>
      </w:r>
      <w:r>
        <w:rPr>
          <w:rFonts w:ascii="宋体" w:hAnsi="宋体" w:hint="eastAsia"/>
          <w:color w:val="FF0000"/>
          <w:sz w:val="20"/>
          <w:szCs w:val="20"/>
        </w:rPr>
        <w:t>依法吊销其营业</w:t>
      </w:r>
      <w:r>
        <w:rPr>
          <w:rFonts w:hAnsi="宋体" w:hint="eastAsia"/>
          <w:color w:val="FF0000"/>
          <w:sz w:val="20"/>
          <w:szCs w:val="20"/>
          <w:lang w:val="en-US" w:eastAsia="zh-CN"/>
        </w:rPr>
        <w:t>执照等行政处罚，</w:t>
      </w:r>
      <w:r>
        <w:rPr>
          <w:rFonts w:ascii="宋体" w:hAnsi="宋体" w:hint="eastAsia"/>
          <w:color w:val="FF0000"/>
          <w:sz w:val="20"/>
          <w:szCs w:val="20"/>
        </w:rPr>
        <w:t>构成犯罪的，依法追究刑事责任</w:t>
      </w:r>
      <w:r>
        <w:rPr>
          <w:rFonts w:ascii="Times New Roman" w:eastAsia="宋体" w:hint="eastAsia"/>
          <w:b w:val="0"/>
          <w:bCs/>
          <w:color w:val="FF0000"/>
          <w:sz w:val="20"/>
          <w:szCs w:val="20"/>
          <w:lang w:val="en-US" w:eastAsia="zh-CN"/>
        </w:rPr>
        <w:t>，请各供应商独立编制、上传投标文件，妥善保管和使用电子秘钥。</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NoSpacing"/>
        <w:outlineLvl w:val="9"/>
        <w:rPr>
          <w:rFonts w:hint="eastAsia"/>
          <w:lang w:val="en-US" w:eastAsia="zh-CN"/>
        </w:rPr>
      </w:pPr>
    </w:p>
    <w:p>
      <w:pPr>
        <w:pStyle w:val="NormalWeb"/>
        <w:keepNext w:val="0"/>
        <w:keepLines w:val="0"/>
        <w:pageBreakBefore w:val="0"/>
        <w:widowControl/>
        <w:pBdr>
          <w:top w:val="nil"/>
          <w:left w:val="nil"/>
          <w:bottom w:val="nil"/>
          <w:right w:val="nil"/>
          <w:between w:val="nil"/>
        </w:pBdr>
        <w:kinsoku/>
        <w:wordWrap/>
        <w:overflowPunct/>
        <w:topLinePunct w:val="0"/>
        <w:autoSpaceDE/>
        <w:autoSpaceDN/>
        <w:bidi w:val="0"/>
        <w:adjustRightInd/>
        <w:snapToGrid/>
        <w:jc w:val="both"/>
        <w:textAlignment w:val="auto"/>
        <w:outlineLvl w:val="9"/>
        <w:rPr>
          <w:rFonts w:ascii="Times New Roman" w:eastAsia="宋体" w:hAnsi="Times New Roman" w:cs="Times New Roman" w:hint="eastAsia"/>
          <w:b/>
          <w:color w:val="FF0000"/>
          <w:kern w:val="2"/>
          <w:sz w:val="21"/>
          <w:szCs w:val="24"/>
          <w:lang w:val="en-US" w:eastAsia="zh-CN" w:bidi="ar-SA"/>
        </w:rPr>
      </w:pPr>
      <w:r>
        <w:rPr>
          <w:rFonts w:ascii="Times New Roman" w:eastAsia="宋体" w:hAnsi="Times New Roman" w:cs="Times New Roman" w:hint="eastAsia"/>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NormalWeb"/>
        <w:widowControl/>
        <w:jc w:val="center"/>
        <w:outlineLvl w:val="9"/>
        <w:rPr>
          <w:rFonts w:ascii="黑体" w:eastAsia="黑体" w:hAnsi="宋体" w:cs="黑体" w:hint="eastAsia"/>
          <w:sz w:val="40"/>
          <w:szCs w:val="40"/>
        </w:rPr>
      </w:pPr>
    </w:p>
    <w:p>
      <w:pPr>
        <w:pStyle w:val="NormalWeb"/>
        <w:widowControl/>
        <w:jc w:val="center"/>
        <w:outlineLvl w:val="9"/>
        <w:rPr>
          <w:rFonts w:ascii="黑体" w:eastAsia="黑体" w:hAnsi="宋体" w:cs="黑体" w:hint="eastAsia"/>
          <w:sz w:val="40"/>
          <w:szCs w:val="40"/>
        </w:rPr>
        <w:sectPr>
          <w:footerReference w:type="even" r:id="rId4"/>
          <w:footerReference w:type="default" r:id="rId5"/>
          <w:headerReference w:type="first" r:id="rId6"/>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招标文件信息</w:t>
      </w:r>
    </w:p>
    <w:tbl>
      <w:tblPr>
        <w:tblStyle w:val="TableNormal"/>
        <w:tblW w:w="7943" w:type="dxa"/>
        <w:jc w:val="center"/>
        <w:tblCellSpacing w:w="0" w:type="dxa"/>
        <w:tblLayout w:type="fixed"/>
        <w:tblCellMar>
          <w:top w:w="45" w:type="dxa"/>
          <w:left w:w="45" w:type="dxa"/>
          <w:bottom w:w="45" w:type="dxa"/>
          <w:right w:w="45" w:type="dxa"/>
        </w:tblCellMar>
      </w:tblPr>
      <w:tblGrid>
        <w:gridCol w:w="2723"/>
        <w:gridCol w:w="5220"/>
      </w:tblGrid>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sz w:val="30"/>
                <w:szCs w:val="30"/>
              </w:rPr>
              <w:t>DPCG2025000052</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bookmarkStart w:id="1" w:name="OLE_LINK4"/>
            <w:r>
              <w:rPr>
                <w:rFonts w:hint="default"/>
                <w:sz w:val="30"/>
                <w:szCs w:val="30"/>
                <w:lang w:val="en-US" w:eastAsia="zh-CN"/>
              </w:rPr>
              <w:t>病房、抢救设备</w:t>
            </w:r>
            <w:r>
              <w:rPr>
                <w:rFonts w:hint="eastAsia"/>
                <w:sz w:val="30"/>
                <w:szCs w:val="30"/>
                <w:lang w:val="en-US" w:eastAsia="zh-CN"/>
              </w:rPr>
              <w:t>采购项目</w:t>
            </w:r>
            <w:bookmarkEnd w:id="1"/>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 xml:space="preserve">包 </w:t>
            </w:r>
            <w:r>
              <w:rPr>
                <w:rFonts w:ascii="宋体" w:hAnsi="宋体" w:cs="宋体" w:hint="eastAsia"/>
                <w:kern w:val="0"/>
                <w:sz w:val="30"/>
                <w:szCs w:val="30"/>
                <w:lang w:val="en-US" w:eastAsia="zh-CN"/>
              </w:rPr>
              <w:t xml:space="preserve">   </w:t>
            </w:r>
            <w:r>
              <w:rPr>
                <w:rFonts w:ascii="宋体" w:hAnsi="宋体" w:cs="宋体"/>
                <w:kern w:val="0"/>
                <w:sz w:val="30"/>
                <w:szCs w:val="30"/>
              </w:rPr>
              <w:t>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货物类</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rPr>
              <w:t>公开招标</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rPr>
              <w:t>综合评分法</w:t>
            </w:r>
          </w:p>
        </w:tc>
      </w:tr>
    </w:tbl>
    <w:p>
      <w:pPr>
        <w:pStyle w:val="NormalWeb"/>
        <w:widowControl/>
        <w:jc w:val="center"/>
        <w:outlineLvl w:val="1"/>
        <w:rPr>
          <w:rFonts w:ascii="黑体" w:eastAsia="黑体" w:hAnsi="宋体" w:cs="黑体" w:hint="eastAsia"/>
          <w:sz w:val="40"/>
          <w:szCs w:val="40"/>
        </w:rPr>
        <w:sectPr>
          <w:pgSz w:w="11907" w:h="16840"/>
          <w:pgMar w:top="1497" w:right="1418" w:bottom="1440" w:left="1531" w:header="851" w:footer="992" w:gutter="0"/>
          <w:pgBorders>
            <w:top w:val="nil"/>
            <w:left w:val="nil"/>
            <w:bottom w:val="nil"/>
            <w:right w:val="nil"/>
          </w:pgBorders>
          <w:cols w:num="1" w:space="425"/>
          <w:titlePg/>
          <w:docGrid w:linePitch="462" w:charSpace="0"/>
        </w:sectPr>
      </w:pPr>
      <w:bookmarkEnd w:id="0"/>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资格性审查表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pPr>
        <w:pStyle w:val="NormalWeb"/>
        <w:widowControl/>
        <w:spacing w:before="280" w:beforeAutospacing="0"/>
        <w:jc w:val="center"/>
        <w:outlineLvl w:val="1"/>
        <w:rPr>
          <w:rFonts w:ascii="黑体" w:eastAsia="黑体" w:hAnsi="宋体" w:cs="黑体"/>
          <w:sz w:val="40"/>
          <w:szCs w:val="40"/>
        </w:rPr>
      </w:pPr>
      <w:r>
        <w:rPr>
          <w:rFonts w:ascii="黑体" w:eastAsia="黑体" w:hAnsi="宋体" w:cs="黑体" w:hint="eastAsia"/>
          <w:sz w:val="40"/>
          <w:szCs w:val="40"/>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2" w:name="_Hlk71832186"/>
            <w:r>
              <w:rPr>
                <w:rFonts w:hint="eastAsia"/>
              </w:rPr>
              <w:t>相应预算金额（或设定的预算金额下的最高限价）</w:t>
            </w:r>
            <w:bookmarkEnd w:id="2"/>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W w:w="9078" w:type="dxa"/>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不同投标供应商投标文件“文件制作机器码”一致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不同投标供应商投标文件“文件创建标识码”一致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default"/>
                <w:szCs w:val="21"/>
                <w:lang w:val="en-US" w:eastAsia="zh-CN"/>
              </w:rPr>
            </w:pPr>
            <w:r>
              <w:rPr>
                <w:rFonts w:ascii="宋体" w:hAnsi="宋体" w:cs="宋体" w:hint="eastAsia"/>
                <w:kern w:val="0"/>
                <w:szCs w:val="21"/>
                <w:lang w:val="en-US" w:eastAsia="zh-CN"/>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法律、法规、规章、规范性文件规定的其他情形。</w:t>
            </w:r>
          </w:p>
        </w:tc>
      </w:tr>
    </w:tbl>
    <w:p>
      <w:pPr>
        <w:pStyle w:val="NormalWeb"/>
        <w:widowControl/>
        <w:jc w:val="center"/>
        <w:outlineLvl w:val="1"/>
        <w:rPr>
          <w:rFonts w:ascii="黑体" w:eastAsia="黑体" w:hAnsi="宋体" w:cs="黑体" w:hint="eastAsia"/>
          <w:sz w:val="40"/>
          <w:szCs w:val="40"/>
        </w:rPr>
        <w:sectPr>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评标信息</w:t>
      </w:r>
    </w:p>
    <w:tbl>
      <w:tblPr>
        <w:tblStyle w:val="TableNormal"/>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W w:w="9141" w:type="dxa"/>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eastAsia="宋体" w:hint="eastAsia"/>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投标报价得分=(评标基准价／投标报价)×100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评标总得分＝F1×A1＋F2×A2＋……＋Fn×An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F1、F2……Fn分别为各项评审因素的得分；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A1、A2、……An 分别为各项评审因素所占的权重(A1＋A2＋……＋An＝1)。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bookmarkStart w:id="3" w:name="_Hlk72360569"/>
            <w:r>
              <w:rPr>
                <w:rFonts w:ascii="宋体" w:hAnsi="宋体" w:cs="宋体"/>
                <w:b/>
                <w:bCs/>
                <w:kern w:val="0"/>
                <w:sz w:val="21"/>
                <w:szCs w:val="21"/>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权重(%)</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60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val="en-US" w:eastAsia="zh-CN" w:bidi="ar-SA"/>
              </w:rPr>
            </w:pPr>
            <w:r>
              <w:rPr>
                <w:rFonts w:ascii="宋体" w:eastAsia="宋体" w:hAnsi="宋体" w:cs="宋体" w:hint="eastAsia"/>
                <w:kern w:val="0"/>
                <w:sz w:val="21"/>
                <w:szCs w:val="21"/>
                <w:highlight w:val="none"/>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2"/>
                <w:sz w:val="21"/>
                <w:szCs w:val="21"/>
                <w:lang w:val="en-US" w:eastAsia="zh-CN" w:bidi="ar-SA"/>
              </w:rPr>
            </w:pPr>
            <w:r>
              <w:rPr>
                <w:rFonts w:ascii="宋体" w:hAnsi="宋体" w:cs="宋体" w:hint="eastAsia"/>
                <w:kern w:val="2"/>
                <w:sz w:val="21"/>
                <w:szCs w:val="21"/>
                <w:lang w:val="en-US" w:eastAsia="zh-CN" w:bidi="ar-SA"/>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wordWrap w:val="0"/>
              <w:jc w:val="left"/>
              <w:textAlignment w:val="top"/>
              <w:rPr>
                <w:rFonts w:ascii="宋体" w:eastAsia="宋体" w:hAnsi="宋体" w:cs="宋体" w:hint="eastAsia"/>
                <w:sz w:val="21"/>
                <w:szCs w:val="21"/>
              </w:rPr>
            </w:pPr>
            <w:r>
              <w:rPr>
                <w:rFonts w:ascii="宋体" w:eastAsia="宋体" w:hAnsi="宋体" w:cs="宋体" w:hint="eastAsia"/>
                <w:sz w:val="21"/>
                <w:szCs w:val="21"/>
              </w:rPr>
              <w:t>投标人根据“第三章 用户需求书”“技术要求”如实填写《技术要求偏离表》，评审委员会根据投标人的参数响应情况进行评价，所投产品技术参数（非</w:t>
            </w:r>
            <w:r>
              <w:rPr>
                <w:rFonts w:ascii="宋体" w:eastAsia="宋体" w:hAnsi="宋体" w:cs="宋体" w:hint="eastAsia"/>
                <w:kern w:val="0"/>
                <w:sz w:val="21"/>
                <w:szCs w:val="21"/>
              </w:rPr>
              <w:t>“★”</w:t>
            </w:r>
            <w:r>
              <w:rPr>
                <w:rFonts w:ascii="宋体" w:eastAsia="宋体" w:hAnsi="宋体" w:cs="宋体" w:hint="eastAsia"/>
                <w:sz w:val="21"/>
                <w:szCs w:val="21"/>
              </w:rPr>
              <w:t>指标项技术参数）全部满足得100分；有负偏离的，每负偏离一项扣</w:t>
            </w:r>
            <w:r>
              <w:rPr>
                <w:rFonts w:ascii="宋体" w:hAnsi="宋体" w:cs="宋体" w:hint="eastAsia"/>
                <w:sz w:val="21"/>
                <w:szCs w:val="21"/>
                <w:lang w:val="en-US" w:eastAsia="zh-CN"/>
              </w:rPr>
              <w:t>1.55</w:t>
            </w:r>
            <w:r>
              <w:rPr>
                <w:rFonts w:ascii="宋体" w:eastAsia="宋体" w:hAnsi="宋体" w:cs="宋体" w:hint="eastAsia"/>
                <w:sz w:val="21"/>
                <w:szCs w:val="21"/>
              </w:rPr>
              <w:t>分，扣完为止。</w:t>
            </w:r>
          </w:p>
          <w:p>
            <w:pPr>
              <w:widowControl/>
              <w:wordWrap w:val="0"/>
              <w:jc w:val="left"/>
              <w:textAlignment w:val="top"/>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wordWrap w:val="0"/>
              <w:jc w:val="left"/>
              <w:textAlignment w:val="top"/>
              <w:rPr>
                <w:rFonts w:ascii="宋体" w:eastAsia="宋体" w:hAnsi="宋体" w:cs="宋体" w:hint="eastAsia"/>
                <w:kern w:val="2"/>
                <w:sz w:val="21"/>
                <w:szCs w:val="21"/>
                <w:lang w:val="en-US" w:eastAsia="zh-CN" w:bidi="ar-SA"/>
              </w:rPr>
            </w:pPr>
            <w:r>
              <w:rPr>
                <w:rFonts w:ascii="宋体" w:hAnsi="宋体" w:cs="宋体" w:hint="eastAsia"/>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ind w:left="0" w:right="0" w:leftChars="0" w:rightChars="0"/>
              <w:jc w:val="center"/>
              <w:rPr>
                <w:rFonts w:eastAsia="宋体" w:hint="eastAsia"/>
                <w:sz w:val="21"/>
                <w:szCs w:val="21"/>
                <w:lang w:val="en-US" w:eastAsia="zh-CN"/>
              </w:rPr>
            </w:pPr>
            <w:r>
              <w:rPr>
                <w:rFonts w:ascii="宋体" w:eastAsia="宋体" w:hAnsi="宋体" w:cs="宋体" w:hint="eastAsia"/>
                <w:color w:val="auto"/>
                <w:sz w:val="21"/>
                <w:szCs w:val="21"/>
                <w:lang w:val="en-US"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ind w:left="0" w:right="0" w:leftChars="0" w:rightChars="0"/>
              <w:jc w:val="center"/>
              <w:rPr>
                <w:rFonts w:eastAsia="宋体" w:hint="default"/>
                <w:sz w:val="21"/>
                <w:szCs w:val="21"/>
                <w:lang w:val="en-US" w:eastAsia="zh-CN"/>
              </w:rPr>
            </w:pPr>
            <w:r>
              <w:rPr>
                <w:rFonts w:hint="eastAsia"/>
                <w:sz w:val="21"/>
                <w:szCs w:val="21"/>
                <w:lang w:val="en-US"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jc w:val="left"/>
              <w:rPr>
                <w:rFonts w:ascii="宋体" w:eastAsia="宋体" w:hAnsi="宋体" w:cs="宋体" w:hint="eastAsia"/>
                <w:b/>
                <w:bCs/>
                <w:sz w:val="21"/>
                <w:szCs w:val="21"/>
              </w:rPr>
            </w:pPr>
            <w:r>
              <w:rPr>
                <w:rFonts w:ascii="宋体" w:eastAsia="宋体" w:hAnsi="宋体" w:cs="宋体" w:hint="eastAsia"/>
                <w:b/>
                <w:bCs/>
                <w:sz w:val="21"/>
                <w:szCs w:val="21"/>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color w:val="auto"/>
                <w:sz w:val="21"/>
                <w:szCs w:val="21"/>
              </w:rPr>
            </w:pPr>
            <w:r>
              <w:rPr>
                <w:rFonts w:ascii="宋体" w:eastAsia="宋体" w:hAnsi="宋体" w:cs="宋体" w:hint="eastAsia"/>
                <w:color w:val="auto"/>
                <w:sz w:val="21"/>
                <w:szCs w:val="21"/>
              </w:rPr>
              <w:t>投标人提供的</w:t>
            </w:r>
            <w:r>
              <w:rPr>
                <w:rFonts w:ascii="宋体" w:eastAsia="宋体" w:hAnsi="宋体" w:cs="宋体" w:hint="eastAsia"/>
                <w:color w:val="auto"/>
                <w:sz w:val="21"/>
                <w:szCs w:val="21"/>
                <w:lang w:val="en-US" w:eastAsia="zh-CN"/>
              </w:rPr>
              <w:t>项目服务方案</w:t>
            </w:r>
            <w:r>
              <w:rPr>
                <w:rFonts w:ascii="宋体" w:eastAsia="宋体" w:hAnsi="宋体" w:cs="宋体" w:hint="eastAsia"/>
                <w:color w:val="auto"/>
                <w:sz w:val="21"/>
                <w:szCs w:val="21"/>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color w:val="auto"/>
                <w:sz w:val="21"/>
                <w:szCs w:val="21"/>
                <w:lang w:eastAsia="zh-CN"/>
              </w:rPr>
            </w:pPr>
            <w:r>
              <w:rPr>
                <w:rFonts w:ascii="宋体" w:eastAsia="宋体" w:hAnsi="宋体" w:cs="宋体" w:hint="eastAsia"/>
                <w:color w:val="auto"/>
                <w:sz w:val="21"/>
                <w:szCs w:val="21"/>
              </w:rPr>
              <w:t>1.设备维护保养计划表</w:t>
            </w:r>
            <w:r>
              <w:rPr>
                <w:rFonts w:ascii="宋体" w:hAnsi="宋体" w:cs="宋体" w:hint="eastAsia"/>
                <w:color w:val="auto"/>
                <w:sz w:val="21"/>
                <w:szCs w:val="21"/>
                <w:lang w:eastAsia="zh-CN"/>
              </w:rPr>
              <w:t>；</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lang w:eastAsia="zh-CN"/>
              </w:rPr>
            </w:pPr>
            <w:r>
              <w:rPr>
                <w:rFonts w:ascii="宋体" w:eastAsia="宋体" w:hAnsi="宋体" w:cs="宋体" w:hint="eastAsia"/>
                <w:color w:val="auto"/>
                <w:sz w:val="21"/>
                <w:szCs w:val="21"/>
              </w:rPr>
              <w:t>2.设备的培训方案</w:t>
            </w:r>
            <w:r>
              <w:rPr>
                <w:rFonts w:ascii="宋体" w:hAnsi="宋体" w:cs="宋体" w:hint="eastAsia"/>
                <w:color w:val="auto"/>
                <w:sz w:val="21"/>
                <w:szCs w:val="21"/>
                <w:lang w:eastAsia="zh-CN"/>
              </w:rPr>
              <w:t>；</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lang w:eastAsia="zh-CN"/>
              </w:rPr>
            </w:pPr>
            <w:r>
              <w:rPr>
                <w:rFonts w:ascii="宋体" w:eastAsia="宋体" w:hAnsi="宋体" w:cs="宋体" w:hint="eastAsia"/>
                <w:color w:val="auto"/>
                <w:sz w:val="21"/>
                <w:szCs w:val="21"/>
              </w:rPr>
              <w:t>3.核心设备出现重大故障的解决方案</w:t>
            </w:r>
            <w:r>
              <w:rPr>
                <w:rFonts w:ascii="宋体" w:hAnsi="宋体" w:cs="宋体" w:hint="eastAsia"/>
                <w:color w:val="auto"/>
                <w:sz w:val="21"/>
                <w:szCs w:val="21"/>
                <w:lang w:eastAsia="zh-CN"/>
              </w:rPr>
              <w:t>。</w:t>
            </w:r>
          </w:p>
          <w:p>
            <w:pPr>
              <w:wordWrap w:val="0"/>
              <w:jc w:val="left"/>
              <w:rPr>
                <w:rFonts w:ascii="宋体" w:eastAsia="宋体" w:hAnsi="宋体" w:cs="宋体" w:hint="eastAsia"/>
                <w:b/>
                <w:bCs/>
                <w:sz w:val="21"/>
                <w:szCs w:val="21"/>
              </w:rPr>
            </w:pPr>
            <w:r>
              <w:rPr>
                <w:rFonts w:ascii="宋体" w:eastAsia="宋体" w:hAnsi="宋体" w:cs="宋体" w:hint="eastAsia"/>
                <w:b/>
                <w:bCs/>
                <w:sz w:val="21"/>
                <w:szCs w:val="21"/>
              </w:rPr>
              <w:t>（二）评分依据：</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val="en-US" w:eastAsia="zh-CN"/>
              </w:rPr>
              <w:t>1.</w:t>
            </w:r>
            <w:r>
              <w:rPr>
                <w:rFonts w:ascii="宋体" w:eastAsia="宋体" w:hAnsi="宋体" w:cs="宋体" w:hint="eastAsia"/>
                <w:color w:val="auto"/>
                <w:sz w:val="21"/>
                <w:szCs w:val="21"/>
              </w:rPr>
              <w:t>方案内容每满足以上</w:t>
            </w:r>
            <w:r>
              <w:rPr>
                <w:rFonts w:ascii="宋体" w:eastAsia="宋体" w:hAnsi="宋体" w:cs="宋体" w:hint="eastAsia"/>
                <w:color w:val="auto"/>
                <w:sz w:val="21"/>
                <w:szCs w:val="21"/>
                <w:lang w:val="en-US" w:eastAsia="zh-CN"/>
              </w:rPr>
              <w:t>任意</w:t>
            </w:r>
            <w:r>
              <w:rPr>
                <w:rFonts w:ascii="宋体" w:eastAsia="宋体" w:hAnsi="宋体" w:cs="宋体" w:hint="eastAsia"/>
                <w:color w:val="auto"/>
                <w:sz w:val="21"/>
                <w:szCs w:val="21"/>
              </w:rPr>
              <w:t>一</w:t>
            </w:r>
            <w:r>
              <w:rPr>
                <w:rFonts w:ascii="宋体" w:eastAsia="宋体" w:hAnsi="宋体" w:cs="宋体" w:hint="eastAsia"/>
                <w:color w:val="auto"/>
                <w:sz w:val="21"/>
                <w:szCs w:val="21"/>
                <w:lang w:val="en-US" w:eastAsia="zh-CN"/>
              </w:rPr>
              <w:t>点</w:t>
            </w:r>
            <w:r>
              <w:rPr>
                <w:rFonts w:ascii="宋体" w:eastAsia="宋体" w:hAnsi="宋体" w:cs="宋体" w:hint="eastAsia"/>
                <w:color w:val="auto"/>
                <w:sz w:val="21"/>
                <w:szCs w:val="21"/>
              </w:rPr>
              <w:t>得</w:t>
            </w:r>
            <w:r>
              <w:rPr>
                <w:rFonts w:ascii="宋体" w:eastAsia="宋体" w:hAnsi="宋体" w:cs="宋体" w:hint="eastAsia"/>
                <w:color w:val="auto"/>
                <w:sz w:val="21"/>
                <w:szCs w:val="21"/>
                <w:lang w:val="en-US" w:eastAsia="zh-CN"/>
              </w:rPr>
              <w:t>20</w:t>
            </w:r>
            <w:r>
              <w:rPr>
                <w:rFonts w:ascii="宋体" w:eastAsia="宋体" w:hAnsi="宋体" w:cs="宋体" w:hint="eastAsia"/>
                <w:color w:val="auto"/>
                <w:sz w:val="21"/>
                <w:szCs w:val="21"/>
              </w:rPr>
              <w:t>分，最高得60分；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val="en-US" w:eastAsia="zh-CN"/>
              </w:rPr>
              <w:t>2.</w:t>
            </w:r>
            <w:r>
              <w:rPr>
                <w:rFonts w:ascii="宋体" w:eastAsia="宋体" w:hAnsi="宋体" w:cs="宋体" w:hint="eastAsia"/>
                <w:color w:val="auto"/>
                <w:sz w:val="21"/>
                <w:szCs w:val="21"/>
              </w:rPr>
              <w:t>在此基础上，由评审委员进行评价：</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1</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内容符合项目实际，可行性强，评价为优，</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40分；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2</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内容较符合项目实际，可行性较好，评价为良，</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20分；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3</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w:t>
            </w:r>
            <w:r>
              <w:rPr>
                <w:rFonts w:ascii="宋体" w:eastAsia="宋体" w:hAnsi="宋体" w:cs="宋体" w:hint="eastAsia"/>
                <w:color w:val="auto"/>
                <w:sz w:val="21"/>
                <w:szCs w:val="21"/>
                <w:lang w:val="en-US" w:eastAsia="zh-CN"/>
              </w:rPr>
              <w:t>一般</w:t>
            </w:r>
            <w:r>
              <w:rPr>
                <w:rFonts w:ascii="宋体" w:eastAsia="宋体" w:hAnsi="宋体" w:cs="宋体" w:hint="eastAsia"/>
                <w:color w:val="auto"/>
                <w:sz w:val="21"/>
                <w:szCs w:val="21"/>
              </w:rPr>
              <w:t>符合项目实际</w:t>
            </w:r>
            <w:r>
              <w:rPr>
                <w:rFonts w:ascii="宋体" w:eastAsia="宋体" w:hAnsi="宋体" w:cs="宋体" w:hint="eastAsia"/>
                <w:color w:val="auto"/>
                <w:sz w:val="21"/>
                <w:szCs w:val="21"/>
                <w:lang w:eastAsia="zh-CN"/>
              </w:rPr>
              <w:t>，</w:t>
            </w:r>
            <w:r>
              <w:rPr>
                <w:rFonts w:ascii="宋体" w:eastAsia="宋体" w:hAnsi="宋体" w:cs="宋体" w:hint="eastAsia"/>
                <w:color w:val="auto"/>
                <w:sz w:val="21"/>
                <w:szCs w:val="21"/>
              </w:rPr>
              <w:t>可行性一般，评价为中，</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10分；</w:t>
            </w:r>
          </w:p>
          <w:p>
            <w:pPr>
              <w:keepNext w:val="0"/>
              <w:keepLines w:val="0"/>
              <w:suppressLineNumbers w:val="0"/>
              <w:spacing w:before="0" w:beforeAutospacing="0" w:after="0" w:afterAutospacing="0"/>
              <w:ind w:left="0" w:right="0" w:leftChars="0" w:rightChars="0"/>
              <w:rPr>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4</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w:t>
            </w:r>
            <w:r>
              <w:rPr>
                <w:rFonts w:ascii="宋体" w:eastAsia="宋体" w:hAnsi="宋体" w:cs="宋体" w:hint="eastAsia"/>
                <w:color w:val="auto"/>
                <w:sz w:val="21"/>
                <w:szCs w:val="21"/>
                <w:lang w:val="en-US" w:eastAsia="zh-CN"/>
              </w:rPr>
              <w:t>不</w:t>
            </w:r>
            <w:r>
              <w:rPr>
                <w:rFonts w:ascii="宋体" w:eastAsia="宋体" w:hAnsi="宋体" w:cs="宋体" w:hint="eastAsia"/>
                <w:color w:val="auto"/>
                <w:sz w:val="21"/>
                <w:szCs w:val="21"/>
              </w:rPr>
              <w:t>符合项目实际</w:t>
            </w:r>
            <w:r>
              <w:rPr>
                <w:rFonts w:ascii="宋体" w:eastAsia="宋体" w:hAnsi="宋体" w:cs="宋体" w:hint="eastAsia"/>
                <w:color w:val="auto"/>
                <w:sz w:val="21"/>
                <w:szCs w:val="21"/>
                <w:lang w:eastAsia="zh-CN"/>
              </w:rPr>
              <w:t>，</w:t>
            </w:r>
            <w:r>
              <w:rPr>
                <w:rFonts w:ascii="宋体" w:eastAsia="宋体" w:hAnsi="宋体" w:cs="宋体" w:hint="eastAsia"/>
                <w:color w:val="auto"/>
                <w:sz w:val="21"/>
                <w:szCs w:val="21"/>
                <w:lang w:val="en-US" w:eastAsia="zh-CN"/>
              </w:rPr>
              <w:t>没有</w:t>
            </w:r>
            <w:r>
              <w:rPr>
                <w:rFonts w:ascii="宋体" w:eastAsia="宋体" w:hAnsi="宋体" w:cs="宋体" w:hint="eastAsia"/>
                <w:color w:val="auto"/>
                <w:sz w:val="21"/>
                <w:szCs w:val="21"/>
              </w:rPr>
              <w:t>可行性，评价为差，</w:t>
            </w:r>
            <w:r>
              <w:rPr>
                <w:rFonts w:ascii="宋体" w:eastAsia="宋体" w:hAnsi="宋体" w:cs="宋体" w:hint="eastAsia"/>
                <w:color w:val="auto"/>
                <w:sz w:val="21"/>
                <w:szCs w:val="21"/>
                <w:lang w:val="en-US" w:eastAsia="zh-CN"/>
              </w:rPr>
              <w:t>不加</w:t>
            </w:r>
            <w:r>
              <w:rPr>
                <w:rFonts w:ascii="宋体" w:eastAsia="宋体" w:hAnsi="宋体" w:cs="宋体" w:hint="eastAsia"/>
                <w:color w:val="auto"/>
                <w:sz w:val="21"/>
                <w:szCs w:val="21"/>
              </w:rPr>
              <w:t>分</w:t>
            </w:r>
            <w:r>
              <w:rPr>
                <w:rFonts w:ascii="宋体" w:hAnsi="宋体" w:cs="宋体" w:hint="eastAsia"/>
                <w:color w:val="auto"/>
                <w:sz w:val="21"/>
                <w:szCs w:val="21"/>
                <w:lang w:eastAsia="zh-CN"/>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hAnsi="宋体" w:cs="宋体" w:hint="default"/>
                <w:kern w:val="0"/>
                <w:sz w:val="21"/>
                <w:szCs w:val="21"/>
                <w:lang w:val="en-US" w:eastAsia="zh-CN"/>
              </w:rPr>
            </w:pPr>
            <w:r>
              <w:rPr>
                <w:rFonts w:ascii="宋体" w:hAnsi="宋体" w:cs="宋体" w:hint="eastAsia"/>
                <w:kern w:val="0"/>
                <w:sz w:val="21"/>
                <w:szCs w:val="21"/>
                <w:lang w:val="en-US"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hint="eastAsia"/>
                <w:sz w:val="21"/>
                <w:szCs w:val="21"/>
                <w:lang w:val="en-US" w:eastAsia="zh-CN"/>
              </w:rPr>
            </w:pPr>
            <w:r>
              <w:rPr>
                <w:rFonts w:asciiTheme="minorEastAsia" w:eastAsiaTheme="minorEastAsia" w:hAnsiTheme="minorEastAsia" w:hint="eastAsia"/>
                <w:szCs w:val="21"/>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hint="default"/>
                <w:sz w:val="21"/>
                <w:szCs w:val="21"/>
                <w:lang w:val="en-US" w:eastAsia="zh-CN"/>
              </w:rPr>
            </w:pPr>
            <w:r>
              <w:rPr>
                <w:rFonts w:hint="eastAsia"/>
                <w:sz w:val="21"/>
                <w:szCs w:val="21"/>
                <w:lang w:val="en-US"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autoSpaceDE w:val="0"/>
              <w:autoSpaceDN w:val="0"/>
              <w:adjustRightInd w:val="0"/>
              <w:snapToGrid w:val="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（一）评分内容：</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根据投标人对本项目需求制定技术保障措施，内容包括：</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①供货进度安排；②安装调试方案；③质量控制措施；</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④安全保障措施</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lang w:val="en-US" w:eastAsia="zh-CN"/>
              </w:rPr>
              <w:t>包括但不限于交货安全、设备安全、信息化安全等</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rPr>
              <w:t>；⑤技术团队情况</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lang w:val="en-US" w:eastAsia="zh-CN"/>
              </w:rPr>
              <w:t>包括但不限于交货人员、验收人员、维修保养人员、培训人员等</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rPr>
              <w:t>；</w:t>
            </w:r>
          </w:p>
          <w:p>
            <w:pPr>
              <w:autoSpaceDE w:val="0"/>
              <w:autoSpaceDN w:val="0"/>
              <w:adjustRightInd w:val="0"/>
              <w:snapToGrid w:val="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（二）评分依据：</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方案包含以上任意一项内容得12分；最高60分。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在此基础上，根据方案响应情况进一步评审：</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（1）项目技术保障措施全面具体、针对性强、可操作性强，评价为优，加40分；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（2）项目技术保障措施比较全面具体、针对性、可操作性较好，评价为良，加30分；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（3）项目技术保障措施基本全面具体，针对性、可操作性一般。评价为中，加20分；</w:t>
            </w:r>
          </w:p>
          <w:p>
            <w:pPr>
              <w:jc w:val="left"/>
              <w:rPr>
                <w:rFonts w:hint="eastAsia"/>
                <w:sz w:val="21"/>
                <w:szCs w:val="21"/>
              </w:rPr>
            </w:pPr>
            <w:r>
              <w:rPr>
                <w:rFonts w:asciiTheme="minorEastAsia" w:eastAsiaTheme="minorEastAsia" w:hAnsiTheme="minorEastAsia" w:cs="宋体" w:hint="eastAsia"/>
                <w:kern w:val="0"/>
                <w:szCs w:val="21"/>
              </w:rPr>
              <w:t>（4）项目技术保障措施不全不具体、无针对性、无可操作性，或未按采购文件要求提供实施方案的。评价为差，不得分。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商务</w:t>
            </w:r>
            <w:r>
              <w:rPr>
                <w:rFonts w:ascii="宋体" w:hAnsi="宋体" w:cs="宋体" w:hint="eastAsia"/>
                <w:b/>
                <w:bCs/>
                <w:color w:val="0000FF"/>
                <w:kern w:val="0"/>
                <w:sz w:val="21"/>
                <w:szCs w:val="21"/>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sz w:val="21"/>
                <w:szCs w:val="21"/>
                <w:lang w:val="en-US" w:eastAsia="zh-CN"/>
              </w:rPr>
            </w:pPr>
            <w:r>
              <w:rPr>
                <w:rFonts w:hint="eastAsia"/>
                <w:sz w:val="21"/>
                <w:szCs w:val="21"/>
                <w:lang w:val="en-US"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sz w:val="21"/>
                <w:szCs w:val="21"/>
              </w:rPr>
            </w:pPr>
            <w:r>
              <w:rPr>
                <w:rFonts w:asciiTheme="minorEastAsia" w:eastAsiaTheme="minorEastAsia" w:hAnsiTheme="minorEastAsia" w:cstheme="minorEastAsia" w:hint="eastAsia"/>
                <w:color w:val="auto"/>
                <w:kern w:val="2"/>
                <w:sz w:val="21"/>
                <w:szCs w:val="21"/>
                <w:lang w:val="en-US"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sz w:val="21"/>
                <w:szCs w:val="21"/>
                <w:lang w:val="en-US" w:eastAsia="zh-CN"/>
              </w:rPr>
            </w:pPr>
            <w:r>
              <w:rPr>
                <w:rFonts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kinsoku/>
              <w:wordWrap w:val="0"/>
              <w:overflowPunct/>
              <w:topLinePunct w:val="0"/>
              <w:bidi w:val="0"/>
              <w:adjustRightInd/>
              <w:snapToGrid/>
              <w:jc w:val="left"/>
              <w:textAlignment w:val="auto"/>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Theme="minorEastAsia" w:eastAsiaTheme="minorEastAsia" w:hAnsiTheme="minorEastAsia" w:cstheme="minorEastAsia" w:hint="eastAsia"/>
                <w:color w:val="auto"/>
                <w:kern w:val="2"/>
                <w:sz w:val="21"/>
                <w:szCs w:val="21"/>
                <w:lang w:val="zh-CN" w:eastAsia="zh-CN" w:bidi="ar-SA"/>
              </w:rPr>
            </w:pPr>
            <w:r>
              <w:rPr>
                <w:rFonts w:asciiTheme="minorEastAsia" w:eastAsiaTheme="minorEastAsia" w:hAnsiTheme="minorEastAsia" w:cstheme="minorEastAsia" w:hint="eastAsia"/>
                <w:color w:val="auto"/>
                <w:kern w:val="2"/>
                <w:sz w:val="21"/>
                <w:szCs w:val="21"/>
                <w:lang w:val="zh-CN" w:eastAsia="zh-CN" w:bidi="ar-SA"/>
              </w:rPr>
              <w:t>自2019年1月1日至本项目投标截止日前（以合同</w:t>
            </w:r>
            <w:r>
              <w:rPr>
                <w:rFonts w:asciiTheme="minorEastAsia" w:eastAsiaTheme="minorEastAsia" w:hAnsiTheme="minorEastAsia" w:cstheme="minorEastAsia" w:hint="eastAsia"/>
                <w:color w:val="auto"/>
                <w:kern w:val="2"/>
                <w:sz w:val="21"/>
                <w:szCs w:val="21"/>
                <w:lang w:val="en-US" w:eastAsia="zh-CN" w:bidi="ar-SA"/>
              </w:rPr>
              <w:t>签订</w:t>
            </w:r>
            <w:r>
              <w:rPr>
                <w:rFonts w:asciiTheme="minorEastAsia" w:eastAsiaTheme="minorEastAsia" w:hAnsiTheme="minorEastAsia" w:cstheme="minorEastAsia" w:hint="eastAsia"/>
                <w:color w:val="auto"/>
                <w:kern w:val="2"/>
                <w:sz w:val="21"/>
                <w:szCs w:val="21"/>
                <w:lang w:val="zh-CN" w:eastAsia="zh-CN" w:bidi="ar-SA"/>
              </w:rPr>
              <w:t>日期为准），投标人</w:t>
            </w:r>
            <w:r>
              <w:rPr>
                <w:rFonts w:asciiTheme="minorEastAsia" w:eastAsiaTheme="minorEastAsia" w:hAnsiTheme="minorEastAsia" w:cstheme="minorEastAsia" w:hint="eastAsia"/>
                <w:color w:val="auto"/>
                <w:kern w:val="2"/>
                <w:sz w:val="21"/>
                <w:szCs w:val="21"/>
                <w:lang w:val="en-US" w:eastAsia="zh-CN" w:bidi="ar-SA"/>
              </w:rPr>
              <w:t>承担过医疗设备病房、抢救设备类</w:t>
            </w:r>
            <w:r>
              <w:rPr>
                <w:rFonts w:asciiTheme="minorEastAsia" w:eastAsiaTheme="minorEastAsia" w:hAnsiTheme="minorEastAsia" w:cstheme="minorEastAsia" w:hint="eastAsia"/>
                <w:color w:val="auto"/>
                <w:kern w:val="2"/>
                <w:sz w:val="21"/>
                <w:szCs w:val="21"/>
                <w:lang w:val="zh-CN" w:eastAsia="zh-CN" w:bidi="ar-SA"/>
              </w:rPr>
              <w:t>销售业绩，每提供1份</w:t>
            </w:r>
            <w:r>
              <w:rPr>
                <w:rFonts w:asciiTheme="minorEastAsia" w:eastAsiaTheme="minorEastAsia" w:hAnsiTheme="minorEastAsia" w:cstheme="minorEastAsia" w:hint="eastAsia"/>
                <w:color w:val="auto"/>
                <w:kern w:val="2"/>
                <w:sz w:val="21"/>
                <w:szCs w:val="21"/>
                <w:lang w:val="en-US" w:eastAsia="zh-CN" w:bidi="ar-SA"/>
              </w:rPr>
              <w:t>同类项目业绩</w:t>
            </w:r>
            <w:r>
              <w:rPr>
                <w:rFonts w:asciiTheme="minorEastAsia" w:eastAsiaTheme="minorEastAsia" w:hAnsiTheme="minorEastAsia" w:cstheme="minorEastAsia" w:hint="eastAsia"/>
                <w:color w:val="auto"/>
                <w:kern w:val="2"/>
                <w:sz w:val="21"/>
                <w:szCs w:val="21"/>
                <w:lang w:val="zh-CN" w:eastAsia="zh-CN" w:bidi="ar-SA"/>
              </w:rPr>
              <w:t>得</w:t>
            </w:r>
            <w:r>
              <w:rPr>
                <w:rFonts w:asciiTheme="minorEastAsia" w:eastAsiaTheme="minorEastAsia" w:hAnsiTheme="minorEastAsia" w:cstheme="minorEastAsia" w:hint="eastAsia"/>
                <w:color w:val="auto"/>
                <w:kern w:val="2"/>
                <w:sz w:val="21"/>
                <w:szCs w:val="21"/>
                <w:lang w:val="en-US" w:eastAsia="zh-CN" w:bidi="ar-SA"/>
              </w:rPr>
              <w:t>20</w:t>
            </w:r>
            <w:r>
              <w:rPr>
                <w:rFonts w:asciiTheme="minorEastAsia" w:eastAsiaTheme="minorEastAsia" w:hAnsiTheme="minorEastAsia" w:cstheme="minorEastAsia" w:hint="eastAsia"/>
                <w:color w:val="auto"/>
                <w:kern w:val="2"/>
                <w:sz w:val="21"/>
                <w:szCs w:val="21"/>
                <w:lang w:val="zh-CN" w:eastAsia="zh-CN" w:bidi="ar-SA"/>
              </w:rPr>
              <w:t>分，本项累计最高得100分。</w:t>
            </w:r>
          </w:p>
          <w:p>
            <w:pPr>
              <w:keepNext w:val="0"/>
              <w:keepLines w:val="0"/>
              <w:pageBreakBefore w:val="0"/>
              <w:suppressLineNumbers w:val="0"/>
              <w:kinsoku/>
              <w:overflowPunct/>
              <w:topLinePunct w:val="0"/>
              <w:bidi w:val="0"/>
              <w:adjustRightInd/>
              <w:snapToGrid/>
              <w:spacing w:before="0" w:beforeAutospacing="0" w:after="0" w:afterAutospacing="0"/>
              <w:ind w:left="0" w:right="0"/>
              <w:textAlignment w:val="auto"/>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b/>
                <w:bCs/>
                <w:color w:val="auto"/>
                <w:sz w:val="21"/>
                <w:szCs w:val="21"/>
                <w:lang w:val="en-US"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Theme="minorEastAsia" w:eastAsiaTheme="minorEastAsia" w:hAnsiTheme="minorEastAsia" w:cstheme="minorEastAsia" w:hint="eastAsia"/>
                <w:color w:val="auto"/>
                <w:kern w:val="2"/>
                <w:sz w:val="21"/>
                <w:szCs w:val="21"/>
                <w:lang w:val="zh-CN" w:eastAsia="zh-CN" w:bidi="ar-SA"/>
              </w:rPr>
            </w:pPr>
            <w:r>
              <w:rPr>
                <w:rFonts w:asciiTheme="minorEastAsia" w:eastAsiaTheme="minorEastAsia" w:hAnsiTheme="minorEastAsia" w:cstheme="minorEastAsia" w:hint="eastAsia"/>
                <w:color w:val="auto"/>
                <w:kern w:val="2"/>
                <w:sz w:val="21"/>
                <w:szCs w:val="21"/>
                <w:lang w:val="en-US" w:eastAsia="zh-CN" w:bidi="ar-SA"/>
              </w:rPr>
              <w:t>1.</w:t>
            </w:r>
            <w:r>
              <w:rPr>
                <w:rFonts w:asciiTheme="minorEastAsia" w:eastAsiaTheme="minorEastAsia" w:hAnsiTheme="minorEastAsia" w:cstheme="minorEastAsia" w:hint="eastAsia"/>
                <w:color w:val="auto"/>
                <w:kern w:val="2"/>
                <w:sz w:val="21"/>
                <w:szCs w:val="21"/>
                <w:lang w:val="zh-CN" w:eastAsia="zh-CN" w:bidi="ar-SA"/>
              </w:rPr>
              <w:t>提供销售合同关键页【包括但不限于</w:t>
            </w:r>
            <w:r>
              <w:rPr>
                <w:rFonts w:asciiTheme="minorEastAsia" w:eastAsiaTheme="minorEastAsia" w:hAnsiTheme="minorEastAsia" w:cstheme="minorEastAsia" w:hint="eastAsia"/>
                <w:color w:val="auto"/>
                <w:kern w:val="2"/>
                <w:sz w:val="21"/>
                <w:szCs w:val="21"/>
                <w:lang w:val="en-US" w:eastAsia="zh-CN" w:bidi="ar-SA"/>
              </w:rPr>
              <w:t>合同（项目）名称、采购</w:t>
            </w:r>
            <w:r>
              <w:rPr>
                <w:rFonts w:asciiTheme="minorEastAsia" w:eastAsiaTheme="minorEastAsia" w:hAnsiTheme="minorEastAsia" w:cstheme="minorEastAsia" w:hint="eastAsia"/>
                <w:color w:val="auto"/>
                <w:kern w:val="2"/>
                <w:sz w:val="21"/>
                <w:szCs w:val="21"/>
                <w:lang w:val="zh-CN" w:eastAsia="zh-CN" w:bidi="ar-SA"/>
              </w:rPr>
              <w:t>货物内容、签订日期、合同双方签字盖章页】</w:t>
            </w:r>
            <w:r>
              <w:rPr>
                <w:rFonts w:asciiTheme="minorEastAsia" w:eastAsiaTheme="minorEastAsia" w:hAnsiTheme="minorEastAsia" w:cstheme="minorEastAsia" w:hint="eastAsia"/>
                <w:color w:val="auto"/>
                <w:kern w:val="2"/>
                <w:sz w:val="21"/>
                <w:szCs w:val="21"/>
                <w:lang w:val="en-US" w:eastAsia="zh-CN" w:bidi="ar-SA"/>
              </w:rPr>
              <w:t>扫描件</w:t>
            </w:r>
            <w:r>
              <w:rPr>
                <w:rFonts w:asciiTheme="minorEastAsia" w:eastAsiaTheme="minorEastAsia" w:hAnsiTheme="minorEastAsia" w:cstheme="minorEastAsia" w:hint="eastAsia"/>
                <w:color w:val="auto"/>
                <w:kern w:val="2"/>
                <w:sz w:val="21"/>
                <w:szCs w:val="21"/>
                <w:lang w:val="zh-CN" w:eastAsia="zh-CN" w:bidi="ar-SA"/>
              </w:rPr>
              <w:t>，原件备查；</w:t>
            </w:r>
          </w:p>
          <w:p>
            <w:pPr>
              <w:keepNext w:val="0"/>
              <w:keepLines w:val="0"/>
              <w:pageBreakBefore w:val="0"/>
              <w:kinsoku/>
              <w:overflowPunct/>
              <w:topLinePunct w:val="0"/>
              <w:bidi w:val="0"/>
              <w:adjustRightInd/>
              <w:snapToGrid/>
              <w:textAlignment w:val="auto"/>
              <w:rPr>
                <w:sz w:val="21"/>
                <w:szCs w:val="21"/>
              </w:rPr>
            </w:pPr>
            <w:r>
              <w:rPr>
                <w:rFonts w:asciiTheme="minorEastAsia" w:eastAsiaTheme="minorEastAsia" w:hAnsiTheme="minorEastAsia" w:cstheme="minorEastAsia" w:hint="eastAsia"/>
                <w:color w:val="auto"/>
                <w:kern w:val="2"/>
                <w:sz w:val="21"/>
                <w:szCs w:val="21"/>
                <w:lang w:val="en-US" w:eastAsia="zh-CN" w:bidi="ar-SA"/>
              </w:rPr>
              <w:t>2.</w:t>
            </w:r>
            <w:r>
              <w:rPr>
                <w:rFonts w:ascii="宋体" w:eastAsia="宋体" w:hAnsi="宋体" w:cs="宋体" w:hint="eastAsia"/>
                <w:kern w:val="2"/>
                <w:sz w:val="21"/>
                <w:szCs w:val="21"/>
                <w:highlight w:val="none"/>
                <w:lang w:val="en-US" w:eastAsia="zh-CN" w:bidi="ar-SA"/>
              </w:rPr>
              <w:t>以上证明材料原件备查，</w:t>
            </w:r>
            <w:r>
              <w:rPr>
                <w:rFonts w:ascii="宋体" w:eastAsia="宋体" w:hAnsi="宋体" w:cs="宋体" w:hint="eastAsia"/>
                <w:b w:val="0"/>
                <w:bCs w:val="0"/>
                <w:kern w:val="2"/>
                <w:sz w:val="21"/>
                <w:szCs w:val="21"/>
                <w:lang w:val="zh-CN" w:eastAsia="zh-CN" w:bidi="ar-SA"/>
              </w:rPr>
              <w:t>未提供证明材料或者提供的证明材料不符合要求或评审专家无法凭所提供资料判断是否得分的，一律做不得分处理。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hint="eastAsia"/>
                <w:b/>
                <w:bCs/>
                <w:color w:val="0000FF"/>
                <w:kern w:val="0"/>
                <w:sz w:val="21"/>
                <w:szCs w:val="21"/>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Theme="minorEastAsia" w:eastAsiaTheme="minorEastAsia" w:hAnsiTheme="minorEastAsia" w:cstheme="minorEastAsia" w:hint="eastAsia"/>
                <w:b w:val="0"/>
                <w:bCs w:val="0"/>
                <w:sz w:val="21"/>
                <w:szCs w:val="21"/>
                <w:lang w:val="en-US" w:eastAsia="zh-CN"/>
              </w:rPr>
              <w:t>有关</w:t>
            </w:r>
            <w:r>
              <w:rPr>
                <w:rFonts w:asciiTheme="minorEastAsia" w:eastAsiaTheme="minorEastAsia" w:hAnsiTheme="minorEastAsia" w:cstheme="minorEastAsia" w:hint="eastAsia"/>
                <w:b w:val="0"/>
                <w:bCs w:val="0"/>
                <w:sz w:val="21"/>
                <w:szCs w:val="21"/>
              </w:rPr>
              <w:t>供应商诚信查询结果。</w:t>
            </w:r>
          </w:p>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asciiTheme="minorEastAsia" w:eastAsiaTheme="minorEastAsia" w:hAnsiTheme="minorEastAsia" w:cstheme="minorEastAsia" w:hint="eastAsia"/>
                <w:b w:val="0"/>
                <w:bCs w:val="0"/>
                <w:sz w:val="21"/>
                <w:szCs w:val="21"/>
                <w:lang w:val="en-US" w:eastAsia="zh-CN"/>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tbl>
    <w:p>
      <w:pPr>
        <w:sectPr>
          <w:pgSz w:w="11907" w:h="16840"/>
          <w:pgMar w:top="1440" w:right="1418" w:bottom="1440" w:left="1418" w:header="851" w:footer="992" w:gutter="0"/>
          <w:pgBorders>
            <w:top w:val="nil"/>
            <w:left w:val="nil"/>
            <w:bottom w:val="nil"/>
            <w:right w:val="nil"/>
          </w:pgBorders>
          <w:cols w:num="1" w:space="425"/>
          <w:titlePg/>
          <w:docGrid w:linePitch="462" w:charSpace="0"/>
        </w:sectPr>
      </w:pPr>
      <w:bookmarkEnd w:id="3"/>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p>
      <w:pPr>
        <w:widowControl/>
        <w:jc w:val="center"/>
      </w:pPr>
      <w:bookmarkEnd w:id="4"/>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sz w:val="28"/>
          <w:szCs w:val="36"/>
        </w:rPr>
      </w:pPr>
      <w:bookmarkStart w:id="5" w:name="_Hlk72218009"/>
      <w:r>
        <w:rPr>
          <w:rFonts w:ascii="黑体" w:eastAsia="黑体" w:hAnsi="黑体" w:cs="黑体" w:hint="eastAsia"/>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840" w:firstLineChars="400"/>
        <w:rPr>
          <w:sz w:val="24"/>
        </w:rPr>
      </w:pPr>
      <w:r>
        <w:rPr>
          <w:rFonts w:hint="eastAsia"/>
          <w:sz w:val="24"/>
        </w:rPr>
        <w:t>关键信息</w:t>
      </w:r>
    </w:p>
    <w:p>
      <w:pPr>
        <w:ind w:left="630" w:firstLine="630" w:leftChars="300" w:firstLineChars="300"/>
        <w:rPr>
          <w:rFonts w:ascii="宋体" w:hAnsi="宋体"/>
          <w:szCs w:val="21"/>
        </w:rPr>
      </w:pPr>
      <w:r>
        <w:rPr>
          <w:rFonts w:ascii="宋体" w:hAnsi="宋体" w:hint="eastAsia"/>
          <w:szCs w:val="21"/>
        </w:rPr>
        <w:t>第一章  招标公告</w:t>
      </w:r>
    </w:p>
    <w:p>
      <w:pPr>
        <w:ind w:left="630" w:firstLine="630" w:leftChars="300" w:firstLineChars="300"/>
        <w:rPr>
          <w:rFonts w:ascii="宋体" w:hAnsi="宋体"/>
          <w:szCs w:val="21"/>
        </w:rPr>
      </w:pPr>
      <w:r>
        <w:rPr>
          <w:rFonts w:ascii="宋体" w:hAnsi="宋体" w:hint="eastAsia"/>
          <w:szCs w:val="21"/>
        </w:rPr>
        <w:t xml:space="preserve">第二章  </w:t>
      </w:r>
      <w:bookmarkStart w:id="6" w:name="_Hlk71994379"/>
      <w:r>
        <w:rPr>
          <w:rFonts w:ascii="宋体" w:hAnsi="宋体" w:hint="eastAsia"/>
          <w:szCs w:val="21"/>
        </w:rPr>
        <w:t>对通用条款的补充内容及其他关键信息</w:t>
      </w:r>
      <w:bookmarkEnd w:id="6"/>
    </w:p>
    <w:p>
      <w:pPr>
        <w:ind w:left="630" w:firstLine="630" w:leftChars="300" w:firstLineChars="30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pPr>
        <w:ind w:left="630" w:firstLine="630" w:leftChars="300" w:firstLineChars="30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pPr>
        <w:ind w:left="630" w:firstLine="630" w:leftChars="300" w:firstLineChars="300"/>
        <w:rPr>
          <w:rFonts w:ascii="宋体" w:hAnsi="宋体"/>
          <w:szCs w:val="21"/>
        </w:rPr>
      </w:pPr>
      <w:r>
        <w:rPr>
          <w:rFonts w:ascii="宋体" w:hAnsi="宋体" w:hint="eastAsia"/>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firstLine="1050" w:firstLineChars="500"/>
        <w:rPr>
          <w:rFonts w:hint="eastAsia"/>
        </w:rPr>
      </w:pPr>
      <w:r>
        <w:rPr>
          <w:rFonts w:hint="eastAsia"/>
        </w:rPr>
        <w:t>第十一章  质疑处理</w:t>
      </w:r>
    </w:p>
    <w:p>
      <w:pPr>
        <w:pStyle w:val="BodyText"/>
        <w:rPr>
          <w:rFonts w:hint="eastAsia"/>
        </w:rPr>
      </w:pPr>
    </w:p>
    <w:p>
      <w:pPr>
        <w:pStyle w:val="BodyText2"/>
        <w:rPr>
          <w:rFonts w:hint="eastAsia"/>
        </w:rPr>
      </w:pPr>
    </w:p>
    <w:p>
      <w:pPr>
        <w:pStyle w:val="BodyText2"/>
        <w:rPr>
          <w:rFonts w:hint="eastAsia"/>
        </w:rPr>
      </w:pPr>
    </w:p>
    <w:p>
      <w:pPr>
        <w:pStyle w:val="BodyText"/>
        <w:rPr>
          <w:rFonts w:hint="eastAsia"/>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1"/>
        <w:rPr>
          <w:color w:val="FF0000"/>
          <w:sz w:val="24"/>
        </w:rPr>
      </w:pPr>
      <w:bookmarkEnd w:id="5"/>
      <w:bookmarkStart w:id="7" w:name="bt其他资料2"/>
      <w:bookmarkEnd w:id="7"/>
      <w:bookmarkStart w:id="8" w:name="bt投标文件签署授权委托书"/>
      <w:bookmarkEnd w:id="8"/>
      <w:bookmarkStart w:id="9" w:name="bt合同条款"/>
      <w:bookmarkEnd w:id="9"/>
      <w:bookmarkStart w:id="10" w:name="bt项目管理班子配备情况"/>
      <w:bookmarkEnd w:id="10"/>
      <w:bookmarkStart w:id="11" w:name="bt本工程承诺书"/>
      <w:bookmarkEnd w:id="11"/>
      <w:bookmarkStart w:id="12" w:name="bt投标人情况介绍"/>
      <w:bookmarkEnd w:id="12"/>
      <w:bookmarkStart w:id="13" w:name="bt投标人须知"/>
      <w:bookmarkEnd w:id="13"/>
      <w:bookmarkStart w:id="14" w:name="bt合同格式"/>
      <w:bookmarkEnd w:id="14"/>
      <w:bookmarkStart w:id="15" w:name="bt开标一览表"/>
      <w:bookmarkEnd w:id="15"/>
      <w:bookmarkStart w:id="16" w:name="bt合同条款及格式"/>
      <w:bookmarkEnd w:id="16"/>
      <w:bookmarkStart w:id="17" w:name="bt说明"/>
      <w:bookmarkEnd w:id="17"/>
      <w:bookmarkStart w:id="18" w:name="bt技术标投标文件格式"/>
      <w:bookmarkEnd w:id="18"/>
      <w:bookmarkStart w:id="19" w:name="合同格式"/>
      <w:bookmarkEnd w:id="19"/>
      <w:bookmarkStart w:id="20" w:name="bt投标报价汇总表"/>
      <w:bookmarkEnd w:id="20"/>
      <w:bookmarkStart w:id="21" w:name="bt投标函"/>
      <w:bookmarkEnd w:id="21"/>
      <w:bookmarkStart w:id="22" w:name="bt商务标投标文件格式"/>
      <w:bookmarkEnd w:id="22"/>
      <w:bookmarkStart w:id="23" w:name="bt其他资料由投标人自定"/>
      <w:bookmarkEnd w:id="23"/>
      <w:r>
        <w:rPr>
          <w:rFonts w:hint="eastAsia"/>
        </w:rPr>
        <w:t>第一册  专用条款</w:t>
      </w:r>
    </w:p>
    <w:p>
      <w:pPr>
        <w:pStyle w:val="Heading2"/>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ascii="宋体" w:hAnsi="宋体" w:cs="宋体" w:hint="eastAsia"/>
          <w:b/>
          <w:bCs/>
          <w:kern w:val="0"/>
          <w:szCs w:val="21"/>
        </w:rPr>
        <w:t>申请人的资格要求：</w:t>
      </w:r>
    </w:p>
    <w:p>
      <w:pPr>
        <w:ind w:firstLine="420" w:firstLineChars="200"/>
        <w:rPr>
          <w:rFonts w:ascii="宋体" w:eastAsia="宋体" w:hAnsi="宋体" w:cs="宋体" w:hint="eastAsia"/>
          <w:kern w:val="0"/>
          <w:szCs w:val="21"/>
          <w:lang w:eastAsia="zh-CN"/>
        </w:rPr>
      </w:pPr>
      <w:r>
        <w:rPr>
          <w:rFonts w:ascii="宋体" w:hAnsi="宋体" w:cs="宋体" w:hint="eastAsia"/>
          <w:kern w:val="0"/>
          <w:szCs w:val="21"/>
        </w:rPr>
        <w:t>1</w:t>
      </w:r>
      <w:r>
        <w:rPr>
          <w:rFonts w:ascii="宋体" w:hAnsi="宋体" w:cs="宋体"/>
          <w:kern w:val="0"/>
          <w:szCs w:val="21"/>
        </w:rPr>
        <w:t>.</w:t>
      </w:r>
      <w:bookmarkStart w:id="24" w:name="_Hlk72162904"/>
      <w:r>
        <w:rPr>
          <w:rFonts w:ascii="宋体" w:hAnsi="宋体" w:cs="宋体" w:hint="eastAsia"/>
          <w:kern w:val="0"/>
          <w:szCs w:val="21"/>
        </w:rPr>
        <w:t>具有独立承担民事责任的能力（提供营业执照或事业单位法人证书等证明资料扫描件，原件备查）</w:t>
      </w:r>
      <w:bookmarkEnd w:id="24"/>
      <w:r>
        <w:rPr>
          <w:rFonts w:hint="eastAsia"/>
          <w:lang w:eastAsia="zh-CN"/>
        </w:rPr>
        <w:t>；</w:t>
      </w:r>
    </w:p>
    <w:p>
      <w:pPr>
        <w:ind w:firstLine="420" w:firstLineChars="200"/>
        <w:rPr>
          <w:rFonts w:ascii="宋体" w:eastAsia="宋体" w:hAnsi="宋体" w:cs="宋体" w:hint="default"/>
          <w:kern w:val="0"/>
          <w:szCs w:val="21"/>
          <w:lang w:val="en-US" w:eastAsia="zh-CN"/>
        </w:rPr>
      </w:pPr>
      <w:r>
        <w:rPr>
          <w:rFonts w:ascii="宋体" w:hAnsi="宋体" w:cs="宋体" w:hint="eastAsia"/>
          <w:color w:val="FF0000"/>
          <w:kern w:val="0"/>
          <w:szCs w:val="21"/>
        </w:rPr>
        <w:t>2.本项目不接受联合体投标</w:t>
      </w:r>
      <w:r>
        <w:rPr>
          <w:rFonts w:ascii="宋体" w:hAnsi="宋体" w:cs="宋体" w:hint="eastAsia"/>
          <w:color w:val="FF0000"/>
          <w:kern w:val="0"/>
          <w:szCs w:val="21"/>
          <w:lang w:val="en-US" w:eastAsia="zh-CN"/>
        </w:rPr>
        <w:t>，</w:t>
      </w:r>
      <w:r>
        <w:rPr>
          <w:rFonts w:ascii="宋体" w:hAnsi="宋体" w:cs="宋体" w:hint="eastAsia"/>
          <w:color w:val="FF0000"/>
          <w:kern w:val="0"/>
          <w:szCs w:val="21"/>
        </w:rPr>
        <w:t>不接受投标人选用进口产品参与投标，详见招标文件</w:t>
      </w:r>
      <w:r>
        <w:rPr>
          <w:rFonts w:ascii="宋体" w:hAnsi="宋体" w:cs="宋体" w:hint="eastAsia"/>
          <w:color w:val="FF0000"/>
          <w:kern w:val="0"/>
          <w:szCs w:val="21"/>
          <w:lang w:eastAsia="zh-CN"/>
        </w:rPr>
        <w:t>“</w:t>
      </w:r>
      <w:r>
        <w:rPr>
          <w:rFonts w:ascii="宋体" w:hAnsi="宋体" w:cs="宋体" w:hint="eastAsia"/>
          <w:color w:val="FF0000"/>
          <w:kern w:val="0"/>
          <w:szCs w:val="21"/>
          <w:lang w:val="en-US" w:eastAsia="zh-CN"/>
        </w:rPr>
        <w:t>第三章 用户需求书</w:t>
      </w:r>
      <w:r>
        <w:rPr>
          <w:rFonts w:ascii="宋体" w:hAnsi="宋体" w:cs="宋体" w:hint="eastAsia"/>
          <w:color w:val="FF0000"/>
          <w:kern w:val="0"/>
          <w:szCs w:val="21"/>
        </w:rPr>
        <w:t>”；</w:t>
      </w:r>
      <w:r>
        <w:rPr>
          <w:rFonts w:ascii="宋体" w:hAnsi="宋体" w:cs="宋体" w:hint="eastAsia"/>
          <w:color w:val="FF0000"/>
          <w:kern w:val="0"/>
          <w:szCs w:val="21"/>
          <w:lang w:val="en-US" w:eastAsia="zh-CN"/>
        </w:rPr>
        <w:t>不接受分包；</w:t>
      </w:r>
    </w:p>
    <w:p>
      <w:pPr>
        <w:ind w:firstLine="420" w:firstLineChars="20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kern w:val="0"/>
          <w:szCs w:val="21"/>
        </w:rPr>
      </w:pPr>
      <w:r>
        <w:rPr>
          <w:rFonts w:ascii="宋体" w:hAnsi="宋体" w:cs="宋体" w:hint="eastAsia"/>
          <w:kern w:val="0"/>
          <w:szCs w:val="21"/>
          <w:lang w:val="en-US" w:eastAsia="zh-CN"/>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具备《中华人民共和国政府采购法》第二十二条第一款的条件（由供应商在《政府采购投标及履约承诺函》中作出声明）；</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未被列入失信被执行人、重大税收违法案件当事人名单、政府采购严重违法失信行为记录名单（由供应商在《政府采购投标及履约承诺函》中作出声明）</w:t>
      </w:r>
      <w:r>
        <w:rPr>
          <w:rFonts w:ascii="宋体" w:hAnsi="宋体" w:cs="宋体" w:hint="eastAsia"/>
          <w:kern w:val="0"/>
          <w:szCs w:val="21"/>
          <w:lang w:val="en-US" w:eastAsia="zh-CN"/>
        </w:rPr>
        <w:t>；</w:t>
      </w:r>
    </w:p>
    <w:p>
      <w:pPr>
        <w:ind w:firstLine="420" w:firstLineChars="200"/>
        <w:rPr>
          <w:rFonts w:ascii="宋体" w:hAnsi="宋体" w:cs="宋体" w:hint="default"/>
          <w:color w:val="FF0000"/>
          <w:kern w:val="0"/>
          <w:szCs w:val="21"/>
          <w:lang w:val="en-US" w:eastAsia="zh-CN"/>
        </w:rPr>
      </w:pPr>
      <w:r>
        <w:rPr>
          <w:rFonts w:ascii="宋体" w:hAnsi="宋体" w:cs="宋体" w:hint="eastAsia"/>
          <w:color w:val="FF0000"/>
          <w:kern w:val="0"/>
          <w:szCs w:val="21"/>
          <w:lang w:val="en-US" w:eastAsia="zh-CN"/>
        </w:rPr>
        <w:t>6.不存在《深圳市财政局政府采购供应商信用信息管理办法》（深财规〔2023〕3号）列明的严重违法失信行为</w:t>
      </w:r>
      <w:r>
        <w:rPr>
          <w:rFonts w:ascii="宋体" w:hAnsi="宋体" w:cs="宋体" w:hint="eastAsia"/>
          <w:color w:val="FF0000"/>
          <w:kern w:val="0"/>
          <w:szCs w:val="21"/>
        </w:rPr>
        <w:t>（由供应商在《政府采购投标及履约承诺函》中作出声明）</w:t>
      </w:r>
      <w:r>
        <w:rPr>
          <w:rFonts w:ascii="宋体" w:hAnsi="宋体" w:cs="宋体" w:hint="eastAsia"/>
          <w:color w:val="FF0000"/>
          <w:kern w:val="0"/>
          <w:szCs w:val="21"/>
          <w:lang w:val="en-US" w:eastAsia="zh-CN"/>
        </w:rPr>
        <w:t>；</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7</w:t>
      </w:r>
      <w:r>
        <w:rPr>
          <w:rFonts w:ascii="宋体" w:hAnsi="宋体" w:cs="宋体" w:hint="eastAsia"/>
          <w:kern w:val="0"/>
          <w:szCs w:val="21"/>
        </w:rPr>
        <w:t>.为采购项目提供整体设计、规范编制或者项目管理、监理、检测等服务的供应商，不得再参加该采购项目的其他采购活动（由供应商在《政府采购投标及履约承诺函》中作出声明）</w:t>
      </w:r>
      <w:r>
        <w:rPr>
          <w:rFonts w:ascii="宋体" w:hAnsi="宋体" w:cs="宋体" w:hint="eastAsia"/>
          <w:kern w:val="0"/>
          <w:szCs w:val="21"/>
          <w:lang w:val="en-US" w:eastAsia="zh-CN"/>
        </w:rPr>
        <w:t>；</w:t>
      </w:r>
    </w:p>
    <w:p>
      <w:pPr>
        <w:pStyle w:val="NoSpacing"/>
        <w:ind w:firstLine="420" w:firstLineChars="200"/>
        <w:rPr>
          <w:rFonts w:ascii="宋体" w:eastAsia="宋体" w:hAnsi="宋体" w:cs="宋体" w:hint="default"/>
          <w:color w:val="FF0000"/>
          <w:kern w:val="0"/>
          <w:sz w:val="21"/>
          <w:szCs w:val="21"/>
          <w:lang w:val="en-US" w:eastAsia="zh-CN" w:bidi="ar-SA"/>
        </w:rPr>
      </w:pPr>
      <w:r>
        <w:rPr>
          <w:rFonts w:ascii="宋体" w:eastAsia="宋体" w:hAnsi="宋体" w:cs="宋体" w:hint="eastAsia"/>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ascii="宋体" w:eastAsia="宋体" w:hAnsi="宋体" w:cs="宋体" w:hint="eastAsia"/>
          <w:kern w:val="0"/>
          <w:szCs w:val="21"/>
          <w:lang w:eastAsia="zh-CN"/>
        </w:rPr>
      </w:pPr>
      <w:r>
        <w:rPr>
          <w:rFonts w:ascii="宋体" w:hAnsi="宋体" w:cs="宋体" w:hint="eastAsia"/>
          <w:kern w:val="0"/>
          <w:szCs w:val="21"/>
          <w:lang w:val="en-US" w:eastAsia="zh-CN"/>
        </w:rPr>
        <w:t>9</w:t>
      </w:r>
      <w:r>
        <w:rPr>
          <w:rFonts w:ascii="宋体" w:hAnsi="宋体" w:cs="宋体" w:hint="eastAsia"/>
          <w:kern w:val="0"/>
          <w:szCs w:val="21"/>
        </w:rPr>
        <w:t>.本项目</w:t>
      </w:r>
      <w:r>
        <w:rPr>
          <w:rFonts w:ascii="宋体" w:hAnsi="宋体" w:cs="宋体" w:hint="eastAsia"/>
          <w:kern w:val="0"/>
          <w:szCs w:val="21"/>
          <w:lang w:val="en-US" w:eastAsia="zh-CN"/>
        </w:rPr>
        <w:t>全部</w:t>
      </w:r>
      <w:r>
        <w:rPr>
          <w:rFonts w:ascii="宋体" w:hAnsi="宋体" w:cs="宋体" w:hint="eastAsia"/>
          <w:kern w:val="0"/>
          <w:szCs w:val="21"/>
        </w:rPr>
        <w:t>专门面向中小企业采购：</w:t>
      </w:r>
      <w:r>
        <w:rPr>
          <w:rFonts w:ascii="Times New Roman" w:hAnsi="Times New Roman" w:cs="Times New Roman" w:hint="default"/>
          <w:kern w:val="2"/>
          <w:szCs w:val="24"/>
          <w:lang w:val="en-US" w:eastAsia="zh-CN"/>
        </w:rPr>
        <w:t>是，</w:t>
      </w:r>
      <w:r>
        <w:rPr>
          <w:rFonts w:ascii="Times New Roman" w:hAnsi="Times New Roman" w:cs="Times New Roman" w:hint="default"/>
          <w:kern w:val="2"/>
          <w:szCs w:val="24"/>
        </w:rPr>
        <w:t>供应商提供的货物全部由符合政策要求的中小微企业、残疾人福利性</w:t>
      </w:r>
      <w:r>
        <w:rPr>
          <w:rFonts w:ascii="Times New Roman" w:hAnsi="Times New Roman" w:cs="Times New Roman" w:hint="default"/>
          <w:kern w:val="2"/>
          <w:szCs w:val="24"/>
          <w:lang w:val="en-US" w:eastAsia="zh-CN"/>
        </w:rPr>
        <w:t>单位或</w:t>
      </w:r>
      <w:r>
        <w:rPr>
          <w:rFonts w:ascii="Times New Roman" w:hAnsi="Times New Roman" w:cs="Times New Roman" w:hint="default"/>
          <w:kern w:val="2"/>
          <w:szCs w:val="24"/>
        </w:rPr>
        <w:t>监狱企业制造（由供应商在《中小企业声明函、残疾人福利性单位声明函及监狱企业声明函》中作出声明</w:t>
      </w:r>
      <w:r>
        <w:rPr>
          <w:rFonts w:ascii="Times New Roman" w:hAnsi="Times New Roman" w:cs="Times New Roman" w:hint="default"/>
          <w:kern w:val="2"/>
          <w:szCs w:val="24"/>
          <w:lang w:eastAsia="zh-CN"/>
        </w:rPr>
        <w:t>；</w:t>
      </w:r>
      <w:r>
        <w:rPr>
          <w:rFonts w:ascii="Times New Roman" w:hAnsi="Times New Roman" w:cs="Times New Roman" w:hint="default"/>
          <w:kern w:val="2"/>
          <w:szCs w:val="24"/>
          <w:lang w:val="en-US" w:eastAsia="zh-CN"/>
        </w:rPr>
        <w:t>未提供声明函或声明函不符合政策要求的，按资格审查不通过处理</w:t>
      </w:r>
      <w:r>
        <w:rPr>
          <w:rFonts w:ascii="Times New Roman" w:hAnsi="Times New Roman" w:cs="Times New Roman" w:hint="default"/>
          <w:kern w:val="2"/>
          <w:szCs w:val="24"/>
        </w:rPr>
        <w:t>）</w:t>
      </w:r>
      <w:r>
        <w:rPr>
          <w:rFonts w:ascii="Times New Roman" w:hAnsi="Times New Roman" w:cs="Times New Roman" w:hint="default"/>
          <w:kern w:val="2"/>
          <w:szCs w:val="24"/>
          <w:lang w:eastAsia="zh-CN"/>
        </w:rPr>
        <w:t>；</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eastAsia="宋体" w:hint="eastAsia"/>
          <w:lang w:val="en-US" w:eastAsia="zh-CN"/>
        </w:rPr>
      </w:pPr>
      <w:r>
        <w:rPr>
          <w:rFonts w:ascii="宋体" w:hAnsi="宋体" w:cs="宋体" w:hint="eastAsia"/>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hAnsi="宋体" w:cs="宋体" w:hint="eastAsia"/>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ascii="宋体" w:hAnsi="宋体" w:cs="宋体" w:hint="eastAsia"/>
          <w:kern w:val="0"/>
          <w:szCs w:val="21"/>
        </w:rPr>
        <w:t>注：（1）“信用中国”（www.creditchina.gov.cn</w:t>
      </w:r>
      <w:r>
        <w:rPr>
          <w:rFonts w:ascii="宋体" w:hAnsi="宋体" w:cs="宋体" w:hint="eastAsia"/>
          <w:kern w:val="0"/>
          <w:szCs w:val="21"/>
          <w:lang w:eastAsia="zh-CN"/>
        </w:rPr>
        <w:t>，</w:t>
      </w:r>
      <w:r>
        <w:rPr>
          <w:rFonts w:ascii="宋体" w:hAnsi="宋体" w:cs="宋体" w:hint="eastAsia"/>
          <w:kern w:val="0"/>
          <w:szCs w:val="21"/>
          <w:lang w:val="en-US" w:eastAsia="zh-CN"/>
        </w:rPr>
        <w:t>查询</w:t>
      </w:r>
      <w:r>
        <w:rPr>
          <w:rFonts w:ascii="宋体" w:hAnsi="宋体" w:cs="宋体" w:hint="eastAsia"/>
          <w:kern w:val="0"/>
          <w:szCs w:val="21"/>
        </w:rPr>
        <w:t>“信用服务”栏的“重大税收违法失信主体”“失信被执行人”</w:t>
      </w:r>
      <w:r>
        <w:rPr>
          <w:rFonts w:ascii="宋体" w:hAnsi="宋体" w:cs="宋体" w:hint="eastAsia"/>
          <w:kern w:val="0"/>
          <w:szCs w:val="21"/>
          <w:lang w:val="en-US" w:eastAsia="zh-CN"/>
        </w:rPr>
        <w:t>或者下载信用信息报告）</w:t>
      </w:r>
      <w:r>
        <w:rPr>
          <w:rFonts w:ascii="宋体" w:hAnsi="宋体" w:cs="宋体" w:hint="eastAsia"/>
          <w:kern w:val="0"/>
          <w:szCs w:val="21"/>
        </w:rPr>
        <w:t>，“中国政府采购网”（www.ccgp.gov.cn）中的“政府采购严重违法失信行为记录名单”，“深圳市政府采购监管网”（http://zfcg.sz.gov.cn）以及</w:t>
      </w:r>
      <w:r>
        <w:rPr>
          <w:rFonts w:ascii="宋体" w:hAnsi="宋体" w:cs="宋体" w:hint="eastAsia"/>
          <w:kern w:val="0"/>
          <w:szCs w:val="21"/>
          <w:lang w:eastAsia="zh-CN"/>
        </w:rPr>
        <w:t>“</w:t>
      </w:r>
      <w:r>
        <w:rPr>
          <w:rFonts w:ascii="宋体" w:hAnsi="宋体" w:cs="宋体" w:hint="eastAsia"/>
          <w:kern w:val="0"/>
          <w:szCs w:val="21"/>
        </w:rPr>
        <w:t>深圳政府采购智慧平台信用库</w:t>
      </w:r>
      <w:r>
        <w:rPr>
          <w:rFonts w:ascii="宋体" w:hAnsi="宋体" w:cs="宋体" w:hint="eastAsia"/>
          <w:kern w:val="0"/>
          <w:szCs w:val="21"/>
          <w:lang w:eastAsia="zh-CN"/>
        </w:rPr>
        <w:t>”</w:t>
      </w:r>
      <w:r>
        <w:rPr>
          <w:rFonts w:ascii="宋体" w:hAnsi="宋体" w:cs="宋体" w:hint="eastAsia"/>
          <w:kern w:val="0"/>
          <w:szCs w:val="21"/>
          <w:lang w:val="en-US" w:eastAsia="zh-CN"/>
        </w:rPr>
        <w:t>中“严重违法失信信息”</w:t>
      </w:r>
      <w:r>
        <w:rPr>
          <w:rFonts w:ascii="宋体" w:hAnsi="宋体" w:cs="宋体" w:hint="eastAsia"/>
          <w:kern w:val="0"/>
          <w:szCs w:val="21"/>
        </w:rPr>
        <w:t>为供应商信用信息的查询渠道，相关信息以开标当日的查询结果为准；</w:t>
      </w:r>
    </w:p>
    <w:p>
      <w:pPr>
        <w:ind w:firstLine="420" w:firstLineChars="200"/>
        <w:rPr>
          <w:rFonts w:ascii="宋体" w:hAnsi="宋体"/>
        </w:rPr>
      </w:pPr>
      <w:r>
        <w:rPr>
          <w:rFonts w:ascii="宋体" w:hAnsi="宋体" w:hint="eastAsia"/>
        </w:rPr>
        <w:t>（2）供应商投标（上传投标文件）必须先行办理注册手续，具体请按照本公告“六、其他补充事宜</w:t>
      </w:r>
      <w:r>
        <w:rPr>
          <w:rFonts w:ascii="宋体" w:hAnsi="宋体"/>
        </w:rPr>
        <w:t>”</w:t>
      </w:r>
      <w:r>
        <w:rPr>
          <w:rFonts w:ascii="宋体" w:hAnsi="宋体" w:hint="eastAsia"/>
        </w:rPr>
        <w:t>相关内容指引办理。</w:t>
      </w:r>
    </w:p>
    <w:p>
      <w:pPr>
        <w:ind w:firstLine="420" w:firstLineChars="200"/>
        <w:rPr>
          <w:rFonts w:ascii="宋体" w:hAnsi="宋体"/>
        </w:rPr>
      </w:pPr>
    </w:p>
    <w:p>
      <w:pPr>
        <w:ind w:firstLine="420"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pPr>
        <w:ind w:firstLine="420" w:firstLineChars="200"/>
        <w:rPr>
          <w:b/>
        </w:rPr>
      </w:pPr>
    </w:p>
    <w:p>
      <w:pPr>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Heading2"/>
        <w:spacing w:before="120" w:beforeLines="50" w:after="120" w:afterLines="50"/>
        <w:rPr>
          <w:szCs w:val="24"/>
        </w:rPr>
      </w:pPr>
      <w:bookmarkStart w:id="26" w:name="_Toc73521547"/>
      <w:bookmarkStart w:id="27" w:name="_Toc60631620"/>
      <w:bookmarkStart w:id="28" w:name="_Toc73521635"/>
      <w:bookmarkStart w:id="29" w:name="_Toc73517639"/>
      <w:bookmarkStart w:id="30" w:name="_Toc73518117"/>
      <w:bookmarkStart w:id="31" w:name="_Toc101074876"/>
      <w:bookmarkStart w:id="32" w:name="_Toc100052364"/>
      <w:bookmarkStart w:id="33" w:name="_Toc60560625"/>
      <w:r>
        <w:rPr>
          <w:rFonts w:hint="eastAsia"/>
          <w:szCs w:val="24"/>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8"/>
        <w:gridCol w:w="2409"/>
        <w:gridCol w:w="498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b/>
                <w:bCs/>
              </w:rPr>
            </w:pPr>
            <w:bookmarkEnd w:id="26"/>
            <w:bookmarkEnd w:id="27"/>
            <w:bookmarkEnd w:id="28"/>
            <w:bookmarkEnd w:id="29"/>
            <w:bookmarkEnd w:id="30"/>
            <w:bookmarkEnd w:id="31"/>
            <w:bookmarkEnd w:id="32"/>
            <w:bookmarkEnd w:id="33"/>
            <w:bookmarkStart w:id="34" w:name="_Hlk72218097"/>
            <w:r>
              <w:rPr>
                <w:rFonts w:ascii="宋体" w:hAnsi="宋体" w:hint="eastAsia"/>
                <w:b/>
                <w:bCs/>
              </w:rPr>
              <w:t>通用条款序号</w:t>
            </w:r>
          </w:p>
        </w:tc>
        <w:tc>
          <w:tcPr>
            <w:tcW w:w="2409" w:type="dxa"/>
            <w:vAlign w:val="center"/>
          </w:tcPr>
          <w:p>
            <w:pPr>
              <w:jc w:val="center"/>
              <w:rPr>
                <w:rFonts w:ascii="宋体" w:hAnsi="宋体"/>
                <w:b/>
                <w:bCs/>
              </w:rPr>
            </w:pPr>
            <w:r>
              <w:rPr>
                <w:rFonts w:ascii="宋体" w:hAnsi="宋体" w:hint="eastAsia"/>
                <w:b/>
                <w:bCs/>
              </w:rPr>
              <w:t>涉及事项</w:t>
            </w:r>
          </w:p>
        </w:tc>
        <w:tc>
          <w:tcPr>
            <w:tcW w:w="4980" w:type="dxa"/>
            <w:vAlign w:val="center"/>
          </w:tcPr>
          <w:p>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ascii="宋体" w:hAnsi="宋体" w:hint="eastAsia"/>
                <w:lang w:val="en-US" w:eastAsia="zh-CN"/>
              </w:rPr>
              <w:t>深圳市大鹏新区南澳人民医院</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.2</w:t>
            </w:r>
          </w:p>
        </w:tc>
        <w:tc>
          <w:tcPr>
            <w:tcW w:w="2409" w:type="dxa"/>
            <w:vAlign w:val="center"/>
          </w:tcPr>
          <w:p>
            <w:pPr>
              <w:jc w:val="center"/>
              <w:rPr>
                <w:rFonts w:ascii="宋体" w:hAnsi="宋体"/>
              </w:rPr>
            </w:pPr>
            <w:r>
              <w:rPr>
                <w:rFonts w:ascii="宋体" w:hAnsi="宋体" w:hint="eastAsia"/>
              </w:rPr>
              <w:t>政府集中采购机构</w:t>
            </w:r>
          </w:p>
        </w:tc>
        <w:tc>
          <w:tcPr>
            <w:tcW w:w="4980" w:type="dxa"/>
            <w:vAlign w:val="center"/>
          </w:tcPr>
          <w:p>
            <w:pPr>
              <w:jc w:val="center"/>
              <w:rPr>
                <w:rFonts w:ascii="宋体" w:eastAsia="宋体" w:hAnsi="宋体" w:hint="eastAsia"/>
              </w:rPr>
            </w:pPr>
            <w:r>
              <w:rPr>
                <w:rFonts w:ascii="宋体" w:eastAsia="宋体" w:hAnsi="宋体" w:hint="eastAsia"/>
              </w:rPr>
              <w:t>深圳公共资源交易中心</w:t>
            </w:r>
          </w:p>
          <w:p>
            <w:pPr>
              <w:jc w:val="center"/>
              <w:rPr>
                <w:rFonts w:ascii="宋体" w:hAnsi="宋体"/>
              </w:rPr>
            </w:pPr>
            <w:r>
              <w:rPr>
                <w:rFonts w:ascii="宋体" w:eastAsia="宋体" w:hAnsi="宋体" w:hint="eastAsia"/>
              </w:rPr>
              <w:t>（深圳交易集团有限公司</w:t>
            </w:r>
            <w:r>
              <w:rPr>
                <w:rFonts w:ascii="宋体" w:hAnsi="宋体" w:cs="宋体" w:hint="eastAsia"/>
                <w:kern w:val="0"/>
                <w:lang w:val="en-US" w:eastAsia="zh-CN"/>
              </w:rPr>
              <w:t>大鹏分公司</w:t>
            </w:r>
            <w:r>
              <w:rPr>
                <w:rFonts w:ascii="宋体" w:eastAsia="宋体" w:hAnsi="宋体" w:hint="eastAsia"/>
              </w:rPr>
              <w:t>）</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9</w:t>
            </w:r>
          </w:p>
        </w:tc>
        <w:tc>
          <w:tcPr>
            <w:tcW w:w="2409" w:type="dxa"/>
            <w:vAlign w:val="center"/>
          </w:tcPr>
          <w:p>
            <w:pPr>
              <w:jc w:val="center"/>
              <w:rPr>
                <w:rFonts w:ascii="宋体" w:hAnsi="宋体"/>
              </w:rPr>
            </w:pPr>
            <w:r>
              <w:rPr>
                <w:rFonts w:ascii="宋体" w:hAnsi="宋体" w:hint="eastAsia"/>
              </w:rPr>
              <w:t>踏勘现场</w:t>
            </w:r>
          </w:p>
        </w:tc>
        <w:tc>
          <w:tcPr>
            <w:tcW w:w="4980" w:type="dxa"/>
            <w:vAlign w:val="center"/>
          </w:tcPr>
          <w:p>
            <w:pPr>
              <w:jc w:val="center"/>
              <w:rPr>
                <w:rFonts w:ascii="宋体" w:hAnsi="宋体"/>
              </w:rPr>
            </w:pPr>
            <w:r>
              <w:rPr>
                <w:rFonts w:ascii="宋体" w:eastAsia="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0</w:t>
            </w:r>
          </w:p>
        </w:tc>
        <w:tc>
          <w:tcPr>
            <w:tcW w:w="2409" w:type="dxa"/>
            <w:vAlign w:val="center"/>
          </w:tcPr>
          <w:p>
            <w:pPr>
              <w:jc w:val="center"/>
              <w:rPr>
                <w:rFonts w:ascii="宋体" w:hAnsi="宋体"/>
              </w:rPr>
            </w:pPr>
            <w:r>
              <w:rPr>
                <w:rFonts w:ascii="宋体" w:hAnsi="宋体" w:hint="eastAsia"/>
              </w:rPr>
              <w:t>标前会议</w:t>
            </w:r>
          </w:p>
        </w:tc>
        <w:tc>
          <w:tcPr>
            <w:tcW w:w="4980" w:type="dxa"/>
            <w:vAlign w:val="center"/>
          </w:tcPr>
          <w:p>
            <w:pPr>
              <w:jc w:val="center"/>
              <w:rPr>
                <w:rFonts w:ascii="宋体" w:hAnsi="宋体"/>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pPr>
              <w:jc w:val="center"/>
              <w:rPr>
                <w:rFonts w:ascii="宋体" w:hAnsi="宋体"/>
              </w:rPr>
            </w:pPr>
            <w:r>
              <w:rPr>
                <w:rFonts w:ascii="宋体" w:hAnsi="宋体" w:hint="eastAsia"/>
              </w:rPr>
              <w:t>招标文件的澄清和修改</w:t>
            </w:r>
          </w:p>
        </w:tc>
        <w:tc>
          <w:tcPr>
            <w:tcW w:w="4980" w:type="dxa"/>
            <w:vAlign w:val="center"/>
          </w:tcPr>
          <w:p>
            <w:pPr>
              <w:jc w:val="center"/>
              <w:rPr>
                <w:rFonts w:ascii="宋体" w:hAnsi="宋体"/>
              </w:rPr>
            </w:pPr>
            <w:r>
              <w:rPr>
                <w:rFonts w:ascii="宋体" w:hAnsi="宋体" w:hint="eastAsia"/>
              </w:rPr>
              <w:t>不晚于投标截止日三日前，投标人有义务在招标期间在政府集中采购机构网站浏览与本项目有关的澄清和修改信息</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0</w:t>
            </w:r>
          </w:p>
        </w:tc>
        <w:tc>
          <w:tcPr>
            <w:tcW w:w="2409" w:type="dxa"/>
            <w:vAlign w:val="center"/>
          </w:tcPr>
          <w:p>
            <w:pPr>
              <w:jc w:val="center"/>
              <w:rPr>
                <w:rFonts w:ascii="宋体" w:hAnsi="宋体"/>
              </w:rPr>
            </w:pPr>
            <w:r>
              <w:rPr>
                <w:rFonts w:ascii="宋体" w:hAnsi="宋体" w:hint="eastAsia"/>
              </w:rPr>
              <w:t>投标有效期</w:t>
            </w:r>
          </w:p>
        </w:tc>
        <w:tc>
          <w:tcPr>
            <w:tcW w:w="4980" w:type="dxa"/>
            <w:vAlign w:val="center"/>
          </w:tcPr>
          <w:p>
            <w:pPr>
              <w:jc w:val="center"/>
              <w:rPr>
                <w:rFonts w:ascii="宋体" w:hAnsi="宋体"/>
              </w:rPr>
            </w:pPr>
            <w:r>
              <w:rPr>
                <w:rFonts w:ascii="宋体" w:hAnsi="宋体" w:hint="eastAsia"/>
              </w:rPr>
              <w:t>120个日历日</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2</w:t>
            </w:r>
          </w:p>
        </w:tc>
        <w:tc>
          <w:tcPr>
            <w:tcW w:w="2409" w:type="dxa"/>
            <w:vAlign w:val="center"/>
          </w:tcPr>
          <w:p>
            <w:pPr>
              <w:jc w:val="center"/>
              <w:rPr>
                <w:rFonts w:ascii="宋体" w:hAnsi="宋体"/>
              </w:rPr>
            </w:pPr>
            <w:r>
              <w:rPr>
                <w:rFonts w:ascii="宋体" w:hAnsi="宋体" w:hint="eastAsia"/>
              </w:rPr>
              <w:t>投标人的替代方案</w:t>
            </w:r>
          </w:p>
        </w:tc>
        <w:tc>
          <w:tcPr>
            <w:tcW w:w="4980" w:type="dxa"/>
            <w:vAlign w:val="center"/>
          </w:tcPr>
          <w:p>
            <w:pPr>
              <w:jc w:val="center"/>
              <w:rPr>
                <w:rFonts w:ascii="宋体" w:hAnsi="宋体"/>
              </w:rPr>
            </w:pPr>
            <w:r>
              <w:rPr>
                <w:rFonts w:ascii="宋体" w:hAnsi="宋体" w:hint="eastAsia"/>
              </w:rPr>
              <w:t>不接受</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5</w:t>
            </w:r>
          </w:p>
        </w:tc>
        <w:tc>
          <w:tcPr>
            <w:tcW w:w="2409" w:type="dxa"/>
            <w:vAlign w:val="center"/>
          </w:tcPr>
          <w:p>
            <w:pPr>
              <w:jc w:val="center"/>
              <w:rPr>
                <w:rFonts w:ascii="宋体" w:hAnsi="宋体"/>
              </w:rPr>
            </w:pPr>
            <w:r>
              <w:rPr>
                <w:rFonts w:ascii="宋体" w:hAnsi="宋体" w:hint="eastAsia"/>
              </w:rPr>
              <w:t>投标文件的大小</w:t>
            </w:r>
          </w:p>
        </w:tc>
        <w:tc>
          <w:tcPr>
            <w:tcW w:w="4980" w:type="dxa"/>
            <w:vAlign w:val="center"/>
          </w:tcPr>
          <w:p>
            <w:pPr>
              <w:jc w:val="center"/>
              <w:rPr>
                <w:rFonts w:ascii="宋体" w:hAnsi="宋体"/>
              </w:rPr>
            </w:pPr>
            <w:r>
              <w:rPr>
                <w:rFonts w:ascii="宋体" w:hAnsi="宋体" w:hint="eastAsia"/>
              </w:rPr>
              <w:t>投标文件大小不得超过100MB</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6</w:t>
            </w:r>
          </w:p>
        </w:tc>
        <w:tc>
          <w:tcPr>
            <w:tcW w:w="2409" w:type="dxa"/>
            <w:vAlign w:val="center"/>
          </w:tcPr>
          <w:p>
            <w:pPr>
              <w:jc w:val="center"/>
              <w:rPr>
                <w:rFonts w:ascii="宋体" w:hAnsi="宋体"/>
              </w:rPr>
            </w:pPr>
            <w:bookmarkStart w:id="35" w:name="_Hlk71664860"/>
            <w:r>
              <w:rPr>
                <w:rFonts w:ascii="宋体" w:hAnsi="宋体" w:hint="eastAsia"/>
              </w:rPr>
              <w:t>样品、现场演示、方案讲解</w:t>
            </w:r>
            <w:bookmarkEnd w:id="35"/>
          </w:p>
        </w:tc>
        <w:tc>
          <w:tcPr>
            <w:tcW w:w="4980" w:type="dxa"/>
            <w:vAlign w:val="center"/>
          </w:tcPr>
          <w:p>
            <w:pPr>
              <w:jc w:val="center"/>
              <w:rPr>
                <w:rFonts w:ascii="宋体" w:hAnsi="宋体"/>
              </w:rPr>
            </w:pPr>
            <w:r>
              <w:rPr>
                <w:rFonts w:ascii="宋体" w:hAnsi="宋体" w:hint="eastAsia"/>
              </w:rPr>
              <w:t>无</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7</w:t>
            </w:r>
          </w:p>
        </w:tc>
        <w:tc>
          <w:tcPr>
            <w:tcW w:w="2409" w:type="dxa"/>
            <w:vAlign w:val="center"/>
          </w:tcPr>
          <w:p>
            <w:pPr>
              <w:jc w:val="center"/>
              <w:rPr>
                <w:rFonts w:ascii="宋体" w:hAnsi="宋体"/>
              </w:rPr>
            </w:pPr>
            <w:r>
              <w:rPr>
                <w:rFonts w:ascii="宋体" w:hAnsi="宋体" w:hint="eastAsia"/>
              </w:rPr>
              <w:t>评审方法</w:t>
            </w:r>
          </w:p>
        </w:tc>
        <w:tc>
          <w:tcPr>
            <w:tcW w:w="4980" w:type="dxa"/>
            <w:vAlign w:val="center"/>
          </w:tcPr>
          <w:p>
            <w:pPr>
              <w:jc w:val="center"/>
              <w:rPr>
                <w:rFonts w:ascii="宋体" w:hAnsi="宋体"/>
              </w:rPr>
            </w:pPr>
            <w:r>
              <w:rPr>
                <w:rFonts w:ascii="宋体" w:hAnsi="宋体" w:hint="eastAsia"/>
              </w:rPr>
              <w:t>综合评分法</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8</w:t>
            </w:r>
          </w:p>
        </w:tc>
        <w:tc>
          <w:tcPr>
            <w:tcW w:w="2409" w:type="dxa"/>
            <w:vAlign w:val="center"/>
          </w:tcPr>
          <w:p>
            <w:pPr>
              <w:jc w:val="center"/>
              <w:rPr>
                <w:rFonts w:ascii="宋体" w:hAnsi="宋体"/>
              </w:rPr>
            </w:pPr>
            <w:r>
              <w:rPr>
                <w:rFonts w:ascii="宋体" w:hAnsi="宋体" w:hint="eastAsia"/>
              </w:rPr>
              <w:t>定标方法</w:t>
            </w:r>
          </w:p>
        </w:tc>
        <w:tc>
          <w:tcPr>
            <w:tcW w:w="4980" w:type="dxa"/>
            <w:vAlign w:val="center"/>
          </w:tcPr>
          <w:p>
            <w:pPr>
              <w:jc w:val="center"/>
              <w:rPr>
                <w:rFonts w:ascii="宋体" w:hAnsi="宋体"/>
              </w:rPr>
            </w:pPr>
            <w:r>
              <w:rPr>
                <w:rFonts w:ascii="宋体" w:hAnsi="宋体" w:hint="eastAsia"/>
              </w:rPr>
              <w:t>非评定分离</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4</w:t>
            </w:r>
            <w:r>
              <w:rPr>
                <w:rFonts w:ascii="宋体" w:hAnsi="宋体"/>
              </w:rPr>
              <w:t>6</w:t>
            </w:r>
          </w:p>
        </w:tc>
        <w:tc>
          <w:tcPr>
            <w:tcW w:w="2409" w:type="dxa"/>
            <w:vAlign w:val="center"/>
          </w:tcPr>
          <w:p>
            <w:pPr>
              <w:jc w:val="center"/>
              <w:rPr>
                <w:rFonts w:ascii="宋体" w:hAnsi="宋体"/>
              </w:rPr>
            </w:pPr>
            <w:r>
              <w:rPr>
                <w:rFonts w:ascii="宋体" w:hAnsi="宋体" w:hint="eastAsia"/>
              </w:rPr>
              <w:t>履约担保</w:t>
            </w:r>
          </w:p>
        </w:tc>
        <w:tc>
          <w:tcPr>
            <w:tcW w:w="4980" w:type="dxa"/>
            <w:vAlign w:val="center"/>
          </w:tcPr>
          <w:p>
            <w:pPr>
              <w:jc w:val="center"/>
              <w:rPr>
                <w:rFonts w:ascii="宋体" w:hAnsi="宋体"/>
              </w:rPr>
            </w:pPr>
            <w:r>
              <w:rPr>
                <w:rFonts w:ascii="宋体" w:hAnsi="宋体" w:hint="eastAsia"/>
                <w:lang w:val="en-US" w:eastAsia="zh-CN"/>
              </w:rPr>
              <w:t>需要，详见第三章 用户需求书</w:t>
            </w:r>
          </w:p>
        </w:tc>
      </w:tr>
    </w:tbl>
    <w:p>
      <w:pPr>
        <w:rPr>
          <w:b/>
        </w:rPr>
      </w:pPr>
      <w:r>
        <w:rPr>
          <w:rFonts w:hint="eastAsia"/>
          <w:szCs w:val="21"/>
        </w:rPr>
        <w:t>备注：本表是通用条款相关条款的补充和明确，如与通用条款内容相冲突的，以本表为准。</w:t>
      </w:r>
    </w:p>
    <w:p>
      <w:pPr>
        <w:pStyle w:val="Heading2"/>
        <w:spacing w:before="120" w:beforeLines="50" w:after="120" w:afterLines="50"/>
        <w:rPr>
          <w:szCs w:val="24"/>
        </w:rPr>
      </w:pPr>
      <w:bookmarkEnd w:id="34"/>
      <w:bookmarkStart w:id="36" w:name="_Hlk72218117"/>
      <w:r>
        <w:rPr>
          <w:rFonts w:hint="eastAsia"/>
          <w:szCs w:val="24"/>
        </w:rPr>
        <w:t>二、其他关键信息</w:t>
      </w:r>
    </w:p>
    <w:p>
      <w:pPr>
        <w:ind w:firstLine="420"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eastAsiaTheme="minorEastAsia" w:hAnsiTheme="minorEastAsia"/>
          <w:b/>
          <w:kern w:val="0"/>
          <w:szCs w:val="20"/>
        </w:rPr>
      </w:pPr>
      <w:r>
        <w:rPr>
          <w:rFonts w:asciiTheme="minorEastAsia" w:eastAsiaTheme="minorEastAsia" w:hAnsiTheme="minorEastAsia" w:hint="eastAsia"/>
          <w:b/>
          <w:kern w:val="0"/>
          <w:szCs w:val="20"/>
        </w:rPr>
        <w:t>1、评标定标信息</w:t>
      </w:r>
    </w:p>
    <w:p>
      <w:pPr>
        <w:jc w:val="center"/>
      </w:pPr>
      <w:r>
        <w:rPr>
          <w:rFonts w:hint="eastAsia"/>
          <w:b/>
        </w:rPr>
        <w:t>非评定分离项目</w:t>
      </w:r>
    </w:p>
    <w:tbl>
      <w:tblPr>
        <w:tblStyle w:val="TableGrid"/>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90"/>
        <w:gridCol w:w="4537"/>
      </w:tblGrid>
      <w:tr>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eastAsia="宋体" w:hint="default"/>
                <w:lang w:val="en-US" w:eastAsia="zh-CN"/>
              </w:rPr>
            </w:pPr>
            <w:r>
              <w:rPr>
                <w:rFonts w:hint="eastAsia"/>
              </w:rPr>
              <w:t>综合评分法</w:t>
            </w:r>
          </w:p>
        </w:tc>
      </w:tr>
      <w:tr>
        <w:tblPrEx>
          <w:tblW w:w="4999" w:type="pct"/>
          <w:tblInd w:w="0" w:type="dxa"/>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eastAsia="宋体" w:hint="eastAsia"/>
                <w:lang w:val="en-US" w:eastAsia="zh-CN"/>
              </w:rPr>
            </w:pPr>
            <w:r>
              <w:rPr>
                <w:rFonts w:hint="eastAsia"/>
                <w:lang w:val="en-US" w:eastAsia="zh-CN"/>
              </w:rPr>
              <w:t>3</w:t>
            </w:r>
          </w:p>
        </w:tc>
      </w:tr>
      <w:tr>
        <w:tblPrEx>
          <w:tblW w:w="4999" w:type="pct"/>
          <w:tblInd w:w="0" w:type="dxa"/>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rPr>
          <w:rFonts w:hint="eastAsia"/>
          <w:b/>
        </w:rPr>
      </w:pPr>
    </w:p>
    <w:p>
      <w:pPr>
        <w:ind w:firstLine="420" w:firstLineChars="200"/>
        <w:rPr>
          <w:b/>
        </w:rPr>
      </w:pPr>
      <w:r>
        <w:rPr>
          <w:rFonts w:hint="eastAsia"/>
          <w:b/>
        </w:rPr>
        <w:t>（二）其他事项</w:t>
      </w:r>
      <w:bookmarkEnd w:id="37"/>
    </w:p>
    <w:p>
      <w:pPr>
        <w:ind w:firstLine="420" w:firstLineChars="200"/>
        <w:rPr>
          <w:rFonts w:eastAsia="宋体" w:hint="default"/>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eastAsia="宋体" w:hint="default"/>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ascii="Times New Roman" w:eastAsia="宋体" w:hint="eastAsia"/>
          <w:lang w:val="en-US" w:eastAsia="zh-CN"/>
        </w:rPr>
        <w:t>专门面向中小企业采购的项目，</w:t>
      </w:r>
      <w:r>
        <w:rPr>
          <w:rFonts w:hint="eastAsia"/>
          <w:lang w:val="en-US" w:eastAsia="zh-CN"/>
        </w:rPr>
        <w:t>应</w:t>
      </w:r>
      <w:r>
        <w:rPr>
          <w:rFonts w:ascii="Times New Roman" w:eastAsia="宋体" w:hint="eastAsia"/>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3</w:t>
      </w:r>
      <w:r>
        <w:rPr>
          <w:rFonts w:asciiTheme="minorEastAsia" w:eastAsiaTheme="minorEastAsia" w:hAnsiTheme="minorEastAsia" w:cstheme="minorEastAsia" w:hint="eastAsia"/>
          <w:sz w:val="21"/>
          <w:szCs w:val="21"/>
        </w:rPr>
        <w:t>）</w:t>
      </w:r>
      <w:bookmarkStart w:id="38" w:name="_Hlk71970739"/>
      <w:r>
        <w:rPr>
          <w:rFonts w:asciiTheme="minorEastAsia" w:eastAsiaTheme="minorEastAsia" w:hAnsiTheme="minorEastAsia" w:cstheme="minorEastAsia"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 w:val="21"/>
          <w:szCs w:val="21"/>
        </w:rPr>
        <w:t>《中小企业声明函》中相关企业</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lang w:val="en-US" w:eastAsia="zh-CN"/>
        </w:rPr>
        <w:t>货物制造商</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rPr>
        <w:t>所属行业应当与采购标的所属行业相一致</w:t>
      </w:r>
      <w:r>
        <w:rPr>
          <w:rFonts w:asciiTheme="minorEastAsia" w:eastAsiaTheme="minorEastAsia" w:hAnsiTheme="minorEastAsia" w:cstheme="minorEastAsia" w:hint="eastAsia"/>
          <w:b/>
          <w:bCs/>
          <w:color w:val="FF0000"/>
          <w:sz w:val="21"/>
          <w:szCs w:val="21"/>
          <w:lang w:eastAsia="zh-CN"/>
        </w:rPr>
        <w:t>，</w:t>
      </w:r>
      <w:r>
        <w:rPr>
          <w:rFonts w:hint="eastAsia"/>
          <w:b/>
          <w:bCs/>
          <w:color w:val="FF0000"/>
        </w:rPr>
        <w:t>标的所属行业</w:t>
      </w:r>
      <w:r>
        <w:rPr>
          <w:rFonts w:ascii="Times New Roman" w:eastAsia="宋体" w:hint="eastAsia"/>
          <w:b/>
          <w:bCs/>
          <w:color w:val="FF0000"/>
          <w:lang w:val="en-US" w:eastAsia="zh-CN"/>
        </w:rPr>
        <w:t>以招标文件第一册第三章用户需求书“货物</w:t>
      </w:r>
      <w:r>
        <w:rPr>
          <w:rFonts w:hint="eastAsia"/>
          <w:b/>
          <w:bCs/>
          <w:color w:val="FF0000"/>
          <w:lang w:val="en-US" w:eastAsia="zh-CN"/>
        </w:rPr>
        <w:t>清单</w:t>
      </w:r>
      <w:r>
        <w:rPr>
          <w:rFonts w:ascii="Times New Roman" w:eastAsia="宋体" w:hint="eastAsia"/>
          <w:b/>
          <w:bCs/>
          <w:color w:val="FF0000"/>
          <w:lang w:val="en-US" w:eastAsia="zh-CN"/>
        </w:rPr>
        <w:t>明细”的“标的所属行业”一栏为准</w:t>
      </w:r>
      <w:r>
        <w:rPr>
          <w:rFonts w:asciiTheme="minorEastAsia" w:eastAsiaTheme="minorEastAsia" w:hAnsiTheme="minorEastAsia" w:cstheme="minorEastAsia" w:hint="eastAsia"/>
          <w:b/>
          <w:bCs/>
          <w:color w:val="FF0000"/>
          <w:sz w:val="21"/>
          <w:szCs w:val="21"/>
        </w:rPr>
        <w:t>。</w:t>
      </w:r>
      <w:bookmarkEnd w:id="38"/>
    </w:p>
    <w:p>
      <w:pPr>
        <w:ind w:firstLine="420" w:firstLineChars="200"/>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4</w:t>
      </w:r>
      <w:r>
        <w:rPr>
          <w:rFonts w:asciiTheme="minorEastAsia" w:eastAsiaTheme="minorEastAsia" w:hAnsiTheme="minorEastAsia" w:cstheme="minorEastAsia" w:hint="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ascii="Times New Roman" w:eastAsia="宋体" w:hint="eastAsia"/>
          <w:lang w:val="en-US" w:eastAsia="zh-CN"/>
        </w:rPr>
        <w:t>四</w:t>
      </w:r>
      <w:r>
        <w:rPr>
          <w:rFonts w:hint="eastAsia"/>
        </w:rPr>
        <w:t>章“投标文件组成要求及格式”中“</w:t>
      </w:r>
      <w:r>
        <w:rPr>
          <w:rFonts w:ascii="Times New Roman" w:eastAsia="宋体" w:hint="eastAsia"/>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spacing w:line="360" w:lineRule="auto"/>
        <w:ind w:firstLine="420" w:firstLineChars="200"/>
        <w:rPr>
          <w:rFonts w:ascii="宋体" w:eastAsia="宋体" w:hAnsi="宋体" w:cs="宋体" w:hint="eastAsia"/>
          <w:b/>
          <w:bCs/>
        </w:rPr>
      </w:pPr>
    </w:p>
    <w:p>
      <w:pPr>
        <w:spacing w:line="360" w:lineRule="auto"/>
        <w:ind w:firstLine="420" w:firstLineChars="200"/>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eastAsia="zh-CN"/>
        </w:rPr>
        <w:t>、</w:t>
      </w:r>
      <w:r>
        <w:rPr>
          <w:rFonts w:ascii="宋体" w:eastAsia="宋体" w:hAnsi="宋体" w:cs="宋体" w:hint="eastAsia"/>
          <w:b/>
          <w:bCs/>
        </w:rPr>
        <w:t>关于政府采购订单融资政策</w:t>
      </w:r>
    </w:p>
    <w:p>
      <w:pPr>
        <w:wordWrap w:val="0"/>
        <w:ind w:firstLine="420" w:firstLineChars="200"/>
        <w:rPr>
          <w:rFonts w:ascii="宋体" w:eastAsia="宋体" w:hAnsi="宋体" w:cs="Times New Roman" w:hint="eastAsia"/>
          <w:b/>
          <w:color w:val="auto"/>
        </w:rPr>
      </w:pPr>
      <w:r>
        <w:rPr>
          <w:rFonts w:ascii="Times New Roman" w:eastAsia="宋体" w:hAnsi="Times New Roman" w:cs="Times New Roman" w:hint="eastAsia"/>
          <w:color w:val="auto"/>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rFonts w:ascii="Times New Roman" w:eastAsia="宋体" w:hAnsi="Times New Roman" w:cs="Times New Roman" w:hint="eastAsia"/>
          <w:b/>
          <w:bCs/>
        </w:rPr>
      </w:pPr>
    </w:p>
    <w:p>
      <w:pPr>
        <w:ind w:firstLine="420" w:firstLineChars="200"/>
        <w:rPr>
          <w:rFonts w:ascii="Times New Roman" w:eastAsia="宋体" w:hAnsi="Times New Roman" w:cs="Times New Roman"/>
          <w:b/>
        </w:rPr>
      </w:pPr>
      <w:r>
        <w:rPr>
          <w:rFonts w:cs="Times New Roman" w:hint="eastAsia"/>
          <w:b/>
          <w:bCs/>
          <w:lang w:val="en-US" w:eastAsia="zh-CN"/>
        </w:rPr>
        <w:t>3</w:t>
      </w:r>
      <w:r>
        <w:rPr>
          <w:rFonts w:ascii="Times New Roman" w:eastAsia="宋体" w:hAnsi="Times New Roman" w:cs="Times New Roman" w:hint="eastAsia"/>
          <w:b/>
          <w:bCs/>
          <w:lang w:val="en-US" w:eastAsia="zh-CN"/>
        </w:rPr>
        <w:t>、本项目不向中标（成交）供应商收取代理服务费。</w:t>
      </w:r>
    </w:p>
    <w:p>
      <w:pPr>
        <w:pStyle w:val="BodyText2"/>
        <w:rPr>
          <w:b/>
        </w:rPr>
      </w:pPr>
    </w:p>
    <w:p>
      <w:pPr>
        <w:pStyle w:val="BodyText2"/>
        <w:rPr>
          <w:b/>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cs="Times New Roman"/>
          <w:b/>
          <w:bCs/>
          <w:kern w:val="0"/>
          <w:sz w:val="28"/>
          <w:szCs w:val="28"/>
          <w:lang w:val="en-US" w:eastAsia="zh-CN" w:bidi="ar-SA"/>
        </w:rPr>
      </w:pPr>
      <w:bookmarkEnd w:id="36"/>
      <w:r>
        <w:rPr>
          <w:rFonts w:ascii="宋体" w:eastAsia="宋体" w:hAnsi="宋体" w:cs="Times New Roman" w:hint="eastAsia"/>
          <w:b/>
          <w:bCs/>
          <w:kern w:val="0"/>
          <w:sz w:val="28"/>
          <w:szCs w:val="28"/>
          <w:lang w:val="en-US" w:eastAsia="zh-CN" w:bidi="ar-SA"/>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r>
        <w:rPr>
          <w:rFonts w:ascii="宋体" w:eastAsia="宋体" w:hAnsi="宋体" w:cs="Times New Roman" w:hint="eastAsia"/>
          <w:b/>
          <w:bCs/>
          <w:kern w:val="0"/>
          <w:sz w:val="24"/>
          <w:szCs w:val="24"/>
          <w:lang w:val="en-US" w:eastAsia="zh-CN" w:bidi="ar-SA"/>
        </w:rPr>
        <w:t>一、项目基本信息</w:t>
      </w:r>
    </w:p>
    <w:p>
      <w:pPr>
        <w:rPr>
          <w:rFonts w:ascii="宋体" w:eastAsia="宋体" w:hAnsi="宋体" w:cs="Times New Roman"/>
          <w:b/>
          <w:color w:val="FF0000"/>
          <w:szCs w:val="21"/>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2592"/>
        <w:gridCol w:w="3160"/>
        <w:gridCol w:w="23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151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185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采购项目名称</w:t>
            </w:r>
          </w:p>
        </w:tc>
        <w:tc>
          <w:tcPr>
            <w:tcW w:w="1378"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eastAsia"/>
                <w:b/>
                <w:bCs/>
                <w:color w:val="FF0000"/>
                <w:szCs w:val="21"/>
              </w:rPr>
              <w:t>财政预算限额（元）</w:t>
            </w:r>
          </w:p>
        </w:tc>
      </w:tr>
      <w:tr>
        <w:tblPrEx>
          <w:tblW w:w="5000" w:type="pct"/>
          <w:jc w:val="center"/>
          <w:tblCellMar>
            <w:top w:w="0" w:type="dxa"/>
            <w:left w:w="108" w:type="dxa"/>
            <w:bottom w:w="0" w:type="dxa"/>
            <w:right w:w="108" w:type="dxa"/>
          </w:tblCellMar>
        </w:tblPrEx>
        <w:trPr>
          <w:trHeight w:val="503"/>
          <w:jc w:val="center"/>
        </w:trPr>
        <w:tc>
          <w:tcPr>
            <w:tcW w:w="24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hint="eastAsia"/>
                <w:bCs/>
                <w:color w:val="FF0000"/>
                <w:szCs w:val="21"/>
              </w:rPr>
              <w:t>1</w:t>
            </w:r>
          </w:p>
        </w:tc>
        <w:tc>
          <w:tcPr>
            <w:tcW w:w="151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bCs/>
                <w:color w:val="FF0000"/>
                <w:szCs w:val="21"/>
              </w:rPr>
              <w:t>PLAN-2025-440312000-021004-05985</w:t>
            </w:r>
          </w:p>
        </w:tc>
        <w:tc>
          <w:tcPr>
            <w:tcW w:w="1852"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default"/>
                <w:b/>
                <w:bCs/>
                <w:color w:val="FF0000"/>
                <w:szCs w:val="21"/>
                <w:lang w:val="en-US" w:eastAsia="zh-CN"/>
              </w:rPr>
              <w:t>病房、抢救设备</w:t>
            </w:r>
            <w:r>
              <w:rPr>
                <w:rFonts w:ascii="Times New Roman" w:eastAsia="宋体" w:hAnsi="Times New Roman" w:cs="Times New Roman" w:hint="eastAsia"/>
                <w:b/>
                <w:bCs/>
                <w:color w:val="FF0000"/>
                <w:szCs w:val="21"/>
                <w:lang w:val="en-US" w:eastAsia="zh-CN"/>
              </w:rPr>
              <w:t>采购项目</w:t>
            </w:r>
          </w:p>
        </w:tc>
        <w:tc>
          <w:tcPr>
            <w:tcW w:w="1378" w:type="pct"/>
            <w:vAlign w:val="center"/>
          </w:tcPr>
          <w:p>
            <w:pPr>
              <w:jc w:val="center"/>
              <w:rPr>
                <w:rFonts w:ascii="Times New Roman" w:eastAsia="宋体" w:hAnsi="Times New Roman" w:cs="Times New Roman"/>
                <w:bCs/>
                <w:color w:val="FF0000"/>
                <w:szCs w:val="21"/>
              </w:rPr>
            </w:pPr>
            <w:r>
              <w:rPr>
                <w:rFonts w:cs="Times New Roman" w:hint="eastAsia"/>
                <w:bCs/>
                <w:color w:val="FF0000"/>
                <w:szCs w:val="21"/>
                <w:lang w:val="en-US" w:eastAsia="zh-CN"/>
              </w:rPr>
              <w:t>1058700.00</w:t>
            </w:r>
          </w:p>
        </w:tc>
      </w:tr>
    </w:tbl>
    <w:p>
      <w:pPr>
        <w:rPr>
          <w:rFonts w:ascii="宋体" w:eastAsia="宋体" w:hAnsi="宋体" w:cs="Times New Roman"/>
          <w:b/>
          <w:color w:val="FF0000"/>
          <w:szCs w:val="21"/>
        </w:rPr>
      </w:pPr>
    </w:p>
    <w:p>
      <w:pPr>
        <w:rPr>
          <w:rFonts w:ascii="宋体" w:eastAsia="宋体" w:hAnsi="宋体" w:cs="Times New Roman"/>
          <w:b/>
          <w:color w:val="FF0000"/>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bookmarkStart w:id="39" w:name="_Hlk72258617"/>
      <w:r>
        <w:rPr>
          <w:rFonts w:ascii="宋体" w:eastAsia="宋体" w:hAnsi="宋体" w:cs="Times New Roman" w:hint="eastAsia"/>
          <w:b/>
          <w:bCs/>
          <w:kern w:val="0"/>
          <w:sz w:val="24"/>
          <w:szCs w:val="24"/>
          <w:lang w:val="en-US" w:eastAsia="zh-CN" w:bidi="ar-SA"/>
        </w:rPr>
        <w:t>二、</w:t>
      </w:r>
      <w:bookmarkStart w:id="40" w:name="_Hlk72073432"/>
      <w:r>
        <w:rPr>
          <w:rFonts w:ascii="宋体" w:eastAsia="宋体" w:hAnsi="宋体" w:cs="Times New Roman" w:hint="eastAsia"/>
          <w:b/>
          <w:bCs/>
          <w:kern w:val="0"/>
          <w:sz w:val="24"/>
          <w:szCs w:val="24"/>
          <w:lang w:val="en-US" w:eastAsia="zh-CN" w:bidi="ar-SA"/>
        </w:rPr>
        <w:t>货物清单明细</w:t>
      </w:r>
      <w:bookmarkEnd w:id="40"/>
    </w:p>
    <w:tbl>
      <w:tblPr>
        <w:tblStyle w:val="TableNormal"/>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31"/>
        <w:gridCol w:w="1547"/>
        <w:gridCol w:w="426"/>
        <w:gridCol w:w="426"/>
        <w:gridCol w:w="1075"/>
        <w:gridCol w:w="1076"/>
        <w:gridCol w:w="1081"/>
        <w:gridCol w:w="1234"/>
      </w:tblGrid>
      <w:tr>
        <w:tblPrEx>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34"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62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938"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货物名称（标的名称）</w:t>
            </w:r>
          </w:p>
        </w:tc>
        <w:tc>
          <w:tcPr>
            <w:tcW w:w="24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1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661" w:type="pct"/>
            <w:vAlign w:val="center"/>
          </w:tcPr>
          <w:p>
            <w:pPr>
              <w:jc w:val="center"/>
              <w:rPr>
                <w:rFonts w:ascii="Times New Roman" w:eastAsia="宋体" w:hAnsi="Times New Roman" w:cs="Times New Roman" w:hint="default"/>
                <w:bCs/>
                <w:szCs w:val="21"/>
                <w:lang w:val="en-US" w:eastAsia="zh-CN"/>
              </w:rPr>
            </w:pPr>
            <w:r>
              <w:rPr>
                <w:rFonts w:cs="Times New Roman" w:hint="eastAsia"/>
                <w:bCs/>
                <w:szCs w:val="21"/>
                <w:lang w:val="en-US" w:eastAsia="zh-CN"/>
              </w:rPr>
              <w:t>单价最高限价（元）</w:t>
            </w:r>
          </w:p>
        </w:tc>
        <w:tc>
          <w:tcPr>
            <w:tcW w:w="661"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是否接受进口</w:t>
            </w:r>
          </w:p>
        </w:tc>
        <w:tc>
          <w:tcPr>
            <w:tcW w:w="664"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是否专门面向中小企业</w:t>
            </w:r>
          </w:p>
        </w:tc>
        <w:tc>
          <w:tcPr>
            <w:tcW w:w="754"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标的所属行业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626" w:type="pct"/>
            <w:vMerge w:val="restart"/>
            <w:vAlign w:val="center"/>
          </w:tcPr>
          <w:p>
            <w:pPr>
              <w:jc w:val="center"/>
              <w:rPr>
                <w:rFonts w:ascii="Times New Roman" w:eastAsia="宋体" w:hAnsi="Times New Roman" w:cs="Times New Roman"/>
                <w:bCs/>
                <w:szCs w:val="21"/>
              </w:rPr>
            </w:pPr>
            <w:r>
              <w:rPr>
                <w:rFonts w:ascii="Times New Roman" w:eastAsia="宋体" w:hAnsi="Times New Roman" w:cs="Times New Roman"/>
                <w:bCs/>
                <w:szCs w:val="21"/>
              </w:rPr>
              <w:t>PLAN-2025-440312000-021004-05985</w:t>
            </w:r>
          </w:p>
        </w:tc>
        <w:tc>
          <w:tcPr>
            <w:tcW w:w="938" w:type="pct"/>
            <w:vAlign w:val="center"/>
          </w:tcPr>
          <w:p>
            <w:pPr>
              <w:keepNext w:val="0"/>
              <w:keepLines w:val="0"/>
              <w:widowControl/>
              <w:suppressLineNumbers w:val="0"/>
              <w:jc w:val="center"/>
              <w:textAlignment w:val="center"/>
              <w:rPr>
                <w:rFonts w:ascii="宋体" w:eastAsia="宋体" w:hAnsi="宋体" w:cs="宋体" w:hint="eastAsia"/>
                <w:bCs/>
                <w:szCs w:val="21"/>
                <w:lang w:eastAsia="zh-CN"/>
              </w:rPr>
            </w:pPr>
            <w:bookmarkStart w:id="41" w:name="OLE_LINK3"/>
            <w:r>
              <w:rPr>
                <w:rFonts w:ascii="宋体" w:eastAsia="宋体" w:hAnsi="宋体" w:cs="宋体" w:hint="eastAsia"/>
                <w:i w:val="0"/>
                <w:iCs w:val="0"/>
                <w:color w:val="000000"/>
                <w:kern w:val="0"/>
                <w:sz w:val="21"/>
                <w:szCs w:val="21"/>
                <w:u w:val="none"/>
                <w:lang w:val="en-US" w:eastAsia="zh-CN"/>
              </w:rPr>
              <w:t>病床</w:t>
            </w:r>
            <w:bookmarkEnd w:id="41"/>
          </w:p>
        </w:tc>
        <w:tc>
          <w:tcPr>
            <w:tcW w:w="242" w:type="pct"/>
            <w:vAlign w:val="center"/>
          </w:tcPr>
          <w:p>
            <w:pPr>
              <w:jc w:val="center"/>
              <w:rPr>
                <w:rFonts w:ascii="Times New Roman" w:eastAsia="宋体" w:hAnsi="Times New Roman" w:cs="Times New Roman" w:hint="default"/>
                <w:bCs/>
                <w:szCs w:val="21"/>
                <w:lang w:val="en-US" w:eastAsia="zh-CN"/>
              </w:rPr>
            </w:pPr>
            <w:r>
              <w:rPr>
                <w:rFonts w:cs="Times New Roman" w:hint="eastAsia"/>
                <w:lang w:val="en-US" w:eastAsia="zh-CN"/>
              </w:rPr>
              <w:t>68</w:t>
            </w:r>
          </w:p>
        </w:tc>
        <w:tc>
          <w:tcPr>
            <w:tcW w:w="216"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张</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3900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2</w:t>
            </w:r>
          </w:p>
        </w:tc>
        <w:tc>
          <w:tcPr>
            <w:tcW w:w="626" w:type="pct"/>
            <w:vMerge/>
            <w:vAlign w:val="center"/>
          </w:tcPr>
          <w:p>
            <w:pPr>
              <w:jc w:val="center"/>
              <w:rPr>
                <w:rFonts w:ascii="Times New Roman" w:eastAsia="宋体" w:hAnsi="Times New Roman" w:cs="Times New Roman" w:hint="eastAsia"/>
                <w:bCs/>
                <w:szCs w:val="21"/>
              </w:rPr>
            </w:pPr>
          </w:p>
        </w:tc>
        <w:tc>
          <w:tcPr>
            <w:tcW w:w="938" w:type="pct"/>
            <w:vAlign w:val="center"/>
          </w:tcPr>
          <w:p>
            <w:pPr>
              <w:keepNext w:val="0"/>
              <w:keepLines w:val="0"/>
              <w:widowControl/>
              <w:suppressLineNumbers w:val="0"/>
              <w:jc w:val="center"/>
              <w:textAlignment w:val="center"/>
              <w:rPr>
                <w:rFonts w:ascii="宋体" w:eastAsia="宋体" w:hAnsi="宋体" w:cs="宋体" w:hint="eastAsia"/>
                <w:bCs/>
                <w:szCs w:val="21"/>
                <w:lang w:val="en-US"/>
              </w:rPr>
            </w:pPr>
            <w:r>
              <w:rPr>
                <w:rFonts w:ascii="宋体" w:eastAsia="宋体" w:hAnsi="宋体" w:cs="宋体" w:hint="eastAsia"/>
                <w:i w:val="0"/>
                <w:iCs w:val="0"/>
                <w:color w:val="000000"/>
                <w:kern w:val="0"/>
                <w:sz w:val="21"/>
                <w:szCs w:val="21"/>
                <w:u w:val="none"/>
                <w:lang w:val="en-US" w:eastAsia="zh-CN"/>
              </w:rPr>
              <w:t>心肺复苏机</w:t>
            </w:r>
          </w:p>
        </w:tc>
        <w:tc>
          <w:tcPr>
            <w:tcW w:w="242" w:type="pct"/>
            <w:vAlign w:val="center"/>
          </w:tcPr>
          <w:p>
            <w:pPr>
              <w:jc w:val="center"/>
              <w:rPr>
                <w:rFonts w:cs="Times New Roman" w:hint="default"/>
                <w:lang w:val="en-US" w:eastAsia="zh-CN"/>
              </w:rPr>
            </w:pPr>
            <w:r>
              <w:rPr>
                <w:rFonts w:cs="Times New Roman" w:hint="eastAsia"/>
                <w:lang w:val="en-US" w:eastAsia="zh-CN"/>
              </w:rPr>
              <w:t>1</w:t>
            </w:r>
          </w:p>
        </w:tc>
        <w:tc>
          <w:tcPr>
            <w:tcW w:w="216" w:type="pct"/>
            <w:vAlign w:val="center"/>
          </w:tcPr>
          <w:p>
            <w:pPr>
              <w:jc w:val="center"/>
              <w:rPr>
                <w:rFonts w:cs="Times New Roman" w:hint="default"/>
                <w:bCs/>
                <w:szCs w:val="21"/>
                <w:lang w:val="en-US" w:eastAsia="zh-CN"/>
              </w:rPr>
            </w:pPr>
            <w:r>
              <w:rPr>
                <w:rFonts w:cs="Times New Roman" w:hint="eastAsia"/>
                <w:bCs/>
                <w:szCs w:val="21"/>
                <w:lang w:val="en-US" w:eastAsia="zh-CN"/>
              </w:rPr>
              <w:t>台</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163500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3</w:t>
            </w:r>
          </w:p>
        </w:tc>
        <w:tc>
          <w:tcPr>
            <w:tcW w:w="626" w:type="pct"/>
            <w:vMerge/>
            <w:vAlign w:val="center"/>
          </w:tcPr>
          <w:p>
            <w:pPr>
              <w:jc w:val="center"/>
              <w:rPr>
                <w:rFonts w:ascii="Times New Roman" w:eastAsia="宋体" w:hAnsi="Times New Roman" w:cs="Times New Roman" w:hint="eastAsia"/>
                <w:bCs/>
                <w:szCs w:val="21"/>
              </w:rPr>
            </w:pPr>
          </w:p>
        </w:tc>
        <w:tc>
          <w:tcPr>
            <w:tcW w:w="938" w:type="pct"/>
            <w:vAlign w:val="center"/>
          </w:tcPr>
          <w:p>
            <w:pPr>
              <w:keepNext w:val="0"/>
              <w:keepLines w:val="0"/>
              <w:widowControl/>
              <w:suppressLineNumbers w:val="0"/>
              <w:jc w:val="center"/>
              <w:textAlignment w:val="center"/>
              <w:rPr>
                <w:rFonts w:ascii="宋体" w:eastAsia="宋体" w:hAnsi="宋体" w:cs="宋体" w:hint="eastAsia"/>
                <w:bCs/>
                <w:szCs w:val="21"/>
                <w:lang w:val="en-US"/>
              </w:rPr>
            </w:pPr>
            <w:bookmarkStart w:id="42" w:name="OLE_LINK2"/>
            <w:r>
              <w:rPr>
                <w:rFonts w:ascii="宋体" w:eastAsia="宋体" w:hAnsi="宋体" w:cs="宋体" w:hint="eastAsia"/>
                <w:i w:val="0"/>
                <w:iCs w:val="0"/>
                <w:color w:val="000000"/>
                <w:kern w:val="0"/>
                <w:sz w:val="21"/>
                <w:szCs w:val="21"/>
                <w:u w:val="none"/>
                <w:lang w:val="en-US" w:eastAsia="zh-CN"/>
              </w:rPr>
              <w:t>站立病床</w:t>
            </w:r>
            <w:bookmarkEnd w:id="42"/>
          </w:p>
        </w:tc>
        <w:tc>
          <w:tcPr>
            <w:tcW w:w="242" w:type="pct"/>
            <w:vAlign w:val="center"/>
          </w:tcPr>
          <w:p>
            <w:pPr>
              <w:jc w:val="center"/>
              <w:rPr>
                <w:rFonts w:cs="Times New Roman" w:hint="default"/>
                <w:lang w:val="en-US" w:eastAsia="zh-CN"/>
              </w:rPr>
            </w:pPr>
            <w:r>
              <w:rPr>
                <w:rFonts w:cs="Times New Roman" w:hint="eastAsia"/>
                <w:lang w:val="en-US" w:eastAsia="zh-CN"/>
              </w:rPr>
              <w:t>14</w:t>
            </w:r>
          </w:p>
        </w:tc>
        <w:tc>
          <w:tcPr>
            <w:tcW w:w="216" w:type="pct"/>
            <w:vAlign w:val="center"/>
          </w:tcPr>
          <w:p>
            <w:pPr>
              <w:jc w:val="center"/>
              <w:rPr>
                <w:rFonts w:cs="Times New Roman" w:hint="default"/>
                <w:bCs/>
                <w:szCs w:val="21"/>
                <w:lang w:val="en-US" w:eastAsia="zh-CN"/>
              </w:rPr>
            </w:pPr>
            <w:r>
              <w:rPr>
                <w:rFonts w:cs="Times New Roman" w:hint="eastAsia"/>
                <w:bCs/>
                <w:szCs w:val="21"/>
                <w:lang w:val="en-US" w:eastAsia="zh-CN"/>
              </w:rPr>
              <w:t>张</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45000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bl>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备注：1.</w:t>
      </w:r>
      <w:r>
        <w:rPr>
          <w:rFonts w:ascii="宋体" w:eastAsia="宋体" w:hAnsi="宋体" w:cs="Times New Roman" w:hint="eastAsia"/>
          <w:b/>
          <w:color w:val="FF0000"/>
          <w:szCs w:val="21"/>
          <w:lang w:eastAsia="zh-CN"/>
        </w:rPr>
        <w:t>“是否接受进口”</w:t>
      </w:r>
      <w:r>
        <w:rPr>
          <w:rFonts w:ascii="宋体" w:eastAsia="宋体" w:hAnsi="宋体" w:cs="Times New Roman" w:hint="eastAsia"/>
          <w:b/>
          <w:color w:val="FF0000"/>
          <w:szCs w:val="21"/>
        </w:rPr>
        <w:t>栏注明“拒绝进口”的产品不接受投标人选用进口产品参与投标；注明“接受进口”的产品允许投标人选用进口产品参与投标，但不排斥国内产品。</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3、本项目核心产品为：</w:t>
      </w:r>
      <w:r>
        <w:rPr>
          <w:rFonts w:ascii="宋体" w:eastAsia="宋体" w:hAnsi="宋体" w:cs="Times New Roman" w:hint="eastAsia"/>
          <w:b/>
          <w:color w:val="FF0000"/>
          <w:szCs w:val="21"/>
          <w:u w:val="single"/>
        </w:rPr>
        <w:t xml:space="preserve">  </w:t>
      </w:r>
      <w:r>
        <w:rPr>
          <w:rFonts w:ascii="宋体" w:eastAsia="宋体" w:hAnsi="宋体" w:cs="宋体" w:hint="eastAsia"/>
          <w:b/>
          <w:bCs/>
          <w:i w:val="0"/>
          <w:iCs w:val="0"/>
          <w:color w:val="FF0000"/>
          <w:kern w:val="0"/>
          <w:sz w:val="21"/>
          <w:szCs w:val="21"/>
          <w:u w:val="single"/>
          <w:lang w:val="en-US" w:eastAsia="zh-CN"/>
        </w:rPr>
        <w:t>站立病床</w:t>
      </w:r>
      <w:r>
        <w:rPr>
          <w:rFonts w:ascii="宋体" w:eastAsia="宋体" w:hAnsi="宋体" w:cs="Times New Roman" w:hint="eastAsia"/>
          <w:b/>
          <w:color w:val="FF0000"/>
          <w:szCs w:val="21"/>
          <w:u w:val="single"/>
        </w:rPr>
        <w:t xml:space="preserve">   </w:t>
      </w:r>
      <w:r>
        <w:rPr>
          <w:rFonts w:ascii="宋体" w:eastAsia="宋体" w:hAnsi="宋体" w:cs="Times New Roman" w:hint="eastAsia"/>
          <w:b/>
          <w:color w:val="FF0000"/>
          <w:szCs w:val="21"/>
        </w:rPr>
        <w:t>。</w:t>
      </w:r>
    </w:p>
    <w:p>
      <w:pPr>
        <w:rPr>
          <w:rFonts w:ascii="宋体" w:eastAsia="宋体" w:hAnsi="宋体" w:cs="Times New Roman"/>
          <w:b/>
          <w:color w:val="FF0000"/>
          <w:szCs w:val="21"/>
        </w:rPr>
      </w:pPr>
      <w:bookmarkEnd w:id="39"/>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bookmarkStart w:id="43" w:name="_Toc128884461"/>
      <w:r>
        <w:rPr>
          <w:rFonts w:ascii="宋体" w:eastAsia="宋体" w:hAnsi="宋体" w:cs="Times New Roman" w:hint="eastAsia"/>
          <w:b/>
          <w:bCs/>
          <w:kern w:val="0"/>
          <w:sz w:val="28"/>
          <w:szCs w:val="28"/>
          <w:lang w:val="en-US" w:eastAsia="zh-CN" w:bidi="ar-SA"/>
        </w:rPr>
        <w:t>三、实质性条款</w:t>
      </w:r>
    </w:p>
    <w:tbl>
      <w:tblPr>
        <w:tblStyle w:val="TableNormal"/>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
        <w:gridCol w:w="7282"/>
      </w:tblGrid>
      <w:tr>
        <w:tblPrEx>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7282"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实质性条款具体内容</w:t>
            </w:r>
          </w:p>
        </w:tc>
      </w:tr>
      <w:tr>
        <w:tblPrEx>
          <w:tblW w:w="8188" w:type="dxa"/>
          <w:tblInd w:w="0" w:type="dxa"/>
          <w:tblLayout w:type="fixed"/>
          <w:tblCellMar>
            <w:top w:w="0" w:type="dxa"/>
            <w:left w:w="108" w:type="dxa"/>
            <w:bottom w:w="0" w:type="dxa"/>
            <w:right w:w="108" w:type="dxa"/>
          </w:tblCellMar>
        </w:tblPrEx>
        <w:trPr>
          <w:trHeight w:val="90"/>
        </w:trPr>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282" w:type="dxa"/>
            <w:vAlign w:val="center"/>
          </w:tcPr>
          <w:p>
            <w:pPr>
              <w:adjustRightInd w:val="0"/>
              <w:snapToGrid w:val="0"/>
              <w:spacing w:line="360" w:lineRule="auto"/>
              <w:jc w:val="both"/>
              <w:rPr>
                <w:rFonts w:ascii="Times New Roman" w:eastAsia="宋体" w:hAnsi="宋体" w:cs="Times New Roman"/>
                <w:kern w:val="0"/>
                <w:szCs w:val="21"/>
              </w:rPr>
            </w:pPr>
            <w:r>
              <w:rPr>
                <w:rFonts w:ascii="宋体" w:eastAsia="宋体" w:hAnsi="宋体" w:cs="Times New Roman" w:hint="eastAsia"/>
                <w:kern w:val="0"/>
                <w:szCs w:val="21"/>
              </w:rPr>
              <w:t>具体以采购文件第三章 用户需求书中带“★”的需求项为准。</w:t>
            </w:r>
          </w:p>
        </w:tc>
      </w:tr>
    </w:tbl>
    <w:p>
      <w:pPr>
        <w:rPr>
          <w:rFonts w:ascii="Times New Roman" w:eastAsia="宋体" w:hAnsi="Times New Roman" w:cs="Times New Roman"/>
          <w:b/>
        </w:rPr>
      </w:pPr>
      <w:r>
        <w:rPr>
          <w:rFonts w:ascii="Times New Roman" w:eastAsia="宋体" w:hAnsi="Times New Roman" w:cs="Times New Roman" w:hint="eastAsia"/>
          <w:b/>
        </w:rPr>
        <w:t>注：上表所列内容为不可负偏离条款</w:t>
      </w:r>
      <w:bookmarkEnd w:id="43"/>
      <w:r>
        <w:rPr>
          <w:rFonts w:ascii="Times New Roman" w:eastAsia="宋体" w:hAnsi="Times New Roman" w:cs="Times New Roman" w:hint="eastAsia"/>
          <w:b/>
        </w:rPr>
        <w:t>，负偏离将视为未实质性满足招标文件要求作投标无效处理。</w:t>
      </w:r>
    </w:p>
    <w:p>
      <w:pPr>
        <w:rPr>
          <w:rFonts w:ascii="Times New Roman" w:eastAsia="宋体" w:hAnsi="Times New Roman" w:cs="Times New Roman"/>
          <w:b/>
          <w:szCs w:val="21"/>
        </w:rPr>
      </w:pPr>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rPr>
      </w:pPr>
      <w:r>
        <w:rPr>
          <w:rFonts w:ascii="Times New Roman" w:eastAsia="宋体" w:hAnsi="Times New Roman" w:cs="Times New Roman" w:hint="eastAsia"/>
          <w:b/>
          <w:szCs w:val="21"/>
        </w:rPr>
        <w:t>说明：</w:t>
      </w:r>
      <w:r>
        <w:rPr>
          <w:rFonts w:ascii="Times New Roman" w:eastAsia="宋体" w:hAnsi="Times New Roman" w:cs="Times New Roman"/>
          <w:b/>
          <w:szCs w:val="21"/>
        </w:rPr>
        <w:t xml:space="preserve"> </w:t>
      </w:r>
      <w:r>
        <w:rPr>
          <w:rFonts w:ascii="Times New Roman" w:eastAsia="宋体" w:hAnsi="Times New Roman" w:cs="Times New Roman"/>
          <w:b/>
        </w:rPr>
        <w:t>1</w:t>
      </w:r>
      <w:r>
        <w:rPr>
          <w:rFonts w:ascii="Times New Roman" w:eastAsia="宋体" w:hAnsi="Times New Roman" w:cs="Times New Roman" w:hint="eastAsia"/>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szCs w:val="21"/>
        </w:rPr>
      </w:pPr>
      <w:r>
        <w:rPr>
          <w:rFonts w:ascii="Times New Roman" w:eastAsia="宋体" w:hAnsi="Times New Roman" w:cs="Times New Roman"/>
          <w:b/>
          <w:szCs w:val="21"/>
        </w:rPr>
        <w:t>2</w:t>
      </w:r>
      <w:r>
        <w:rPr>
          <w:rFonts w:ascii="Times New Roman" w:eastAsia="宋体" w:hAnsi="Times New Roman" w:cs="Times New Roman" w:hint="eastAsia"/>
          <w:b/>
          <w:szCs w:val="21"/>
        </w:rPr>
        <w:t>、带★号条款为不可</w:t>
      </w:r>
      <w:r>
        <w:rPr>
          <w:rFonts w:ascii="Times New Roman" w:eastAsia="宋体" w:hAnsi="Times New Roman" w:cs="Times New Roman" w:hint="eastAsia"/>
          <w:b/>
          <w:szCs w:val="21"/>
          <w:lang w:val="en-US" w:eastAsia="zh-CN"/>
        </w:rPr>
        <w:t>负</w:t>
      </w:r>
      <w:r>
        <w:rPr>
          <w:rFonts w:ascii="Times New Roman" w:eastAsia="宋体" w:hAnsi="Times New Roman" w:cs="Times New Roman" w:hint="eastAsia"/>
          <w:b/>
          <w:szCs w:val="21"/>
        </w:rPr>
        <w:t>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如未响应或出现负偏离的，将作投标无效处理；带“</w:t>
      </w:r>
      <w:r>
        <w:rPr>
          <w:rFonts w:ascii="Times New Roman" w:eastAsia="宋体" w:hAnsi="Times New Roman" w:cs="Times New Roman"/>
        </w:rPr>
        <w:t>▲</w:t>
      </w:r>
      <w:r>
        <w:rPr>
          <w:rFonts w:ascii="Times New Roman" w:eastAsia="宋体" w:hAnsi="Times New Roman" w:cs="Times New Roman" w:hint="eastAsia"/>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b/>
          <w:szCs w:val="21"/>
        </w:rPr>
        <w:t>3</w:t>
      </w:r>
      <w:r>
        <w:rPr>
          <w:rFonts w:ascii="Times New Roman" w:eastAsia="宋体" w:hAnsi="Times New Roman" w:cs="Times New Roman" w:hint="eastAsia"/>
          <w:b/>
          <w:szCs w:val="21"/>
        </w:rPr>
        <w:t>、</w:t>
      </w:r>
      <w:bookmarkStart w:id="44" w:name="_Hlk72585069"/>
      <w:r>
        <w:rPr>
          <w:rFonts w:ascii="Times New Roman" w:eastAsia="宋体" w:hAnsi="Times New Roman" w:cs="Times New Roman" w:hint="eastAsia"/>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（1）涉及相关既定值的，例：招标技术参数要求值为“20L”，投标技术参数响应值与“20L”不一致的，均视为负偏离；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cs="Times New Roman" w:hint="eastAsia"/>
          <w:kern w:val="2"/>
          <w:sz w:val="21"/>
          <w:szCs w:val="20"/>
          <w:lang w:val="en-US" w:eastAsia="zh-CN" w:bidi="ar-SA"/>
        </w:rPr>
        <w:t>7</w:t>
      </w:r>
      <w:r>
        <w:rPr>
          <w:rFonts w:ascii="Times New Roman" w:eastAsia="宋体" w:hAnsi="Times New Roman" w:cs="Times New Roman" w:hint="eastAsia"/>
          <w:kern w:val="2"/>
          <w:sz w:val="21"/>
          <w:szCs w:val="20"/>
          <w:lang w:val="en-US" w:eastAsia="zh-CN" w:bidi="ar-SA"/>
        </w:rPr>
        <w:t>”或“＞</w:t>
      </w:r>
      <w:r>
        <w:rPr>
          <w:rFonts w:cs="Times New Roman" w:hint="eastAsia"/>
          <w:kern w:val="2"/>
          <w:sz w:val="21"/>
          <w:szCs w:val="20"/>
          <w:lang w:val="en-US" w:eastAsia="zh-CN" w:bidi="ar-SA"/>
        </w:rPr>
        <w:t>7</w:t>
      </w:r>
      <w:r>
        <w:rPr>
          <w:rFonts w:ascii="Times New Roman" w:eastAsia="宋体" w:hAnsi="Times New Roman" w:cs="Times New Roman" w:hint="eastAsia"/>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（3）涉及相关区间范围值的，</w:t>
      </w:r>
      <w:r>
        <w:rPr>
          <w:rFonts w:ascii="Times New Roman" w:eastAsia="宋体" w:hAnsi="Times New Roman" w:cs="Times New Roman" w:hint="eastAsia"/>
          <w:b/>
          <w:kern w:val="2"/>
          <w:sz w:val="21"/>
          <w:szCs w:val="21"/>
          <w:lang w:val="en-US" w:eastAsia="zh-CN" w:bidi="ar-SA"/>
        </w:rPr>
        <w:t>除特别注明以外，均包含首尾两端本数。</w:t>
      </w:r>
      <w:r>
        <w:rPr>
          <w:rFonts w:ascii="Times New Roman" w:eastAsia="宋体" w:hAnsi="Times New Roman" w:cs="Times New Roman" w:hint="eastAsia"/>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Times New Roman" w:eastAsia="宋体" w:hAnsi="Times New Roman" w:cs="Times New Roman" w:hint="eastAsia"/>
          <w:b/>
          <w:bCs w:val="0"/>
          <w:kern w:val="2"/>
          <w:sz w:val="21"/>
          <w:szCs w:val="21"/>
          <w:lang w:val="en-US" w:eastAsia="zh-CN" w:bidi="ar-SA"/>
        </w:rPr>
      </w:pPr>
      <w:r>
        <w:rPr>
          <w:rFonts w:ascii="Times New Roman" w:eastAsia="宋体" w:hAnsi="Times New Roman" w:cs="Times New Roman" w:hint="eastAsia"/>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ascii="Times New Roman" w:eastAsia="宋体" w:hAnsi="Times New Roman" w:cs="Times New Roman" w:hint="default"/>
          <w:b/>
          <w:color w:val="FF0000"/>
          <w:szCs w:val="21"/>
          <w:lang w:val="en-US" w:eastAsia="zh-CN"/>
        </w:rPr>
      </w:pPr>
      <w:r>
        <w:rPr>
          <w:rFonts w:ascii="Times New Roman" w:eastAsia="宋体" w:hAnsi="Times New Roman" w:cs="Times New Roman" w:hint="eastAsia"/>
          <w:b/>
          <w:color w:val="FF0000"/>
          <w:szCs w:val="21"/>
          <w:lang w:val="en-US" w:eastAsia="zh-CN"/>
        </w:rPr>
        <w:t>6.在</w:t>
      </w:r>
      <w:r>
        <w:rPr>
          <w:rFonts w:ascii="Times New Roman" w:eastAsia="宋体" w:hAnsi="Times New Roman" w:cs="Times New Roman" w:hint="eastAsia"/>
          <w:b/>
          <w:color w:val="FF0000"/>
          <w:szCs w:val="21"/>
        </w:rPr>
        <w:t>招标技术要求中</w:t>
      </w:r>
      <w:r>
        <w:rPr>
          <w:rFonts w:ascii="Times New Roman" w:eastAsia="宋体" w:hAnsi="Times New Roman" w:cs="Times New Roman" w:hint="eastAsia"/>
          <w:b/>
          <w:color w:val="FF0000"/>
          <w:szCs w:val="21"/>
          <w:lang w:eastAsia="zh-CN"/>
        </w:rPr>
        <w:t>，</w:t>
      </w:r>
      <w:r>
        <w:rPr>
          <w:rFonts w:ascii="Times New Roman" w:eastAsia="宋体" w:hAnsi="Times New Roman" w:cs="Times New Roman" w:hint="eastAsia"/>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ascii="Times New Roman" w:eastAsia="宋体" w:hAnsi="Times New Roman" w:cs="Times New Roman" w:hint="eastAsia"/>
          <w:kern w:val="2"/>
          <w:sz w:val="21"/>
          <w:szCs w:val="20"/>
          <w:lang w:val="en-US" w:eastAsia="zh-CN" w:bidi="ar-SA"/>
        </w:rPr>
      </w:pPr>
    </w:p>
    <w:tbl>
      <w:tblPr>
        <w:tblStyle w:val="TableNormal"/>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1134"/>
        <w:gridCol w:w="6485"/>
      </w:tblGrid>
      <w:tr>
        <w:tblPrEx>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jc w:val="center"/>
              <w:rPr>
                <w:rFonts w:ascii="宋体" w:eastAsia="宋体" w:hAnsi="宋体" w:cs="宋体" w:hint="eastAsia"/>
                <w:b/>
                <w:bCs/>
                <w:color w:val="000000" w:themeColor="text1"/>
                <w:sz w:val="21"/>
                <w:szCs w:val="21"/>
                <w14:textFill>
                  <w14:solidFill>
                    <w14:schemeClr w14:val="tx1"/>
                  </w14:solidFill>
                </w14:textFill>
              </w:rPr>
            </w:pPr>
            <w:bookmarkEnd w:id="44"/>
            <w:bookmarkStart w:id="45" w:name="_Hlk70236148"/>
            <w:bookmarkStart w:id="46" w:name="OLE_LINK1"/>
            <w:r>
              <w:rPr>
                <w:rFonts w:ascii="宋体" w:eastAsia="宋体" w:hAnsi="宋体" w:cs="宋体" w:hint="eastAsia"/>
                <w:b/>
                <w:bCs/>
                <w:color w:val="000000" w:themeColor="text1"/>
                <w:sz w:val="21"/>
                <w:szCs w:val="21"/>
                <w14:textFill>
                  <w14:solidFill>
                    <w14:schemeClr w14:val="tx1"/>
                  </w14:solidFill>
                </w14:textFill>
              </w:rPr>
              <w:t>序号</w:t>
            </w:r>
          </w:p>
        </w:tc>
        <w:tc>
          <w:tcPr>
            <w:tcW w:w="1134" w:type="dxa"/>
            <w:vAlign w:val="center"/>
          </w:tcPr>
          <w:p>
            <w:pPr>
              <w:widowControl/>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货物名称</w:t>
            </w:r>
          </w:p>
        </w:tc>
        <w:tc>
          <w:tcPr>
            <w:tcW w:w="6485" w:type="dxa"/>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招标技术要求</w:t>
            </w:r>
          </w:p>
        </w:tc>
      </w:tr>
      <w:tr>
        <w:tblPrEx>
          <w:tblW w:w="8460" w:type="dxa"/>
          <w:jc w:val="center"/>
          <w:tblLayout w:type="fixed"/>
          <w:tblCellMar>
            <w:top w:w="0" w:type="dxa"/>
            <w:left w:w="108" w:type="dxa"/>
            <w:bottom w:w="0" w:type="dxa"/>
            <w:right w:w="108" w:type="dxa"/>
          </w:tblCellMar>
        </w:tblPrEx>
        <w:trPr>
          <w:trHeight w:val="594"/>
          <w:jc w:val="center"/>
        </w:trPr>
        <w:tc>
          <w:tcPr>
            <w:tcW w:w="841" w:type="dxa"/>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14:textFill>
                  <w14:solidFill>
                    <w14:schemeClr w14:val="tx1"/>
                  </w14:solidFill>
                </w14:textFill>
              </w:rPr>
              <w:t>1</w:t>
            </w:r>
          </w:p>
        </w:tc>
        <w:tc>
          <w:tcPr>
            <w:tcW w:w="1134" w:type="dxa"/>
            <w:vMerge w:val="restart"/>
            <w:vAlign w:val="center"/>
          </w:tcPr>
          <w:p>
            <w:pPr>
              <w:jc w:val="center"/>
              <w:rPr>
                <w:rFonts w:ascii="宋体" w:eastAsia="宋体" w:hAnsi="宋体" w:cs="宋体" w:hint="eastAsia"/>
                <w:color w:val="000000" w:themeColor="text1"/>
                <w:sz w:val="21"/>
                <w:szCs w:val="21"/>
                <w:lang w:eastAsia="zh-CN"/>
                <w14:textFill>
                  <w14:solidFill>
                    <w14:schemeClr w14:val="tx1"/>
                  </w14:solidFill>
                </w14:textFill>
              </w:rPr>
            </w:pPr>
            <w:r>
              <w:rPr>
                <w:rFonts w:ascii="宋体" w:eastAsia="宋体" w:hAnsi="宋体" w:cs="宋体" w:hint="eastAsia"/>
                <w:i w:val="0"/>
                <w:iCs w:val="0"/>
                <w:color w:val="000000"/>
                <w:kern w:val="0"/>
                <w:sz w:val="21"/>
                <w:szCs w:val="21"/>
                <w:u w:val="none"/>
                <w:lang w:val="en-US" w:eastAsia="zh-CN"/>
              </w:rPr>
              <w:t>病床</w:t>
            </w: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1.</w:t>
            </w:r>
            <w:r>
              <w:rPr>
                <w:rFonts w:ascii="宋体" w:eastAsia="宋体" w:hAnsi="宋体" w:cs="宋体" w:hint="eastAsia"/>
                <w:sz w:val="21"/>
                <w:szCs w:val="21"/>
              </w:rPr>
              <w:t>全长2120mm±10mm，全宽（含护栏）970mm±10mm；床面长度2000±5mm，床面宽度840±5mm：床面离地高度485±10mm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2.</w:t>
            </w:r>
            <w:r>
              <w:rPr>
                <w:rFonts w:ascii="宋体" w:eastAsia="宋体" w:hAnsi="宋体" w:cs="宋体" w:hint="eastAsia"/>
                <w:sz w:val="21"/>
                <w:szCs w:val="21"/>
              </w:rPr>
              <w:t>安全工作负重≥240KG</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3.</w:t>
            </w:r>
            <w:r>
              <w:rPr>
                <w:rFonts w:ascii="宋体" w:eastAsia="宋体" w:hAnsi="宋体" w:cs="宋体" w:hint="eastAsia"/>
                <w:sz w:val="21"/>
                <w:szCs w:val="21"/>
              </w:rPr>
              <w:t>背部升降0-68°±2°；膝部升降0-35°±2°</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4.</w:t>
            </w:r>
            <w:r>
              <w:rPr>
                <w:rFonts w:ascii="宋体" w:eastAsia="宋体" w:hAnsi="宋体" w:cs="宋体" w:hint="eastAsia"/>
                <w:sz w:val="21"/>
                <w:szCs w:val="21"/>
              </w:rPr>
              <w:t>摇杆使用寿命负载条件下使用寿命≥15000 次</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5.</w:t>
            </w:r>
            <w:r>
              <w:rPr>
                <w:rFonts w:ascii="宋体" w:eastAsia="宋体" w:hAnsi="宋体" w:cs="宋体" w:hint="eastAsia"/>
                <w:sz w:val="21"/>
                <w:szCs w:val="21"/>
              </w:rPr>
              <w:t>配备防尘罩，避免灰尘进入螺杆内部而影响寿命和操作</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6.</w:t>
            </w:r>
            <w:r>
              <w:rPr>
                <w:rFonts w:ascii="宋体" w:eastAsia="宋体" w:hAnsi="宋体" w:cs="宋体" w:hint="eastAsia"/>
                <w:sz w:val="21"/>
                <w:szCs w:val="21"/>
              </w:rPr>
              <w:t>床架两侧各设计≥2个活动附件挂钩，可悬挂药剂袋、引流袋及污物袋等</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7.</w:t>
            </w:r>
            <w:r>
              <w:rPr>
                <w:rFonts w:ascii="宋体" w:eastAsia="宋体" w:hAnsi="宋体" w:cs="宋体" w:hint="eastAsia"/>
                <w:sz w:val="21"/>
                <w:szCs w:val="21"/>
              </w:rPr>
              <w:t>床头床尾共配置≥4个输液架插孔</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8.</w:t>
            </w:r>
            <w:r>
              <w:rPr>
                <w:rFonts w:ascii="宋体" w:eastAsia="宋体" w:hAnsi="宋体" w:cs="宋体" w:hint="eastAsia"/>
                <w:sz w:val="21"/>
                <w:szCs w:val="21"/>
              </w:rPr>
              <w:t>整体床架静态承重≥400KG以上</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9.</w:t>
            </w:r>
            <w:r>
              <w:rPr>
                <w:rFonts w:ascii="宋体" w:eastAsia="宋体" w:hAnsi="宋体" w:cs="宋体" w:hint="eastAsia"/>
                <w:sz w:val="21"/>
                <w:szCs w:val="21"/>
              </w:rPr>
              <w:t>焊接工艺</w:t>
            </w:r>
            <w:r>
              <w:rPr>
                <w:rFonts w:ascii="宋体" w:eastAsia="宋体" w:hAnsi="宋体" w:cs="宋体" w:hint="eastAsia"/>
                <w:sz w:val="21"/>
                <w:szCs w:val="21"/>
                <w:lang w:eastAsia="zh-CN"/>
              </w:rPr>
              <w:t>：</w:t>
            </w:r>
            <w:r>
              <w:rPr>
                <w:rFonts w:ascii="宋体" w:eastAsia="宋体" w:hAnsi="宋体" w:cs="宋体" w:hint="eastAsia"/>
                <w:sz w:val="21"/>
                <w:szCs w:val="21"/>
              </w:rPr>
              <w:t>无气孔，高熔接度，高强度，抗弯折、抗压性强，具高承重力</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10.</w:t>
            </w:r>
            <w:r>
              <w:rPr>
                <w:rFonts w:ascii="宋体" w:eastAsia="宋体" w:hAnsi="宋体" w:cs="宋体" w:hint="eastAsia"/>
                <w:sz w:val="21"/>
                <w:szCs w:val="21"/>
              </w:rPr>
              <w:t>床面盖板为改性工程塑料一次成型，材料厚3.2mm±0.2mm, 盖板正面可承受≥185KG</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11.</w:t>
            </w:r>
            <w:r>
              <w:rPr>
                <w:rFonts w:ascii="宋体" w:eastAsia="宋体" w:hAnsi="宋体" w:cs="宋体" w:hint="eastAsia"/>
                <w:sz w:val="21"/>
                <w:szCs w:val="21"/>
              </w:rPr>
              <w:t>铝合金护栏，六支不锈钢护栏支柱，钢质可靠锁定/释放开关，释放开关带红/绿颜色标识，可清晰分辨锁紧状态，可单手操作</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12.</w:t>
            </w:r>
            <w:r>
              <w:rPr>
                <w:rFonts w:ascii="宋体" w:eastAsia="宋体" w:hAnsi="宋体" w:cs="宋体" w:hint="eastAsia"/>
                <w:sz w:val="21"/>
                <w:szCs w:val="21"/>
              </w:rPr>
              <w:t>床头床尾共配置4个≥80mm 防撞缓冲轮</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13.</w:t>
            </w:r>
            <w:r>
              <w:rPr>
                <w:rFonts w:ascii="宋体" w:eastAsia="宋体" w:hAnsi="宋体" w:cs="宋体" w:hint="eastAsia"/>
                <w:sz w:val="21"/>
                <w:szCs w:val="21"/>
              </w:rPr>
              <w:t>配置四个直径≥125mm万向静音聚氨酯独立刹车脚轮，耐磨，防腐蚀。脚轮防尘、防毛发卷入</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r>
              <w:rPr>
                <w:rFonts w:ascii="宋体" w:hAnsi="宋体" w:cs="宋体" w:hint="eastAsia"/>
                <w:sz w:val="21"/>
                <w:szCs w:val="21"/>
                <w:lang w:val="en-US" w:eastAsia="zh-CN"/>
              </w:rPr>
              <w:t>（每张</w:t>
            </w:r>
            <w:r>
              <w:rPr>
                <w:rFonts w:ascii="宋体" w:eastAsia="宋体" w:hAnsi="宋体" w:cs="宋体" w:hint="eastAsia"/>
                <w:i w:val="0"/>
                <w:iCs w:val="0"/>
                <w:color w:val="000000"/>
                <w:kern w:val="0"/>
                <w:sz w:val="21"/>
                <w:szCs w:val="21"/>
                <w:u w:val="none"/>
                <w:lang w:val="en-US" w:eastAsia="zh-CN"/>
              </w:rPr>
              <w:t>病床</w:t>
            </w:r>
            <w:r>
              <w:rPr>
                <w:rFonts w:ascii="宋体" w:hAnsi="宋体" w:cs="宋体" w:hint="eastAsia"/>
                <w:sz w:val="21"/>
                <w:szCs w:val="21"/>
                <w:lang w:val="en-US" w:eastAsia="zh-CN"/>
              </w:rPr>
              <w:t>）</w:t>
            </w:r>
            <w:r>
              <w:rPr>
                <w:rFonts w:ascii="宋体" w:eastAsia="宋体" w:hAnsi="宋体" w:cs="宋体" w:hint="eastAsia"/>
                <w:sz w:val="21"/>
                <w:szCs w:val="21"/>
                <w:lang w:val="en-US" w:eastAsia="zh-CN"/>
              </w:rPr>
              <w:t>：</w:t>
            </w:r>
          </w:p>
          <w:tbl>
            <w:tblPr>
              <w:tblStyle w:val="TableNormal0"/>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79"/>
              <w:gridCol w:w="1184"/>
              <w:gridCol w:w="916"/>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1"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6"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4" w:type="pct"/>
                <w:jc w:val="center"/>
                <w:tblLayout w:type="fixed"/>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1</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3"/>
                      <w:kern w:val="0"/>
                      <w:sz w:val="21"/>
                      <w:szCs w:val="21"/>
                    </w:rPr>
                  </w:pPr>
                  <w:r>
                    <w:rPr>
                      <w:rFonts w:ascii="宋体" w:hAnsi="宋体" w:cs="宋体" w:hint="eastAsia"/>
                      <w:sz w:val="21"/>
                      <w:szCs w:val="21"/>
                      <w:lang w:val="en-US" w:eastAsia="zh-CN"/>
                    </w:rPr>
                    <w:t>病床</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14" w:leftChars="0"/>
                    <w:jc w:val="center"/>
                    <w:rPr>
                      <w:rFonts w:ascii="宋体" w:hAnsi="宋体" w:cs="宋体" w:hint="default"/>
                      <w:spacing w:val="-9"/>
                      <w:kern w:val="0"/>
                      <w:sz w:val="21"/>
                      <w:szCs w:val="21"/>
                      <w:lang w:val="en-US" w:eastAsia="zh-CN"/>
                    </w:rPr>
                  </w:pPr>
                  <w:r>
                    <w:rPr>
                      <w:rFonts w:ascii="宋体" w:hAnsi="宋体" w:cs="宋体" w:hint="eastAsia"/>
                      <w:spacing w:val="-9"/>
                      <w:kern w:val="0"/>
                      <w:sz w:val="21"/>
                      <w:szCs w:val="21"/>
                      <w:lang w:val="en-US" w:eastAsia="zh-CN"/>
                    </w:rPr>
                    <w:t>2.</w:t>
                  </w:r>
                </w:p>
              </w:tc>
              <w:tc>
                <w:tcPr>
                  <w:tcW w:w="3479" w:type="dxa"/>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床垫</w:t>
                  </w:r>
                </w:p>
              </w:tc>
              <w:tc>
                <w:tcPr>
                  <w:tcW w:w="1184" w:type="dxa"/>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916" w:type="dxa"/>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3</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床头柜</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4</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餐板</w:t>
                  </w:r>
                </w:p>
              </w:tc>
              <w:tc>
                <w:tcPr>
                  <w:tcW w:w="946" w:type="pct"/>
                  <w:vAlign w:val="center"/>
                </w:tcPr>
                <w:p>
                  <w:pPr>
                    <w:widowControl/>
                    <w:jc w:val="center"/>
                    <w:rPr>
                      <w:rFonts w:ascii="宋体" w:eastAsia="宋体" w:hAnsi="宋体" w:cs="宋体" w:hint="eastAsia"/>
                      <w:spacing w:val="6"/>
                      <w:kern w:val="0"/>
                      <w:sz w:val="21"/>
                      <w:szCs w:val="21"/>
                      <w:lang w:val="en-US"/>
                    </w:rPr>
                  </w:pPr>
                  <w:r>
                    <w:rPr>
                      <w:rFonts w:ascii="宋体" w:eastAsia="宋体" w:hAnsi="宋体" w:cs="宋体" w:hint="eastAsia"/>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spacing w:val="6"/>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leftChars="0"/>
                    <w:jc w:val="center"/>
                    <w:rPr>
                      <w:rFonts w:ascii="宋体" w:eastAsia="宋体" w:hAnsi="宋体" w:cs="宋体" w:hint="eastAsia"/>
                      <w:spacing w:val="-9"/>
                      <w:kern w:val="0"/>
                      <w:sz w:val="21"/>
                      <w:szCs w:val="21"/>
                    </w:rPr>
                  </w:pPr>
                  <w:r>
                    <w:rPr>
                      <w:rFonts w:ascii="宋体" w:hAnsi="宋体" w:cs="宋体" w:hint="eastAsia"/>
                      <w:spacing w:val="-9"/>
                      <w:kern w:val="0"/>
                      <w:sz w:val="21"/>
                      <w:szCs w:val="21"/>
                      <w:lang w:val="en-US" w:eastAsia="zh-CN"/>
                    </w:rPr>
                    <w:t>5</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输液架</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8460" w:type="dxa"/>
          <w:jc w:val="center"/>
          <w:tblLayout w:type="fixed"/>
          <w:tblCellMar>
            <w:top w:w="0" w:type="dxa"/>
            <w:left w:w="108" w:type="dxa"/>
            <w:bottom w:w="0" w:type="dxa"/>
            <w:right w:w="108" w:type="dxa"/>
          </w:tblCellMar>
        </w:tblPrEx>
        <w:trPr>
          <w:trHeight w:val="567"/>
          <w:jc w:val="center"/>
        </w:trPr>
        <w:tc>
          <w:tcPr>
            <w:tcW w:w="841" w:type="dxa"/>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2</w:t>
            </w:r>
          </w:p>
        </w:tc>
        <w:tc>
          <w:tcPr>
            <w:tcW w:w="1134" w:type="dxa"/>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心肺复苏机</w:t>
            </w: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1.按压原理：采用胸腔接触式按压方式，胸部无负荷、垂直按压、自动中心位置定位；背部有固定板支撑。</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w:t>
            </w:r>
            <w:r>
              <w:rPr>
                <w:rFonts w:ascii="宋体" w:eastAsia="宋体" w:hAnsi="宋体" w:cs="宋体" w:hint="eastAsia"/>
                <w:sz w:val="21"/>
                <w:szCs w:val="21"/>
                <w:lang w:val="en-US" w:eastAsia="zh-CN"/>
              </w:rPr>
              <w:t>.驱动方式：电动电控。</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3</w:t>
            </w:r>
            <w:r>
              <w:rPr>
                <w:rFonts w:ascii="宋体" w:eastAsia="宋体" w:hAnsi="宋体" w:cs="宋体" w:hint="eastAsia"/>
                <w:sz w:val="21"/>
                <w:szCs w:val="21"/>
                <w:lang w:val="en-US" w:eastAsia="zh-CN"/>
              </w:rPr>
              <w:t>.机械结构：为双杆两侧固定结构，固定和支撑按压主机必须是使用硬质材料制成，不得使用有弹让性软质材料（如：布、软性纤维等），无法确保有效的按压深度，且不方便清洗消毒。功能操作界面在设备上方。便于按压位置的快速准确定位、操作清晰方便。</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4</w:t>
            </w:r>
            <w:r>
              <w:rPr>
                <w:rFonts w:ascii="宋体" w:eastAsia="宋体" w:hAnsi="宋体" w:cs="宋体" w:hint="eastAsia"/>
                <w:sz w:val="21"/>
                <w:szCs w:val="21"/>
                <w:lang w:val="en-US" w:eastAsia="zh-CN"/>
              </w:rPr>
              <w:t>.按压频率：100 次／分钟，实际按压频率与设置值误差为+2次。</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5</w:t>
            </w:r>
            <w:r>
              <w:rPr>
                <w:rFonts w:ascii="宋体" w:eastAsia="宋体" w:hAnsi="宋体" w:cs="宋体" w:hint="eastAsia"/>
                <w:sz w:val="21"/>
                <w:szCs w:val="21"/>
                <w:lang w:val="en-US" w:eastAsia="zh-CN"/>
              </w:rPr>
              <w:t>.按压深度：在0-6cm范围内可调，至少具有3.6cm、4.6cm、5.6cm三种按压深度可调，误差为±0.2cm。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6</w:t>
            </w:r>
            <w:r>
              <w:rPr>
                <w:rFonts w:ascii="宋体" w:eastAsia="宋体" w:hAnsi="宋体" w:cs="宋体" w:hint="eastAsia"/>
                <w:sz w:val="21"/>
                <w:szCs w:val="21"/>
                <w:lang w:val="en-US" w:eastAsia="zh-CN"/>
              </w:rPr>
              <w:t>.按压释放比：50%±2%，按压比1:1。确保胸腔完全回弹，胸腔上无任何负重。</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7</w:t>
            </w:r>
            <w:r>
              <w:rPr>
                <w:rFonts w:ascii="宋体" w:eastAsia="宋体" w:hAnsi="宋体" w:cs="宋体" w:hint="eastAsia"/>
                <w:sz w:val="21"/>
                <w:szCs w:val="21"/>
                <w:lang w:val="en-US" w:eastAsia="zh-CN"/>
              </w:rPr>
              <w:t>.按压通气模式：5:2 按压模式、30:2 按压模式、连续按压模式。</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8</w:t>
            </w:r>
            <w:r>
              <w:rPr>
                <w:rFonts w:ascii="宋体" w:eastAsia="宋体" w:hAnsi="宋体" w:cs="宋体" w:hint="eastAsia"/>
                <w:sz w:val="21"/>
                <w:szCs w:val="21"/>
                <w:lang w:val="en-US" w:eastAsia="zh-CN"/>
              </w:rPr>
              <w:t>.通气时间：在 15:2 及 30:2 模式下，通气停顿时间不大于 3 秒。</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9</w:t>
            </w:r>
            <w:r>
              <w:rPr>
                <w:rFonts w:ascii="宋体" w:eastAsia="宋体" w:hAnsi="宋体" w:cs="宋体" w:hint="eastAsia"/>
                <w:sz w:val="21"/>
                <w:szCs w:val="21"/>
                <w:lang w:val="en-US" w:eastAsia="zh-CN"/>
              </w:rPr>
              <w:t>.通气报警功能：具有辅助通气报警功能，提示救护人员通气及通气时间。</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10</w:t>
            </w:r>
            <w:r>
              <w:rPr>
                <w:rFonts w:ascii="宋体" w:eastAsia="宋体" w:hAnsi="宋体" w:cs="宋体" w:hint="eastAsia"/>
                <w:sz w:val="21"/>
                <w:szCs w:val="21"/>
                <w:lang w:val="en-US" w:eastAsia="zh-CN"/>
              </w:rPr>
              <w:t>.工作状态：最大工作倾斜度：≥40°，具有担架固定孔位，可固定担架上，确保下楼梯、转运途中能持续稳定实施胸腔按压，完全达到上述功能。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11</w:t>
            </w:r>
            <w:r>
              <w:rPr>
                <w:rFonts w:ascii="宋体" w:eastAsia="宋体" w:hAnsi="宋体" w:cs="宋体" w:hint="eastAsia"/>
                <w:sz w:val="21"/>
                <w:szCs w:val="21"/>
                <w:lang w:val="en-US" w:eastAsia="zh-CN"/>
              </w:rPr>
              <w:t>.开放气道：气道开放垫可使病人气道充分打开，便于病人的通气处理。</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12</w:t>
            </w:r>
            <w:r>
              <w:rPr>
                <w:rFonts w:ascii="宋体" w:eastAsia="宋体" w:hAnsi="宋体" w:cs="宋体" w:hint="eastAsia"/>
                <w:sz w:val="21"/>
                <w:szCs w:val="21"/>
                <w:lang w:val="en-US" w:eastAsia="zh-CN"/>
              </w:rPr>
              <w:t>.电池最大运行时间：新电池充满电情况下，电池最大运行时间≥60 分钟。交流电接入状态下，可持续工作无间断；同时给予电池充电。</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13</w:t>
            </w:r>
            <w:r>
              <w:rPr>
                <w:rFonts w:ascii="宋体" w:eastAsia="宋体" w:hAnsi="宋体" w:cs="宋体" w:hint="eastAsia"/>
                <w:sz w:val="21"/>
                <w:szCs w:val="21"/>
                <w:lang w:val="en-US" w:eastAsia="zh-CN"/>
              </w:rPr>
              <w:t>.充电时间：电池最大充电时间≤70 分钟。</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4</w:t>
            </w:r>
            <w:r>
              <w:rPr>
                <w:rFonts w:ascii="宋体" w:eastAsia="宋体" w:hAnsi="宋体" w:cs="宋体" w:hint="eastAsia"/>
                <w:sz w:val="21"/>
                <w:szCs w:val="21"/>
                <w:lang w:val="en-US" w:eastAsia="zh-CN"/>
              </w:rPr>
              <w:t>.适用胸廓范围：适用胸廓范围：最大胸宽47±2.5cm，胸骨高度范围13.3cm-30.3cm，误差±1cm，使用不受患者体重限制。</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5</w:t>
            </w:r>
            <w:r>
              <w:rPr>
                <w:rFonts w:ascii="宋体" w:eastAsia="宋体" w:hAnsi="宋体" w:cs="宋体" w:hint="eastAsia"/>
                <w:sz w:val="21"/>
                <w:szCs w:val="21"/>
                <w:lang w:val="en-US" w:eastAsia="zh-CN"/>
              </w:rPr>
              <w:t>.按压器峰值压力：在最大按压深度5.6cm的条件下，心肺复苏机的按压器峰值压力＞70kg（686N）。</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6</w:t>
            </w:r>
            <w:r>
              <w:rPr>
                <w:rFonts w:ascii="宋体" w:eastAsia="宋体" w:hAnsi="宋体" w:cs="宋体" w:hint="eastAsia"/>
                <w:sz w:val="21"/>
                <w:szCs w:val="21"/>
                <w:lang w:val="en-US" w:eastAsia="zh-CN"/>
              </w:rPr>
              <w:t>.整机重量≤6.5kg</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7</w:t>
            </w:r>
            <w:r>
              <w:rPr>
                <w:rFonts w:ascii="宋体" w:eastAsia="宋体" w:hAnsi="宋体" w:cs="宋体" w:hint="eastAsia"/>
                <w:sz w:val="21"/>
                <w:szCs w:val="21"/>
                <w:lang w:val="en-US" w:eastAsia="zh-CN"/>
              </w:rPr>
              <w:t>.体积：长×宽×高：≦55×38×12（cm）。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18</w:t>
            </w:r>
            <w:r>
              <w:rPr>
                <w:rFonts w:ascii="宋体" w:eastAsia="宋体" w:hAnsi="宋体" w:cs="宋体" w:hint="eastAsia"/>
                <w:sz w:val="21"/>
                <w:szCs w:val="21"/>
                <w:lang w:val="en-US" w:eastAsia="zh-CN"/>
              </w:rPr>
              <w:t>.单电池负载情况下运行时间≥60分钟，单电池空载运行时间≥150分钟，有电池电量分段指示，低电量黄灯和声音提示后，设备运行时间≥10分钟；低电量红灯和声音报警后，设备运行时间≥5分钟。</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19</w:t>
            </w:r>
            <w:r>
              <w:rPr>
                <w:rFonts w:ascii="宋体" w:eastAsia="宋体" w:hAnsi="宋体" w:cs="宋体" w:hint="eastAsia"/>
                <w:sz w:val="21"/>
                <w:szCs w:val="21"/>
                <w:lang w:val="en-US" w:eastAsia="zh-CN"/>
              </w:rPr>
              <w:t>.具有电池寿命提示。需要更换电池给予提示。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20</w:t>
            </w:r>
            <w:r>
              <w:rPr>
                <w:rFonts w:ascii="宋体" w:eastAsia="宋体" w:hAnsi="宋体" w:cs="宋体" w:hint="eastAsia"/>
                <w:sz w:val="21"/>
                <w:szCs w:val="21"/>
                <w:lang w:val="en-US" w:eastAsia="zh-CN"/>
              </w:rPr>
              <w:t>.设备内部故障报警功能。设备故障时给予报警提示。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21</w:t>
            </w:r>
            <w:r>
              <w:rPr>
                <w:rFonts w:ascii="宋体" w:eastAsia="宋体" w:hAnsi="宋体" w:cs="宋体" w:hint="eastAsia"/>
                <w:sz w:val="21"/>
                <w:szCs w:val="21"/>
                <w:lang w:val="en-US" w:eastAsia="zh-CN"/>
              </w:rPr>
              <w:t>.通气时间到达前具有声、光提示，按压次数倒数5次开始声光提示5次；需要辅助通气时，有喇叭声提示救护人员通气及准确掌握通气时间。</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22</w:t>
            </w:r>
            <w:r>
              <w:rPr>
                <w:rFonts w:ascii="宋体" w:eastAsia="宋体" w:hAnsi="宋体" w:cs="宋体" w:hint="eastAsia"/>
                <w:sz w:val="21"/>
                <w:szCs w:val="21"/>
                <w:lang w:val="en-US" w:eastAsia="zh-CN"/>
              </w:rPr>
              <w:t>.紧急暂停功能：急救时发生需暂停情况下，可暂停、停止按压或关闭主机。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23</w:t>
            </w:r>
            <w:r>
              <w:rPr>
                <w:rFonts w:ascii="宋体" w:eastAsia="宋体" w:hAnsi="宋体" w:cs="宋体" w:hint="eastAsia"/>
                <w:sz w:val="21"/>
                <w:szCs w:val="21"/>
                <w:lang w:val="en-US" w:eastAsia="zh-CN"/>
              </w:rPr>
              <w:t>.当主机发生错误，按压头可自动归位，防止病人受到伤害。</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24</w:t>
            </w:r>
            <w:r>
              <w:rPr>
                <w:rFonts w:ascii="宋体" w:eastAsia="宋体" w:hAnsi="宋体" w:cs="宋体" w:hint="eastAsia"/>
                <w:sz w:val="21"/>
                <w:szCs w:val="21"/>
                <w:lang w:val="en-US" w:eastAsia="zh-CN"/>
              </w:rPr>
              <w:t>.按键式操控面板：设备操控面板界面采用按键式的操控面板，非液晶显示，可避免在户外强光照射下出现盲视，影响参数设定。</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25</w:t>
            </w:r>
            <w:r>
              <w:rPr>
                <w:rFonts w:ascii="宋体" w:eastAsia="宋体" w:hAnsi="宋体" w:cs="宋体" w:hint="eastAsia"/>
                <w:sz w:val="21"/>
                <w:szCs w:val="21"/>
                <w:lang w:val="en-US" w:eastAsia="zh-CN"/>
              </w:rPr>
              <w:t>.胸部厚度测量：设备采用双杆固定结构，双杆具有胸部厚度测量标尺标示，标示范围15-26cm，误差±1cm，可指示患者实际胸厚。</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26</w:t>
            </w:r>
            <w:r>
              <w:rPr>
                <w:rFonts w:ascii="宋体" w:eastAsia="宋体" w:hAnsi="宋体" w:cs="宋体" w:hint="eastAsia"/>
                <w:sz w:val="21"/>
                <w:szCs w:val="21"/>
                <w:lang w:val="en-US" w:eastAsia="zh-CN"/>
              </w:rPr>
              <w:t>.手臂固定方式：具有腕部固定带，能将病人的手臂固定于按压主机两侧的支撑腿上，能加强病人与按压主机的固定，方便病人转运。</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27</w:t>
            </w:r>
            <w:r>
              <w:rPr>
                <w:rFonts w:ascii="宋体" w:eastAsia="宋体" w:hAnsi="宋体" w:cs="宋体" w:hint="eastAsia"/>
                <w:sz w:val="21"/>
                <w:szCs w:val="21"/>
                <w:lang w:val="en-US" w:eastAsia="zh-CN"/>
              </w:rPr>
              <w:t>.安装方式：主机可快速上下升降，可根据患者体形差异和操作环境的不同，快速将按压头与患者胸部定位，主机重心可调节，按压稳定。</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0"/>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81"/>
              <w:gridCol w:w="1184"/>
              <w:gridCol w:w="916"/>
            </w:tblGrid>
            <w:tr>
              <w:tblPrEx>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2"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5"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5" w:type="pct"/>
                <w:jc w:val="center"/>
                <w:tblLayout w:type="fixed"/>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2" w:type="pct"/>
                  <w:vAlign w:val="center"/>
                </w:tcPr>
                <w:p>
                  <w:pPr>
                    <w:widowControl/>
                    <w:jc w:val="center"/>
                    <w:rPr>
                      <w:rFonts w:ascii="宋体" w:eastAsia="宋体" w:hAnsi="宋体" w:cs="宋体" w:hint="eastAsia"/>
                      <w:spacing w:val="-13"/>
                      <w:kern w:val="0"/>
                      <w:sz w:val="21"/>
                      <w:szCs w:val="21"/>
                    </w:rPr>
                  </w:pPr>
                  <w:r>
                    <w:rPr>
                      <w:rFonts w:ascii="宋体" w:eastAsia="宋体" w:hAnsi="宋体" w:cs="宋体" w:hint="eastAsia"/>
                      <w:sz w:val="21"/>
                      <w:szCs w:val="21"/>
                      <w:lang w:val="en-US" w:eastAsia="zh-CN"/>
                    </w:rPr>
                    <w:t>胸腔按压机主机</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台</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背板（含气道开放垫）</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件</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可充电锂电池</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电源适配器</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便携背包</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6.</w:t>
                  </w:r>
                </w:p>
              </w:tc>
              <w:tc>
                <w:tcPr>
                  <w:tcW w:w="2782" w:type="pct"/>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负压吸盘</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3</w:t>
            </w:r>
          </w:p>
        </w:tc>
        <w:tc>
          <w:tcPr>
            <w:tcW w:w="1134" w:type="dxa"/>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站立病床</w:t>
            </w: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1.床面尺寸：≥1980*800mm，床体尺寸：≥2160*940mm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2.病床既可供承载及护理患者使用，又可用于下肢功能障碍患者站立辅助训练。</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3.床面可垂直升降，高度调节范围：≥400~800mm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4.床体起立角度可调：垂头位最低角度≤-12°，直立角度0-85°可调；</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5.配有专用足部踏板，供患者站立辅助训练使用，足部踏板静态承重≥3000N；</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6.足部踏板免工具拆装，方便在非训练情况下收纳</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7.背板角度电动调整范围：0~60°</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8.腿板角度电动调整范围：0~25°</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9.腿板手动抬起功能，分七档可调。</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10.配有可折叠式护栏，高度不低于350mm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11.配有四角防撞滚轮，</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12.床体两侧配有挂钩，方便悬挂尿袋、造瘘袋等</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13.四角配有输液杆安装孔位，方便安装输液杆</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14.床体动态承重≥175kg</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15.防进液等级≥IPX4级</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16.电机数量≥5个</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17.双重供电模式，内部电源可在断电的情况下继续工作</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18.配有紧急开关，在紧急情况下按下可以停止设备工作</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19.配有安全保护带，且保护带数量不少于3条，方便患者各肢体部位固定。</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20.站立安全系统：在执行直立训练操作时，如果床体其他部位未处于最低位，则须先等待其他部位下降至最低位后（自动复位），方可执行整体前倾操作；在床体处于整体前倾状态下，为保证患者安全，可防止背部上升/下降和腿部上升/下降的误操作。</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21.保护带静态承重≥500N</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22.保护带由魔术贴和卡扣组成，宽度≥11.2CM。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23.双侧护栏内嵌式液面角度尺，实时精准显示床体角度；</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24.自锁式医用脚轮，方便床体移动及固定时，微调床体方向。</w:t>
            </w:r>
          </w:p>
        </w:tc>
      </w:tr>
      <w:tr>
        <w:tblPrEx>
          <w:tblW w:w="8460" w:type="dxa"/>
          <w:jc w:val="center"/>
          <w:tblLayout w:type="fixed"/>
          <w:tblCellMar>
            <w:top w:w="0" w:type="dxa"/>
            <w:left w:w="108" w:type="dxa"/>
            <w:bottom w:w="0" w:type="dxa"/>
            <w:right w:w="108" w:type="dxa"/>
          </w:tblCellMar>
        </w:tblPrEx>
        <w:trPr>
          <w:trHeight w:val="334"/>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w:t>
            </w:r>
            <w:r>
              <w:rPr>
                <w:rFonts w:ascii="宋体" w:hAnsi="宋体" w:cs="宋体" w:hint="eastAsia"/>
                <w:sz w:val="21"/>
                <w:szCs w:val="21"/>
                <w:lang w:val="en-US" w:eastAsia="zh-CN"/>
              </w:rPr>
              <w:t>5</w:t>
            </w:r>
            <w:r>
              <w:rPr>
                <w:rFonts w:ascii="宋体" w:eastAsia="宋体" w:hAnsi="宋体" w:cs="宋体" w:hint="eastAsia"/>
                <w:sz w:val="21"/>
                <w:szCs w:val="21"/>
              </w:rPr>
              <w:t>.床下框离地间距：≥150mm</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r>
              <w:rPr>
                <w:rFonts w:ascii="宋体" w:hAnsi="宋体" w:cs="宋体" w:hint="eastAsia"/>
                <w:sz w:val="21"/>
                <w:szCs w:val="21"/>
                <w:lang w:val="en-US" w:eastAsia="zh-CN"/>
              </w:rPr>
              <w:t>（每张病床）</w:t>
            </w:r>
            <w:r>
              <w:rPr>
                <w:rFonts w:ascii="宋体" w:eastAsia="宋体" w:hAnsi="宋体" w:cs="宋体" w:hint="eastAsia"/>
                <w:sz w:val="21"/>
                <w:szCs w:val="21"/>
                <w:lang w:val="en-US" w:eastAsia="zh-CN"/>
              </w:rPr>
              <w:t>：</w:t>
            </w:r>
          </w:p>
          <w:tbl>
            <w:tblPr>
              <w:tblStyle w:val="TableNormal0"/>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81"/>
              <w:gridCol w:w="1184"/>
              <w:gridCol w:w="916"/>
            </w:tblGrid>
            <w:tr>
              <w:tblPrEx>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2"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5"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5" w:type="pct"/>
                <w:jc w:val="center"/>
                <w:tblLayout w:type="fixed"/>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2" w:type="pct"/>
                  <w:vAlign w:val="center"/>
                </w:tcPr>
                <w:p>
                  <w:pPr>
                    <w:widowControl/>
                    <w:jc w:val="center"/>
                    <w:rPr>
                      <w:rFonts w:ascii="宋体" w:eastAsia="宋体" w:hAnsi="宋体" w:cs="宋体" w:hint="eastAsia"/>
                      <w:spacing w:val="-13"/>
                      <w:kern w:val="0"/>
                      <w:sz w:val="21"/>
                      <w:szCs w:val="21"/>
                      <w:lang w:val="en-US" w:eastAsia="zh-CN"/>
                    </w:rPr>
                  </w:pPr>
                  <w:r>
                    <w:rPr>
                      <w:rFonts w:ascii="宋体" w:eastAsia="宋体" w:hAnsi="宋体" w:cs="宋体" w:hint="eastAsia"/>
                      <w:spacing w:val="-13"/>
                      <w:kern w:val="0"/>
                      <w:sz w:val="21"/>
                      <w:szCs w:val="21"/>
                      <w:lang w:val="en-US" w:eastAsia="zh-CN"/>
                    </w:rPr>
                    <w:t>电动病床</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脚踏板</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床头挡板</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床尾当帮</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绑带</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条</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3</w:t>
                  </w:r>
                </w:p>
              </w:tc>
            </w:tr>
            <w:tr>
              <w:tblPrEx>
                <w:tblW w:w="4995"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6.</w:t>
                  </w:r>
                </w:p>
              </w:tc>
              <w:tc>
                <w:tcPr>
                  <w:tcW w:w="2782" w:type="pct"/>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输液杆</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根</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bl>
    <w:p>
      <w:pPr>
        <w:rPr>
          <w:rFonts w:ascii="Times New Roman" w:eastAsia="宋体" w:hAnsi="Times New Roman" w:cs="Times New Roman"/>
          <w:b/>
          <w:szCs w:val="21"/>
        </w:rPr>
      </w:pPr>
      <w:bookmarkEnd w:id="45"/>
      <w:bookmarkEnd w:id="46"/>
    </w:p>
    <w:p>
      <w:pPr>
        <w:rPr>
          <w:rFonts w:ascii="Times New Roman" w:eastAsia="宋体" w:hAnsi="Times New Roman" w:cs="Times New Roman"/>
          <w:b/>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五、商务要求</w:t>
      </w:r>
    </w:p>
    <w:p>
      <w:pPr>
        <w:ind w:firstLine="420" w:firstLineChars="200"/>
        <w:rPr>
          <w:rFonts w:ascii="Times New Roman" w:eastAsia="宋体" w:hAnsi="Times New Roman" w:cs="Times New Roman"/>
          <w:b/>
          <w:szCs w:val="21"/>
        </w:rPr>
      </w:pPr>
      <w:r>
        <w:rPr>
          <w:rFonts w:ascii="Times New Roman" w:eastAsia="宋体" w:hAnsi="Times New Roman" w:cs="Times New Roman" w:hint="eastAsia"/>
          <w:b/>
          <w:szCs w:val="21"/>
        </w:rPr>
        <w:t>说明：带★号条款为不可偏离条款，不作为评分准则中的评分内容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w:t>
      </w:r>
    </w:p>
    <w:tbl>
      <w:tblPr>
        <w:tblStyle w:val="TableNormal00"/>
        <w:tblW w:w="501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807"/>
        <w:gridCol w:w="1694"/>
        <w:gridCol w:w="5835"/>
      </w:tblGrid>
      <w:tr>
        <w:tblPrEx>
          <w:tblW w:w="501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576"/>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6"/>
                <w:kern w:val="0"/>
                <w:sz w:val="21"/>
                <w:szCs w:val="21"/>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14"/>
                <w:kern w:val="0"/>
                <w:sz w:val="21"/>
                <w:szCs w:val="21"/>
              </w:rPr>
              <w:t>目录</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spacing w:val="8"/>
                <w:kern w:val="0"/>
                <w:sz w:val="21"/>
                <w:szCs w:val="21"/>
              </w:rPr>
              <w:t>商务要求</w:t>
            </w:r>
          </w:p>
        </w:tc>
      </w:tr>
      <w:tr>
        <w:tblPrEx>
          <w:tblW w:w="5010" w:type="pct"/>
          <w:jc w:val="center"/>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4"/>
                <w:kern w:val="0"/>
                <w:sz w:val="21"/>
                <w:szCs w:val="21"/>
              </w:rPr>
              <w:t>（一）免费保修期内售后服务要求</w:t>
            </w:r>
          </w:p>
        </w:tc>
      </w:tr>
      <w:tr>
        <w:tblPrEx>
          <w:tblW w:w="5010" w:type="pct"/>
          <w:jc w:val="center"/>
          <w:tblCellMar>
            <w:top w:w="0" w:type="dxa"/>
            <w:left w:w="0" w:type="dxa"/>
            <w:bottom w:w="0" w:type="dxa"/>
            <w:right w:w="0" w:type="dxa"/>
          </w:tblCellMar>
        </w:tblPrEx>
        <w:trPr>
          <w:trHeight w:val="331"/>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position w:val="-1"/>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9"/>
                <w:kern w:val="0"/>
                <w:sz w:val="21"/>
                <w:szCs w:val="21"/>
              </w:rPr>
              <w:t>维修及维护服务</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asciiTheme="minorEastAsia" w:eastAsiaTheme="minorEastAsia" w:hAnsiTheme="minorEastAsia" w:cstheme="minorEastAsia" w:hint="eastAsia"/>
                <w:b/>
                <w:bCs/>
                <w:color w:val="FF0000"/>
                <w:spacing w:val="9"/>
                <w:kern w:val="0"/>
                <w:sz w:val="21"/>
                <w:szCs w:val="21"/>
              </w:rPr>
              <w:t>1.1各投标人应在投标文件中列明各主机、配件和易耗品的保修期限，并承诺提供</w:t>
            </w:r>
            <w:r>
              <w:rPr>
                <w:rFonts w:asciiTheme="minorEastAsia" w:hAnsiTheme="minorEastAsia" w:cstheme="minorEastAsia" w:hint="eastAsia"/>
                <w:b/>
                <w:bCs/>
                <w:color w:val="FF0000"/>
                <w:spacing w:val="9"/>
                <w:kern w:val="0"/>
                <w:sz w:val="21"/>
                <w:szCs w:val="21"/>
                <w:lang w:val="en-US" w:eastAsia="zh-CN"/>
              </w:rPr>
              <w:t>原厂</w:t>
            </w:r>
            <w:r>
              <w:rPr>
                <w:rFonts w:asciiTheme="minorEastAsia" w:eastAsiaTheme="minorEastAsia" w:hAnsiTheme="minorEastAsia" w:cstheme="minorEastAsia" w:hint="eastAsia"/>
                <w:b/>
                <w:bCs/>
                <w:color w:val="FF0000"/>
                <w:spacing w:val="9"/>
                <w:kern w:val="0"/>
                <w:sz w:val="21"/>
                <w:szCs w:val="21"/>
              </w:rPr>
              <w:t>主机及配件免费保修期</w:t>
            </w:r>
            <w:r>
              <w:rPr>
                <w:rFonts w:asciiTheme="minorEastAsia" w:hAnsiTheme="minorEastAsia" w:cstheme="minorEastAsia" w:hint="eastAsia"/>
                <w:b/>
                <w:bCs/>
                <w:color w:val="FF0000"/>
                <w:spacing w:val="9"/>
                <w:kern w:val="0"/>
                <w:sz w:val="21"/>
                <w:szCs w:val="21"/>
                <w:lang w:val="en-US" w:eastAsia="zh-CN"/>
              </w:rPr>
              <w:t>为5</w:t>
            </w:r>
            <w:r>
              <w:rPr>
                <w:rFonts w:asciiTheme="minorEastAsia" w:eastAsiaTheme="minorEastAsia" w:hAnsiTheme="minorEastAsia" w:cstheme="minorEastAsia" w:hint="eastAsia"/>
                <w:b/>
                <w:bCs/>
                <w:color w:val="FF0000"/>
                <w:spacing w:val="9"/>
                <w:kern w:val="0"/>
                <w:sz w:val="21"/>
                <w:szCs w:val="21"/>
              </w:rPr>
              <w:t xml:space="preserve"> 年，保修期以验收合格，双方代表签署“验收报告”之日起计算。</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lang w:val="en-US" w:eastAsia="zh-CN"/>
              </w:rPr>
              <w:t>1.2</w:t>
            </w:r>
            <w:r>
              <w:rPr>
                <w:rFonts w:asciiTheme="majorEastAsia" w:eastAsiaTheme="majorEastAsia" w:hAnsiTheme="majorEastAsia" w:cstheme="majorEastAsia" w:hint="eastAsia"/>
                <w:b/>
                <w:bCs/>
                <w:color w:val="FF0000"/>
                <w:sz w:val="21"/>
                <w:szCs w:val="21"/>
              </w:rPr>
              <w:t>保修期内更换零配件、软件升级、人工等服务如原厂需收费由</w:t>
            </w:r>
            <w:r>
              <w:rPr>
                <w:rFonts w:asciiTheme="majorEastAsia" w:eastAsiaTheme="majorEastAsia" w:hAnsiTheme="majorEastAsia" w:cstheme="majorEastAsia" w:hint="eastAsia"/>
                <w:b/>
                <w:bCs/>
                <w:color w:val="FF0000"/>
                <w:sz w:val="21"/>
                <w:szCs w:val="21"/>
                <w:lang w:val="en-US" w:eastAsia="zh-CN"/>
              </w:rPr>
              <w:t>中标人</w:t>
            </w:r>
            <w:r>
              <w:rPr>
                <w:rFonts w:asciiTheme="majorEastAsia" w:eastAsiaTheme="majorEastAsia" w:hAnsiTheme="majorEastAsia" w:cstheme="majorEastAsia" w:hint="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val="en-US" w:eastAsia="zh-CN"/>
              </w:rPr>
              <w:t xml:space="preserve">1.3 </w:t>
            </w:r>
            <w:r>
              <w:rPr>
                <w:rFonts w:asciiTheme="majorEastAsia" w:eastAsiaTheme="majorEastAsia" w:hAnsiTheme="majorEastAsia" w:cstheme="majorEastAsia" w:hint="eastAsia"/>
                <w:b/>
                <w:bCs/>
                <w:color w:val="FF0000"/>
                <w:spacing w:val="0"/>
                <w:sz w:val="21"/>
                <w:szCs w:val="21"/>
                <w:lang w:eastAsia="zh-CN"/>
              </w:rPr>
              <w:t>在保修期内，中标人应确保设备安全正常运行，年开机率保证在95%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以上。因设备故障导致开机率不足95%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a.年开机率在90%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b.年开机率在85%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c.年开机率低于85%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，中标人必须无条件更换新机，并重新计算保修期，以及赔偿</w:t>
            </w:r>
            <w:r>
              <w:rPr>
                <w:rFonts w:asciiTheme="majorEastAsia" w:eastAsiaTheme="majorEastAsia" w:hAnsiTheme="majorEastAsia" w:cstheme="majorEastAsia" w:hint="eastAsia"/>
                <w:b/>
                <w:bCs/>
                <w:color w:val="FF0000"/>
                <w:spacing w:val="0"/>
                <w:sz w:val="21"/>
                <w:szCs w:val="21"/>
                <w:lang w:val="en-US" w:eastAsia="zh-CN"/>
              </w:rPr>
              <w:t>采购人</w:t>
            </w:r>
            <w:r>
              <w:rPr>
                <w:rFonts w:asciiTheme="majorEastAsia" w:eastAsiaTheme="majorEastAsia" w:hAnsiTheme="majorEastAsia" w:cstheme="majorEastAsia" w:hint="eastAsia"/>
                <w:b/>
                <w:bCs/>
                <w:color w:val="FF0000"/>
                <w:spacing w:val="0"/>
                <w:sz w:val="21"/>
                <w:szCs w:val="21"/>
                <w:lang w:eastAsia="zh-CN"/>
              </w:rPr>
              <w:t>的直接经济损失和间接经济损失，</w:t>
            </w:r>
            <w:r>
              <w:rPr>
                <w:rFonts w:asciiTheme="majorEastAsia" w:eastAsiaTheme="majorEastAsia" w:hAnsiTheme="majorEastAsia" w:cstheme="majorEastAsia" w:hint="eastAsia"/>
                <w:b/>
                <w:bCs/>
                <w:color w:val="FF0000"/>
                <w:spacing w:val="0"/>
                <w:sz w:val="21"/>
                <w:szCs w:val="21"/>
                <w:lang w:val="en-US" w:eastAsia="zh-CN"/>
              </w:rPr>
              <w:t>同时，采购人还有权选择退货</w:t>
            </w:r>
            <w:r>
              <w:rPr>
                <w:rFonts w:asciiTheme="majorEastAsia" w:eastAsiaTheme="majorEastAsia" w:hAnsiTheme="majorEastAsia" w:cstheme="majorEastAsia" w:hint="eastAsia"/>
                <w:b/>
                <w:bCs/>
                <w:color w:val="FF0000"/>
                <w:spacing w:val="0"/>
                <w:sz w:val="21"/>
                <w:szCs w:val="21"/>
                <w:lang w:eastAsia="zh-CN"/>
              </w:rPr>
              <w:t>处理。</w:t>
            </w:r>
          </w:p>
          <w:p>
            <w:pPr>
              <w:pStyle w:val="BodyText"/>
              <w:rPr>
                <w:rFonts w:hint="eastAsia"/>
              </w:rPr>
            </w:pPr>
            <w:r>
              <w:rPr>
                <w:rFonts w:asciiTheme="majorEastAsia" w:eastAsiaTheme="majorEastAsia" w:hAnsiTheme="majorEastAsia" w:cstheme="majorEastAsia" w:hint="eastAsia"/>
                <w:b/>
                <w:bCs/>
                <w:color w:val="FF0000"/>
                <w:spacing w:val="0"/>
                <w:sz w:val="21"/>
                <w:szCs w:val="21"/>
                <w:lang w:eastAsia="zh-CN"/>
              </w:rPr>
              <w:t>注：年开机率 =（365-停机天数）/365。</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1.2由生产厂家提供售后服务，4 小时内响应，24小时维修到位。消耗品和零配件供应及时，</w:t>
            </w:r>
            <w:r>
              <w:rPr>
                <w:rFonts w:asciiTheme="majorEastAsia" w:eastAsiaTheme="majorEastAsia" w:hAnsiTheme="majorEastAsia" w:cstheme="majorEastAsia" w:hint="eastAsia"/>
                <w:bCs/>
                <w:sz w:val="21"/>
                <w:szCs w:val="21"/>
              </w:rPr>
              <w:t>发生突发问题厂家需携带可使用的备用机24小时内到场，根据现场情况采用现场维修或备用机替代的方法。</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1.4保修期内，设备主机及配件免费维修、免费更换、免工时费，并免费提供软件升级。</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1.5保修期内，投标人负责提供及开放数据接口，免费提供该设备与医院PACS、HIS、叫号系统等的数据接口服务，次数不限，涉及与第三方公司的接口费用，由投标人负责。</w:t>
            </w:r>
          </w:p>
        </w:tc>
      </w:tr>
      <w:tr>
        <w:tblPrEx>
          <w:tblW w:w="5010" w:type="pct"/>
          <w:jc w:val="center"/>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4"/>
                <w:kern w:val="0"/>
                <w:sz w:val="21"/>
                <w:szCs w:val="21"/>
              </w:rPr>
              <w:t>（二）免费保修期外售后服务要求</w:t>
            </w:r>
          </w:p>
        </w:tc>
      </w:tr>
      <w:tr>
        <w:tblPrEx>
          <w:tblW w:w="5010" w:type="pct"/>
          <w:jc w:val="center"/>
          <w:tblCellMar>
            <w:top w:w="0" w:type="dxa"/>
            <w:left w:w="0" w:type="dxa"/>
            <w:bottom w:w="0" w:type="dxa"/>
            <w:right w:w="0" w:type="dxa"/>
          </w:tblCellMar>
        </w:tblPrEx>
        <w:trPr>
          <w:trHeight w:val="604"/>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spacing w:val="9"/>
                <w:kern w:val="0"/>
                <w:sz w:val="21"/>
                <w:szCs w:val="21"/>
                <w:lang w:val="en-US" w:eastAsia="zh-CN"/>
              </w:rPr>
              <w:t>维修</w:t>
            </w:r>
            <w:r>
              <w:rPr>
                <w:rFonts w:asciiTheme="minorEastAsia" w:hAnsiTheme="minorEastAsia" w:cstheme="minorEastAsia" w:hint="eastAsia"/>
                <w:spacing w:val="6"/>
                <w:kern w:val="0"/>
                <w:sz w:val="21"/>
                <w:szCs w:val="21"/>
                <w:lang w:val="en-US" w:eastAsia="zh-CN"/>
              </w:rPr>
              <w:t>服务和优惠价格</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1.1由生产厂家提供售后服务，  4 小时内响应，  24  小时维修到位。消耗品和零配件供应及时，特殊情况下可提供备用机。</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1.2终身维修，保修期满后，生产厂家对用户进行的售后服务只收更换部件的成本费，提供维修零配件、消耗品优惠价格。</w:t>
            </w:r>
            <w:r>
              <w:rPr>
                <w:rFonts w:asciiTheme="majorEastAsia" w:eastAsiaTheme="majorEastAsia" w:hAnsiTheme="majorEastAsia" w:cstheme="majorEastAsia" w:hint="eastAsia"/>
                <w:bCs/>
                <w:sz w:val="21"/>
                <w:szCs w:val="21"/>
                <w:lang w:eastAsia="zh-CN"/>
              </w:rPr>
              <w:t>中标人</w:t>
            </w:r>
            <w:r>
              <w:rPr>
                <w:rFonts w:asciiTheme="majorEastAsia" w:eastAsiaTheme="majorEastAsia" w:hAnsiTheme="majorEastAsia" w:cstheme="majorEastAsia" w:hint="eastAsia"/>
                <w:bCs/>
                <w:sz w:val="21"/>
                <w:szCs w:val="21"/>
              </w:rPr>
              <w:t>负责设备的终身维修并应继续提供优质的服务，储备足够的零配件备库并保证十年以上维修配件、耗材的正常供应。</w:t>
            </w:r>
            <w:r>
              <w:rPr>
                <w:rFonts w:asciiTheme="majorEastAsia" w:eastAsiaTheme="majorEastAsia" w:hAnsiTheme="majorEastAsia" w:cstheme="majorEastAsia" w:hint="eastAsia"/>
                <w:bCs/>
                <w:sz w:val="21"/>
                <w:szCs w:val="21"/>
                <w:lang w:val="en-US" w:eastAsia="zh-CN"/>
              </w:rPr>
              <w:t>十</w:t>
            </w:r>
            <w:r>
              <w:rPr>
                <w:rFonts w:asciiTheme="majorEastAsia" w:eastAsiaTheme="majorEastAsia" w:hAnsiTheme="majorEastAsia" w:cstheme="majorEastAsia" w:hint="eastAsia"/>
                <w:bCs/>
                <w:spacing w:val="0"/>
                <w:sz w:val="21"/>
                <w:szCs w:val="21"/>
                <w:lang w:eastAsia="zh-CN"/>
              </w:rPr>
              <w:t>年内免费提供软件升级服务。</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1.3采购人可与投标人就优惠价进行谈判，但优惠价不得高于投标人在投标文件中承诺的消耗品、零配件报价。</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1.4生产厂家维修的货物经采购人验收合格，且厂家提供维修发票后，采购人支付维修费用。</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10" w:type="pct"/>
          <w:jc w:val="center"/>
          <w:tblCellMar>
            <w:top w:w="0" w:type="dxa"/>
            <w:left w:w="0" w:type="dxa"/>
            <w:bottom w:w="0" w:type="dxa"/>
            <w:right w:w="0" w:type="dxa"/>
          </w:tblCellMar>
        </w:tblPrEx>
        <w:trPr>
          <w:trHeight w:val="604"/>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spacing w:val="9"/>
                <w:kern w:val="0"/>
                <w:sz w:val="21"/>
                <w:szCs w:val="21"/>
                <w:lang w:val="en-US" w:eastAsia="zh-CN"/>
              </w:rPr>
            </w:pPr>
            <w:r>
              <w:rPr>
                <w:rFonts w:asciiTheme="minorEastAsia" w:hAnsiTheme="minorEastAsia" w:cstheme="minorEastAsia" w:hint="eastAsia"/>
                <w:spacing w:val="9"/>
                <w:kern w:val="0"/>
                <w:sz w:val="21"/>
                <w:szCs w:val="21"/>
                <w:lang w:val="en-US" w:eastAsia="zh-CN"/>
              </w:rPr>
              <w:t>1.6信息化系统：</w:t>
            </w:r>
            <w:r>
              <w:rPr>
                <w:rFonts w:asciiTheme="majorEastAsia" w:eastAsiaTheme="majorEastAsia" w:hAnsiTheme="majorEastAsia" w:cstheme="majorEastAsia" w:hint="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Theme="majorEastAsia" w:eastAsiaTheme="majorEastAsia" w:hAnsiTheme="majorEastAsia" w:cstheme="majorEastAsia" w:hint="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10" w:type="pct"/>
          <w:jc w:val="center"/>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10"/>
                <w:kern w:val="0"/>
                <w:sz w:val="21"/>
                <w:szCs w:val="21"/>
              </w:rPr>
              <w:t>（三）其他商务要求</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8"/>
                <w:kern w:val="0"/>
                <w:sz w:val="21"/>
                <w:szCs w:val="21"/>
              </w:rPr>
              <w:t>交货要求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8"/>
                <w:kern w:val="0"/>
                <w:sz w:val="21"/>
                <w:szCs w:val="21"/>
                <w:lang w:val="en-US" w:eastAsia="zh-CN"/>
              </w:rPr>
              <w:t>1.</w:t>
            </w:r>
            <w:r>
              <w:rPr>
                <w:rFonts w:asciiTheme="minorEastAsia" w:eastAsiaTheme="minorEastAsia" w:hAnsiTheme="minorEastAsia" w:cstheme="minorEastAsia" w:hint="eastAsia"/>
                <w:b/>
                <w:bCs/>
                <w:color w:val="FF0000"/>
                <w:spacing w:val="8"/>
                <w:kern w:val="0"/>
                <w:sz w:val="21"/>
                <w:szCs w:val="21"/>
              </w:rPr>
              <w:t>投标人在签订合同之日起</w:t>
            </w:r>
            <w:r>
              <w:rPr>
                <w:rFonts w:asciiTheme="minorEastAsia" w:hAnsiTheme="minorEastAsia" w:cstheme="minorEastAsia" w:hint="eastAsia"/>
                <w:b/>
                <w:bCs/>
                <w:color w:val="FF0000"/>
                <w:spacing w:val="8"/>
                <w:kern w:val="0"/>
                <w:sz w:val="21"/>
                <w:szCs w:val="21"/>
                <w:lang w:val="en-US" w:eastAsia="zh-CN"/>
              </w:rPr>
              <w:t>30</w:t>
            </w:r>
            <w:r>
              <w:rPr>
                <w:rFonts w:asciiTheme="minorEastAsia" w:eastAsiaTheme="minorEastAsia" w:hAnsiTheme="minorEastAsia" w:cstheme="minorEastAsia" w:hint="eastAsia"/>
                <w:b/>
                <w:bCs/>
                <w:color w:val="FF0000"/>
                <w:spacing w:val="8"/>
                <w:kern w:val="0"/>
                <w:sz w:val="21"/>
                <w:szCs w:val="21"/>
              </w:rPr>
              <w:t xml:space="preserve"> 天（日历日）内交货。</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eastAsiaTheme="minorEastAsia" w:hAnsiTheme="minorEastAsia" w:cstheme="minorEastAsia" w:hint="eastAsia"/>
                <w:spacing w:val="8"/>
                <w:kern w:val="0"/>
                <w:sz w:val="21"/>
                <w:szCs w:val="21"/>
                <w:lang w:val="en-US" w:eastAsia="zh-CN"/>
              </w:rPr>
              <w:t>2.交货地点：深圳市大鹏新区南澳人民医院</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报价要求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Cs/>
                <w:sz w:val="21"/>
                <w:szCs w:val="21"/>
              </w:rPr>
              <w:t>投标总价是完成该项目的一切费用总和，</w:t>
            </w:r>
            <w:r>
              <w:rPr>
                <w:rFonts w:asciiTheme="majorEastAsia" w:eastAsiaTheme="majorEastAsia" w:hAnsiTheme="majorEastAsia" w:cstheme="majorEastAsia" w:hint="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质量要求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ajorEastAsia" w:eastAsiaTheme="majorEastAsia" w:hAnsiTheme="majorEastAsia" w:cstheme="majorEastAsia" w:hint="eastAsia"/>
                <w:bCs/>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highlight w:val="none"/>
                <w:lang w:val="en-US" w:eastAsia="zh-CN"/>
              </w:rPr>
              <w:t>投标人</w:t>
            </w:r>
            <w:r>
              <w:rPr>
                <w:rFonts w:asciiTheme="majorEastAsia" w:eastAsiaTheme="majorEastAsia" w:hAnsiTheme="majorEastAsia" w:cstheme="majorEastAsia" w:hint="eastAsia"/>
                <w:b/>
                <w:bCs/>
                <w:color w:val="FF0000"/>
                <w:sz w:val="21"/>
                <w:szCs w:val="21"/>
                <w:highlight w:val="none"/>
                <w:lang w:eastAsia="zh-CN"/>
              </w:rPr>
              <w:t>保证所提供的产品必须</w:t>
            </w:r>
            <w:r>
              <w:rPr>
                <w:rFonts w:asciiTheme="majorEastAsia" w:eastAsiaTheme="majorEastAsia" w:hAnsiTheme="majorEastAsia" w:cstheme="majorEastAsia" w:hint="eastAsia"/>
                <w:b/>
                <w:bCs/>
                <w:color w:val="FF0000"/>
                <w:sz w:val="21"/>
                <w:szCs w:val="21"/>
                <w:highlight w:val="none"/>
                <w:lang w:val="en-US" w:eastAsia="zh-CN"/>
              </w:rPr>
              <w:t>是</w:t>
            </w:r>
            <w:r>
              <w:rPr>
                <w:rFonts w:asciiTheme="majorEastAsia" w:eastAsiaTheme="majorEastAsia" w:hAnsiTheme="majorEastAsia" w:cstheme="majorEastAsia" w:hint="eastAsia"/>
                <w:b/>
                <w:bCs/>
                <w:color w:val="FF0000"/>
                <w:sz w:val="21"/>
                <w:szCs w:val="21"/>
                <w:highlight w:val="none"/>
                <w:lang w:eastAsia="zh-CN"/>
              </w:rPr>
              <w:t>未使用过的</w:t>
            </w:r>
            <w:r>
              <w:rPr>
                <w:rFonts w:asciiTheme="majorEastAsia" w:eastAsiaTheme="majorEastAsia" w:hAnsiTheme="majorEastAsia" w:cstheme="majorEastAsia" w:hint="eastAsia"/>
                <w:b/>
                <w:bCs/>
                <w:color w:val="FF0000"/>
                <w:sz w:val="21"/>
                <w:szCs w:val="21"/>
                <w:highlight w:val="none"/>
                <w:lang w:val="en-US" w:eastAsia="zh-CN"/>
              </w:rPr>
              <w:t>原厂</w:t>
            </w:r>
            <w:r>
              <w:rPr>
                <w:rFonts w:asciiTheme="majorEastAsia" w:eastAsiaTheme="majorEastAsia" w:hAnsiTheme="majorEastAsia" w:cstheme="majorEastAsia" w:hint="eastAsia"/>
                <w:b/>
                <w:bCs/>
                <w:color w:val="FF0000"/>
                <w:sz w:val="21"/>
                <w:szCs w:val="21"/>
                <w:highlight w:val="none"/>
                <w:lang w:eastAsia="zh-CN"/>
              </w:rPr>
              <w:t>全新产品（</w:t>
            </w:r>
            <w:r>
              <w:rPr>
                <w:rFonts w:asciiTheme="majorEastAsia" w:eastAsiaTheme="majorEastAsia" w:hAnsiTheme="majorEastAsia" w:cstheme="majorEastAsia" w:hint="eastAsia"/>
                <w:b/>
                <w:bCs/>
                <w:color w:val="FF0000"/>
                <w:sz w:val="21"/>
                <w:szCs w:val="21"/>
                <w:highlight w:val="none"/>
                <w:lang w:val="en-US" w:eastAsia="zh-CN"/>
              </w:rPr>
              <w:t>包括零部件</w:t>
            </w:r>
            <w:r>
              <w:rPr>
                <w:rFonts w:asciiTheme="majorEastAsia" w:eastAsiaTheme="majorEastAsia" w:hAnsiTheme="majorEastAsia" w:cstheme="majorEastAsia" w:hint="eastAsia"/>
                <w:b/>
                <w:bCs/>
                <w:color w:val="FF0000"/>
                <w:sz w:val="21"/>
                <w:szCs w:val="21"/>
                <w:highlight w:val="none"/>
                <w:lang w:eastAsia="zh-CN"/>
              </w:rPr>
              <w:t>），符合国家或省级行业质量标准。确保产品投入使用前，按照国家规定办理好产品所有启用所需的资质证件。</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Theme="minorEastAsia" w:eastAsiaTheme="minorEastAsia" w:hAnsiTheme="minorEastAsia" w:cstheme="minorEastAsia" w:hint="eastAsia"/>
                <w:spacing w:val="3"/>
                <w:kern w:val="0"/>
                <w:sz w:val="21"/>
                <w:szCs w:val="21"/>
                <w:lang w:val="en-US" w:eastAsia="zh-CN" w:bidi="ar-SA"/>
              </w:rPr>
            </w:pPr>
            <w:r>
              <w:rPr>
                <w:rFonts w:asciiTheme="minorEastAsia" w:hAnsiTheme="minorEastAsia" w:cstheme="minorEastAsia" w:hint="eastAsia"/>
                <w:spacing w:val="3"/>
                <w:kern w:val="0"/>
                <w:sz w:val="21"/>
                <w:szCs w:val="21"/>
                <w:lang w:val="en-US" w:eastAsia="zh-CN"/>
              </w:rPr>
              <w:t>付款方式</w:t>
            </w:r>
          </w:p>
        </w:tc>
        <w:tc>
          <w:tcPr>
            <w:tcW w:w="3498" w:type="pct"/>
            <w:vAlign w:val="top"/>
          </w:tcPr>
          <w:p>
            <w:pPr>
              <w:rPr>
                <w:rFonts w:hint="eastAsia"/>
              </w:rPr>
            </w:pPr>
            <w:r>
              <w:rPr>
                <w:rFonts w:hint="eastAsia"/>
              </w:rPr>
              <w:t>1.预付款支付</w:t>
            </w:r>
          </w:p>
          <w:p>
            <w:pPr>
              <w:rPr>
                <w:rFonts w:hint="eastAsia"/>
              </w:rPr>
            </w:pPr>
            <w:r>
              <w:rPr>
                <w:rFonts w:hint="eastAsia"/>
              </w:rPr>
              <w:t>合同签订后，中标人需向</w:t>
            </w:r>
            <w:r>
              <w:rPr>
                <w:rFonts w:hint="eastAsia"/>
                <w:lang w:val="en-US" w:eastAsia="zh-CN"/>
              </w:rPr>
              <w:t>采购人</w:t>
            </w:r>
            <w:r>
              <w:rPr>
                <w:rFonts w:hint="eastAsia"/>
              </w:rPr>
              <w:t>提供</w:t>
            </w:r>
            <w:r>
              <w:rPr>
                <w:rFonts w:hint="eastAsia"/>
                <w:lang w:val="en-US" w:eastAsia="zh-CN"/>
              </w:rPr>
              <w:t>全额</w:t>
            </w:r>
            <w:r>
              <w:rPr>
                <w:rFonts w:hint="eastAsia"/>
              </w:rPr>
              <w:t>发票</w:t>
            </w:r>
            <w:r>
              <w:rPr>
                <w:rFonts w:hint="eastAsia"/>
                <w:lang w:eastAsia="zh-CN"/>
              </w:rPr>
              <w:t>，</w:t>
            </w:r>
            <w:r>
              <w:rPr>
                <w:rFonts w:hint="eastAsia"/>
                <w:lang w:val="en-US" w:eastAsia="zh-CN"/>
              </w:rPr>
              <w:t>采购人</w:t>
            </w:r>
            <w:r>
              <w:rPr>
                <w:rFonts w:hint="eastAsia"/>
              </w:rPr>
              <w:t>在收到发票</w:t>
            </w:r>
            <w:r>
              <w:rPr>
                <w:rFonts w:hint="eastAsia"/>
                <w:lang w:val="en-US" w:eastAsia="zh-CN"/>
              </w:rPr>
              <w:t>且财政资金到位后</w:t>
            </w:r>
            <w:r>
              <w:rPr>
                <w:rFonts w:hint="eastAsia"/>
              </w:rPr>
              <w:t>，向中标人支付合同总金额50%的货物预付款。</w:t>
            </w:r>
          </w:p>
          <w:p>
            <w:pPr>
              <w:rPr>
                <w:rFonts w:hint="eastAsia"/>
              </w:rPr>
            </w:pPr>
            <w:r>
              <w:rPr>
                <w:rFonts w:hint="eastAsia"/>
              </w:rPr>
              <w:t>2.进度款（尾款）支付</w:t>
            </w:r>
          </w:p>
          <w:p>
            <w:pPr>
              <w:rPr>
                <w:rFonts w:hint="eastAsia"/>
              </w:rPr>
            </w:pPr>
            <w:r>
              <w:rPr>
                <w:rFonts w:hint="eastAsia"/>
              </w:rPr>
              <w:t>中标人将货物运至指定地点、完成安装调试、设备运行合格并通过性能验收后，</w:t>
            </w:r>
            <w:r>
              <w:rPr>
                <w:rFonts w:hint="eastAsia"/>
                <w:lang w:val="en-US" w:eastAsia="zh-CN"/>
              </w:rPr>
              <w:t>采购人</w:t>
            </w:r>
            <w:r>
              <w:rPr>
                <w:rFonts w:hint="eastAsia"/>
              </w:rPr>
              <w:t>根据财政拨款时间支付剩余50%货款。具体规则如下：</w:t>
            </w:r>
          </w:p>
          <w:p>
            <w:pPr>
              <w:rPr>
                <w:rFonts w:hint="eastAsia"/>
              </w:rPr>
            </w:pPr>
            <w:r>
              <w:rPr>
                <w:rFonts w:hint="eastAsia"/>
              </w:rPr>
              <w:t>2.1若财政资金足额到位且设备验收合格，</w:t>
            </w:r>
            <w:r>
              <w:rPr>
                <w:rFonts w:hint="eastAsia"/>
                <w:lang w:val="en-US" w:eastAsia="zh-CN"/>
              </w:rPr>
              <w:t>采购人</w:t>
            </w:r>
            <w:r>
              <w:rPr>
                <w:rFonts w:hint="eastAsia"/>
              </w:rPr>
              <w:t>按照财务审批流程支付剩余50%货款；</w:t>
            </w:r>
          </w:p>
          <w:p>
            <w:pPr>
              <w:rPr>
                <w:rFonts w:hint="eastAsia"/>
              </w:rPr>
            </w:pPr>
            <w:r>
              <w:rPr>
                <w:rFonts w:hint="eastAsia"/>
              </w:rPr>
              <w:t>2.2若财政资金不足以支付尾款，</w:t>
            </w:r>
            <w:r>
              <w:rPr>
                <w:rFonts w:hint="eastAsia"/>
                <w:lang w:val="en-US" w:eastAsia="zh-CN"/>
              </w:rPr>
              <w:t>采购人</w:t>
            </w:r>
            <w:r>
              <w:rPr>
                <w:rFonts w:hint="eastAsia"/>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textAlignment w:val="auto"/>
              <w:rPr>
                <w:rFonts w:asciiTheme="minorEastAsia" w:eastAsiaTheme="minorEastAsia" w:hAnsiTheme="minorEastAsia" w:cstheme="minorEastAsia" w:hint="eastAsia"/>
                <w:spacing w:val="8"/>
                <w:kern w:val="0"/>
                <w:sz w:val="21"/>
                <w:szCs w:val="21"/>
                <w:lang w:val="en-US" w:eastAsia="zh-CN" w:bidi="ar-SA"/>
              </w:rPr>
            </w:pPr>
            <w:r>
              <w:rPr>
                <w:rFonts w:hint="eastAsia"/>
              </w:rPr>
              <w:t>2.3若</w:t>
            </w:r>
            <w:r>
              <w:rPr>
                <w:rFonts w:hint="eastAsia"/>
                <w:lang w:val="en-US" w:eastAsia="zh-CN"/>
              </w:rPr>
              <w:t>采购人</w:t>
            </w:r>
            <w:r>
              <w:rPr>
                <w:rFonts w:hint="eastAsia"/>
              </w:rPr>
              <w:t>2025年资金预算不足，付款顺延至2026年。</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3"/>
                <w:kern w:val="0"/>
                <w:sz w:val="21"/>
                <w:szCs w:val="21"/>
              </w:rPr>
              <w:t>运输、安装和验收</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投标人负责将货物安全无损运抵采购人指定地点，并承担设备的包装、运输、保险、装卸、安装调试、培训、商检及计量检测、关税、增值税和进口代理等费用。</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5.</w:t>
            </w:r>
            <w:r>
              <w:rPr>
                <w:rFonts w:asciiTheme="minorEastAsia" w:eastAsiaTheme="minorEastAsia" w:hAnsiTheme="minorEastAsia" w:cstheme="minorEastAsia" w:hint="eastAsia"/>
                <w:spacing w:val="8"/>
                <w:kern w:val="0"/>
                <w:sz w:val="21"/>
                <w:szCs w:val="21"/>
              </w:rPr>
              <w:t>投标人负责货物的现场安装和调试，提供货物安装、调试和维修所需的专用工具和辅助材料。投标人应在货物运至指定地点后一周内开始安装调试，并在15天（日历日）内完成安装调试工作。</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lang w:val="en-US" w:eastAsia="zh-CN"/>
              </w:rPr>
              <w:t>6.</w:t>
            </w:r>
            <w:r>
              <w:rPr>
                <w:rFonts w:asciiTheme="majorEastAsia" w:eastAsiaTheme="majorEastAsia" w:hAnsiTheme="majorEastAsia" w:cstheme="majorEastAsia" w:hint="eastAsia"/>
                <w:b/>
                <w:bCs/>
                <w:color w:val="FF0000"/>
                <w:sz w:val="21"/>
                <w:szCs w:val="21"/>
              </w:rPr>
              <w:t>当满足以下条件时，采购人才向中标人签发货物验收报告：</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（1）设备全新,外观无伤痕变形或明显修饰痕迹。</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（3）技术文件资料、备件等已按规定数量移交完毕。</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（4）按照招标文件要求及投标文件提供的技术要求验收合格。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
                <w:bCs/>
                <w:color w:val="FF0000"/>
                <w:sz w:val="21"/>
                <w:szCs w:val="21"/>
              </w:rPr>
              <w:t>（7）在货物安装调试合格后，所有技术指标达到技术规范书要求，经验收合格后，双方共同签署验收报告。</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3"/>
                <w:kern w:val="0"/>
                <w:sz w:val="21"/>
                <w:szCs w:val="21"/>
                <w:lang w:val="en-US" w:eastAsia="zh-CN"/>
              </w:rPr>
            </w:pPr>
            <w:r>
              <w:rPr>
                <w:rFonts w:asciiTheme="minorEastAsia" w:hAnsiTheme="minorEastAsia" w:cstheme="minorEastAsia" w:hint="eastAsia"/>
                <w:spacing w:val="3"/>
                <w:kern w:val="0"/>
                <w:sz w:val="21"/>
                <w:szCs w:val="21"/>
                <w:lang w:val="en-US" w:eastAsia="zh-CN"/>
              </w:rPr>
              <w:t>履约保证金</w:t>
            </w:r>
          </w:p>
        </w:tc>
        <w:tc>
          <w:tcPr>
            <w:tcW w:w="3498" w:type="pct"/>
            <w:vAlign w:val="top"/>
          </w:tcPr>
          <w:p>
            <w:pPr>
              <w:rPr>
                <w:rFonts w:hint="eastAsia"/>
              </w:rPr>
            </w:pPr>
            <w:r>
              <w:rPr>
                <w:rFonts w:hint="eastAsia"/>
              </w:rPr>
              <w:t>1.履约</w:t>
            </w:r>
            <w:r>
              <w:rPr>
                <w:rFonts w:hint="eastAsia"/>
                <w:lang w:val="en-US" w:eastAsia="zh-CN"/>
              </w:rPr>
              <w:t>保证金</w:t>
            </w:r>
            <w:r>
              <w:rPr>
                <w:rFonts w:hint="eastAsia"/>
              </w:rPr>
              <w:t>提交要求</w:t>
            </w:r>
          </w:p>
          <w:p>
            <w:pPr>
              <w:rPr>
                <w:rFonts w:hint="eastAsia"/>
              </w:rPr>
            </w:pPr>
            <w:r>
              <w:rPr>
                <w:rFonts w:hint="eastAsia"/>
              </w:rPr>
              <w:t>1.1</w:t>
            </w:r>
            <w:r>
              <w:rPr>
                <w:rFonts w:hint="eastAsia"/>
                <w:lang w:val="en-US" w:eastAsia="zh-CN"/>
              </w:rPr>
              <w:t>中标人</w:t>
            </w:r>
            <w:r>
              <w:rPr>
                <w:rFonts w:hint="eastAsia"/>
              </w:rPr>
              <w:t>需向</w:t>
            </w:r>
            <w:r>
              <w:rPr>
                <w:rFonts w:hint="eastAsia"/>
                <w:lang w:val="en-US" w:eastAsia="zh-CN"/>
              </w:rPr>
              <w:t>采购人</w:t>
            </w:r>
            <w:r>
              <w:rPr>
                <w:rFonts w:hint="eastAsia"/>
              </w:rPr>
              <w:t>提供合同总额5%的</w:t>
            </w:r>
            <w:r>
              <w:rPr>
                <w:rFonts w:hint="eastAsia"/>
                <w:lang w:val="en-US" w:eastAsia="zh-CN"/>
              </w:rPr>
              <w:t>履约保证金，由中标人自主选择以支票、汇票、本票、保函等现金或</w:t>
            </w:r>
            <w:bookmarkStart w:id="47" w:name="_GoBack"/>
            <w:bookmarkEnd w:id="47"/>
            <w:r>
              <w:rPr>
                <w:rFonts w:hint="eastAsia"/>
                <w:lang w:val="en-US" w:eastAsia="zh-CN"/>
              </w:rPr>
              <w:t>非现金方式提交</w:t>
            </w:r>
            <w:r>
              <w:rPr>
                <w:rFonts w:hint="eastAsia"/>
              </w:rPr>
              <w:t>。</w:t>
            </w:r>
          </w:p>
          <w:p>
            <w:pPr>
              <w:rPr>
                <w:rFonts w:hint="eastAsia"/>
              </w:rPr>
            </w:pPr>
            <w:r>
              <w:rPr>
                <w:rFonts w:hint="eastAsia"/>
              </w:rPr>
              <w:t>1.2提交时间：合同签订后</w:t>
            </w:r>
            <w:r>
              <w:rPr>
                <w:rFonts w:hint="eastAsia"/>
                <w:lang w:val="en-US" w:eastAsia="zh-CN"/>
              </w:rPr>
              <w:t>10</w:t>
            </w:r>
            <w:r>
              <w:rPr>
                <w:rFonts w:hint="eastAsia"/>
              </w:rPr>
              <w:t>日内提交。</w:t>
            </w:r>
          </w:p>
          <w:p>
            <w:pPr>
              <w:rPr>
                <w:rFonts w:hint="eastAsia"/>
              </w:rPr>
            </w:pPr>
            <w:r>
              <w:rPr>
                <w:rFonts w:hint="eastAsia"/>
              </w:rPr>
              <w:t>1.3</w:t>
            </w:r>
            <w:r>
              <w:rPr>
                <w:rFonts w:hint="eastAsia"/>
                <w:lang w:val="en-US" w:eastAsia="zh-CN"/>
              </w:rPr>
              <w:t>如涉及相关费用的，</w:t>
            </w:r>
            <w:r>
              <w:rPr>
                <w:rFonts w:hint="eastAsia"/>
              </w:rPr>
              <w:t>均由</w:t>
            </w:r>
            <w:r>
              <w:rPr>
                <w:rFonts w:hint="eastAsia"/>
                <w:lang w:val="en-US" w:eastAsia="zh-CN"/>
              </w:rPr>
              <w:t>中标人</w:t>
            </w:r>
            <w:r>
              <w:rPr>
                <w:rFonts w:hint="eastAsia"/>
              </w:rPr>
              <w:t>自行承担。</w:t>
            </w:r>
          </w:p>
          <w:p>
            <w:pPr>
              <w:rPr>
                <w:rFonts w:hint="eastAsia"/>
              </w:rPr>
            </w:pPr>
            <w:r>
              <w:rPr>
                <w:rFonts w:hint="eastAsia"/>
              </w:rPr>
              <w:t>2</w:t>
            </w:r>
            <w:r>
              <w:rPr>
                <w:rFonts w:hint="eastAsia"/>
                <w:lang w:val="en-US" w:eastAsia="zh-CN"/>
              </w:rPr>
              <w:t>.</w:t>
            </w:r>
            <w:r>
              <w:rPr>
                <w:rFonts w:hint="eastAsia"/>
              </w:rPr>
              <w:t>保证金退还：</w:t>
            </w:r>
            <w:r>
              <w:rPr>
                <w:rFonts w:hint="eastAsia"/>
                <w:lang w:val="en-US" w:eastAsia="zh-CN"/>
              </w:rPr>
              <w:t>中标人完成供货且经过采购人验收合格后，采购人在30日内不计息退还</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hint="eastAsia"/>
                <w:lang w:val="en-US" w:eastAsia="zh-CN"/>
              </w:rPr>
              <w:t>3.</w:t>
            </w:r>
            <w:r>
              <w:rPr>
                <w:rFonts w:hint="eastAsia"/>
              </w:rPr>
              <w:t>违约处理：如</w:t>
            </w:r>
            <w:r>
              <w:rPr>
                <w:rFonts w:hint="eastAsia"/>
                <w:lang w:val="en-US" w:eastAsia="zh-CN"/>
              </w:rPr>
              <w:t>中标人</w:t>
            </w:r>
            <w:r>
              <w:rPr>
                <w:rFonts w:hint="eastAsia"/>
              </w:rPr>
              <w:t>发生违约行为，如设备出现质量问题，或</w:t>
            </w:r>
            <w:r>
              <w:rPr>
                <w:rFonts w:hint="eastAsia"/>
                <w:lang w:val="en-US" w:eastAsia="zh-CN"/>
              </w:rPr>
              <w:t>中标人</w:t>
            </w:r>
            <w:r>
              <w:rPr>
                <w:rFonts w:hint="eastAsia"/>
              </w:rPr>
              <w:t>未按</w:t>
            </w:r>
            <w:r>
              <w:rPr>
                <w:rFonts w:hint="eastAsia"/>
                <w:lang w:val="en-US" w:eastAsia="zh-CN"/>
              </w:rPr>
              <w:t>采购人</w:t>
            </w:r>
            <w:r>
              <w:rPr>
                <w:rFonts w:hint="eastAsia"/>
              </w:rPr>
              <w:t>要求维修或替换，则</w:t>
            </w:r>
            <w:r>
              <w:rPr>
                <w:rFonts w:hint="eastAsia"/>
                <w:lang w:val="en-US" w:eastAsia="zh-CN"/>
              </w:rPr>
              <w:t>采购人</w:t>
            </w:r>
            <w:r>
              <w:rPr>
                <w:rFonts w:hint="eastAsia"/>
              </w:rPr>
              <w:t>有权</w:t>
            </w:r>
            <w:r>
              <w:rPr>
                <w:rFonts w:hint="eastAsia"/>
                <w:lang w:val="en-US" w:eastAsia="zh-CN"/>
              </w:rPr>
              <w:t>扣除已收取的履约保证金</w:t>
            </w:r>
            <w:r>
              <w:rPr>
                <w:rFonts w:hint="eastAsia"/>
              </w:rPr>
              <w:t>，无需经过</w:t>
            </w:r>
            <w:r>
              <w:rPr>
                <w:rFonts w:hint="eastAsia"/>
                <w:lang w:val="en-US" w:eastAsia="zh-CN"/>
              </w:rPr>
              <w:t>中标人</w:t>
            </w:r>
            <w:r>
              <w:rPr>
                <w:rFonts w:hint="eastAsia"/>
              </w:rPr>
              <w:t>同意，由此造成的一切损失由</w:t>
            </w:r>
            <w:r>
              <w:rPr>
                <w:rFonts w:hint="eastAsia"/>
                <w:lang w:val="en-US" w:eastAsia="zh-CN"/>
              </w:rPr>
              <w:t>中标人</w:t>
            </w:r>
            <w:r>
              <w:rPr>
                <w:rFonts w:hint="eastAsia"/>
              </w:rPr>
              <w:t>承担。</w:t>
            </w:r>
          </w:p>
        </w:tc>
      </w:tr>
      <w:tr>
        <w:tblPrEx>
          <w:tblW w:w="5010" w:type="pct"/>
          <w:jc w:val="center"/>
          <w:tblCellMar>
            <w:top w:w="0" w:type="dxa"/>
            <w:left w:w="0" w:type="dxa"/>
            <w:bottom w:w="0" w:type="dxa"/>
            <w:right w:w="0" w:type="dxa"/>
          </w:tblCellMar>
        </w:tblPrEx>
        <w:trPr>
          <w:trHeight w:val="502"/>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5"/>
                <w:kern w:val="0"/>
                <w:sz w:val="21"/>
                <w:szCs w:val="21"/>
              </w:rPr>
              <w:t>培训</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中标人应派专业技术人员免费对采购单位制定人员进行定期培训及指导，直至其完全掌握设备的基本故障处理技术</w:t>
            </w:r>
            <w:r>
              <w:rPr>
                <w:rFonts w:asciiTheme="minorEastAsia" w:hAnsiTheme="minorEastAsia" w:cstheme="minorEastAsia" w:hint="eastAsia"/>
                <w:spacing w:val="8"/>
                <w:kern w:val="0"/>
                <w:sz w:val="21"/>
                <w:szCs w:val="21"/>
                <w:lang w:eastAsia="zh-CN"/>
              </w:rPr>
              <w:t>，</w:t>
            </w:r>
            <w:r>
              <w:rPr>
                <w:rFonts w:asciiTheme="minorEastAsia" w:hAnsiTheme="minorEastAsia" w:cstheme="minorEastAsia" w:hint="eastAsia"/>
                <w:spacing w:val="8"/>
                <w:kern w:val="0"/>
                <w:sz w:val="21"/>
                <w:szCs w:val="21"/>
                <w:lang w:val="en-US" w:eastAsia="zh-CN"/>
              </w:rPr>
              <w:t>其中第一次培训应在</w:t>
            </w:r>
            <w:r>
              <w:rPr>
                <w:rFonts w:asciiTheme="majorEastAsia" w:eastAsiaTheme="majorEastAsia" w:hAnsiTheme="majorEastAsia" w:cstheme="majorEastAsia" w:hint="eastAsia"/>
                <w:bCs/>
                <w:spacing w:val="0"/>
                <w:sz w:val="21"/>
                <w:szCs w:val="21"/>
                <w:lang w:val="en-US" w:eastAsia="zh-CN"/>
              </w:rPr>
              <w:t>设备验收后一周内有专业人员对采购人临床操作人员进行专业的培训。</w:t>
            </w:r>
          </w:p>
        </w:tc>
      </w:tr>
      <w:tr>
        <w:tblPrEx>
          <w:tblW w:w="5010" w:type="pct"/>
          <w:jc w:val="center"/>
          <w:tblCellMar>
            <w:top w:w="0" w:type="dxa"/>
            <w:left w:w="0" w:type="dxa"/>
            <w:bottom w:w="0" w:type="dxa"/>
            <w:right w:w="0" w:type="dxa"/>
          </w:tblCellMar>
        </w:tblPrEx>
        <w:trPr>
          <w:trHeight w:val="62"/>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5"/>
                <w:kern w:val="0"/>
                <w:sz w:val="21"/>
                <w:szCs w:val="21"/>
                <w:lang w:val="en-US" w:eastAsia="zh-CN"/>
              </w:rPr>
            </w:pPr>
            <w:r>
              <w:rPr>
                <w:rFonts w:asciiTheme="minorEastAsia" w:hAnsiTheme="minorEastAsia" w:cstheme="minorEastAsia" w:hint="eastAsia"/>
                <w:spacing w:val="5"/>
                <w:kern w:val="0"/>
                <w:sz w:val="21"/>
                <w:szCs w:val="21"/>
                <w:lang w:val="en-US" w:eastAsia="zh-CN"/>
              </w:rPr>
              <w:t>违约条款</w:t>
            </w: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1.</w:t>
            </w:r>
            <w:r>
              <w:rPr>
                <w:rFonts w:asciiTheme="majorEastAsia" w:eastAsiaTheme="majorEastAsia" w:hAnsiTheme="majorEastAsia" w:cstheme="majorEastAsia" w:hint="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3.</w:t>
            </w:r>
            <w:r>
              <w:rPr>
                <w:rFonts w:asciiTheme="majorEastAsia" w:eastAsiaTheme="majorEastAsia" w:hAnsiTheme="majorEastAsia" w:cstheme="majorEastAsia" w:hint="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4.</w:t>
            </w:r>
            <w:r>
              <w:rPr>
                <w:rFonts w:asciiTheme="majorEastAsia" w:eastAsiaTheme="majorEastAsia" w:hAnsiTheme="majorEastAsia" w:cstheme="majorEastAsia" w:hint="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5.</w:t>
            </w:r>
            <w:r>
              <w:rPr>
                <w:rFonts w:asciiTheme="majorEastAsia" w:eastAsiaTheme="majorEastAsia" w:hAnsiTheme="majorEastAsia" w:cstheme="majorEastAsia" w:hint="eastAsia"/>
                <w:bCs/>
                <w:spacing w:val="0"/>
                <w:sz w:val="21"/>
                <w:szCs w:val="21"/>
                <w:lang w:eastAsia="zh-CN"/>
              </w:rPr>
              <w:t>由于中标人的原因，未能按时供货</w:t>
            </w:r>
            <w:r>
              <w:rPr>
                <w:rFonts w:asciiTheme="majorEastAsia" w:eastAsiaTheme="majorEastAsia" w:hAnsiTheme="majorEastAsia" w:cstheme="majorEastAsia" w:hint="eastAsia"/>
                <w:bCs/>
                <w:spacing w:val="0"/>
                <w:sz w:val="21"/>
                <w:szCs w:val="21"/>
                <w:lang w:val="en-US" w:eastAsia="zh-CN"/>
              </w:rPr>
              <w:t>或配合验收的</w:t>
            </w:r>
            <w:r>
              <w:rPr>
                <w:rFonts w:asciiTheme="majorEastAsia" w:eastAsiaTheme="majorEastAsia" w:hAnsiTheme="majorEastAsia" w:cstheme="majorEastAsia" w:hint="eastAsia"/>
                <w:bCs/>
                <w:spacing w:val="0"/>
                <w:sz w:val="21"/>
                <w:szCs w:val="21"/>
                <w:lang w:eastAsia="zh-CN"/>
              </w:rPr>
              <w:t>，每迟一天应给付采购人的违约金为合同总额的1%，总额不超过</w:t>
            </w:r>
            <w:r>
              <w:rPr>
                <w:rFonts w:asciiTheme="majorEastAsia" w:eastAsiaTheme="majorEastAsia" w:hAnsiTheme="majorEastAsia" w:cstheme="majorEastAsia" w:hint="eastAsia"/>
                <w:bCs/>
                <w:spacing w:val="0"/>
                <w:sz w:val="21"/>
                <w:szCs w:val="21"/>
                <w:lang w:val="en-US" w:eastAsia="zh-CN"/>
              </w:rPr>
              <w:t>合同总价</w:t>
            </w:r>
            <w:r>
              <w:rPr>
                <w:rFonts w:asciiTheme="majorEastAsia" w:eastAsiaTheme="majorEastAsia" w:hAnsiTheme="majorEastAsia" w:cstheme="majorEastAsia" w:hint="eastAsia"/>
                <w:bCs/>
                <w:spacing w:val="0"/>
                <w:sz w:val="21"/>
                <w:szCs w:val="21"/>
                <w:lang w:eastAsia="zh-CN"/>
              </w:rPr>
              <w:t>的30%；如超过供货期30日，采购人有权</w:t>
            </w:r>
            <w:r>
              <w:rPr>
                <w:rFonts w:asciiTheme="majorEastAsia" w:eastAsiaTheme="majorEastAsia" w:hAnsiTheme="majorEastAsia" w:cstheme="majorEastAsia" w:hint="eastAsia"/>
                <w:bCs/>
                <w:spacing w:val="0"/>
                <w:sz w:val="21"/>
                <w:szCs w:val="21"/>
                <w:lang w:val="en-US" w:eastAsia="zh-CN"/>
              </w:rPr>
              <w:t>解除</w:t>
            </w:r>
            <w:r>
              <w:rPr>
                <w:rFonts w:asciiTheme="majorEastAsia" w:eastAsiaTheme="majorEastAsia" w:hAnsiTheme="majorEastAsia" w:cstheme="majorEastAsia" w:hint="eastAsia"/>
                <w:bCs/>
                <w:spacing w:val="0"/>
                <w:sz w:val="21"/>
                <w:szCs w:val="21"/>
                <w:lang w:eastAsia="zh-CN"/>
              </w:rPr>
              <w:t>合同，</w:t>
            </w:r>
            <w:r>
              <w:rPr>
                <w:rFonts w:asciiTheme="majorEastAsia" w:eastAsiaTheme="majorEastAsia" w:hAnsiTheme="majorEastAsia" w:cstheme="majorEastAsia" w:hint="eastAsia"/>
                <w:bCs/>
                <w:spacing w:val="0"/>
                <w:sz w:val="21"/>
                <w:szCs w:val="21"/>
                <w:lang w:val="en-US" w:eastAsia="zh-CN"/>
              </w:rPr>
              <w:t>如采购人已支付货款的中标人还应立即退还，</w:t>
            </w:r>
            <w:r>
              <w:rPr>
                <w:rFonts w:asciiTheme="majorEastAsia" w:eastAsiaTheme="majorEastAsia" w:hAnsiTheme="majorEastAsia" w:cstheme="majorEastAsia" w:hint="eastAsia"/>
                <w:bCs/>
                <w:spacing w:val="0"/>
                <w:sz w:val="21"/>
                <w:szCs w:val="21"/>
                <w:lang w:eastAsia="zh-CN"/>
              </w:rPr>
              <w:t>违约金不足以弥补损失的，应赔偿相应损失。</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6.</w:t>
            </w:r>
            <w:r>
              <w:rPr>
                <w:rFonts w:asciiTheme="majorEastAsia" w:eastAsiaTheme="majorEastAsia" w:hAnsiTheme="majorEastAsia" w:cstheme="majorEastAsia" w:hint="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color w:val="auto"/>
                <w:sz w:val="21"/>
                <w:szCs w:val="21"/>
                <w:lang w:val="en-US" w:eastAsia="zh-CN"/>
              </w:rPr>
              <w:t>8.</w:t>
            </w:r>
            <w:r>
              <w:rPr>
                <w:rFonts w:asciiTheme="majorEastAsia" w:eastAsiaTheme="majorEastAsia" w:hAnsiTheme="majorEastAsia" w:cstheme="majorEastAsia" w:hint="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7"/>
                <w:kern w:val="0"/>
                <w:sz w:val="21"/>
                <w:szCs w:val="21"/>
              </w:rPr>
              <w:t>知识产权</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7"/>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采购人购买产品后，有权对该产品与其他设备进行配套、整合或适当改进，而免受侵犯专利权的起诉。</w:t>
            </w:r>
          </w:p>
        </w:tc>
      </w:tr>
      <w:tr>
        <w:tblPrEx>
          <w:tblW w:w="5010" w:type="pct"/>
          <w:jc w:val="center"/>
          <w:tblCellMar>
            <w:top w:w="0" w:type="dxa"/>
            <w:left w:w="0" w:type="dxa"/>
            <w:bottom w:w="0" w:type="dxa"/>
            <w:right w:w="0" w:type="dxa"/>
          </w:tblCellMar>
        </w:tblPrEx>
        <w:trPr>
          <w:trHeight w:val="477"/>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eastAsiaTheme="minorEastAsia" w:hAnsiTheme="minorEastAsia" w:cstheme="minorEastAsia" w:hint="eastAsia"/>
                <w:spacing w:val="7"/>
                <w:kern w:val="0"/>
                <w:sz w:val="21"/>
                <w:szCs w:val="21"/>
              </w:rPr>
              <w:t>其他</w:t>
            </w:r>
            <w:r>
              <w:rPr>
                <w:rFonts w:asciiTheme="minorEastAsia" w:hAnsiTheme="minorEastAsia" w:cstheme="minorEastAsia" w:hint="eastAsia"/>
                <w:spacing w:val="7"/>
                <w:kern w:val="0"/>
                <w:sz w:val="21"/>
                <w:szCs w:val="21"/>
                <w:lang w:val="en-US" w:eastAsia="zh-CN"/>
              </w:rPr>
              <w:t>要求</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投标人应按其投标文件中的承诺，进行其他售后服务工作。</w:t>
            </w:r>
          </w:p>
        </w:tc>
      </w:tr>
      <w:tr>
        <w:tblPrEx>
          <w:tblW w:w="5010" w:type="pct"/>
          <w:jc w:val="center"/>
          <w:tblCellMar>
            <w:top w:w="0" w:type="dxa"/>
            <w:left w:w="0" w:type="dxa"/>
            <w:bottom w:w="0" w:type="dxa"/>
            <w:right w:w="0" w:type="dxa"/>
          </w:tblCellMar>
        </w:tblPrEx>
        <w:trPr>
          <w:trHeight w:val="477"/>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2.</w:t>
            </w:r>
            <w:r>
              <w:rPr>
                <w:rFonts w:asciiTheme="minorEastAsia" w:eastAsiaTheme="minorEastAsia" w:hAnsiTheme="minorEastAsia" w:cstheme="minorEastAsia" w:hint="eastAsia"/>
                <w:b/>
                <w:bCs/>
                <w:color w:val="FF0000"/>
                <w:spacing w:val="8"/>
                <w:kern w:val="0"/>
                <w:sz w:val="21"/>
                <w:szCs w:val="21"/>
                <w:lang w:val="en-US" w:eastAsia="zh-CN"/>
              </w:rPr>
              <w:t>投标人所投产品</w:t>
            </w:r>
            <w:r>
              <w:rPr>
                <w:rFonts w:asciiTheme="minorEastAsia" w:hAnsiTheme="minorEastAsia" w:cstheme="minorEastAsia" w:hint="eastAsia"/>
                <w:b/>
                <w:bCs/>
                <w:color w:val="FF0000"/>
                <w:spacing w:val="8"/>
                <w:kern w:val="0"/>
                <w:sz w:val="21"/>
                <w:szCs w:val="21"/>
                <w:lang w:val="en-US" w:eastAsia="zh-CN"/>
              </w:rPr>
              <w:t>（病床、心肺复苏机、站立病床）</w:t>
            </w:r>
            <w:r>
              <w:rPr>
                <w:rFonts w:asciiTheme="minorEastAsia" w:eastAsiaTheme="minorEastAsia" w:hAnsiTheme="minorEastAsia" w:cstheme="minorEastAsia" w:hint="eastAsia"/>
                <w:b/>
                <w:bCs/>
                <w:color w:val="FF0000"/>
                <w:spacing w:val="8"/>
                <w:kern w:val="0"/>
                <w:sz w:val="21"/>
                <w:szCs w:val="21"/>
                <w:lang w:val="en-US"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5010" w:type="pct"/>
          <w:jc w:val="center"/>
          <w:tblCellMar>
            <w:top w:w="0" w:type="dxa"/>
            <w:left w:w="0" w:type="dxa"/>
            <w:bottom w:w="0" w:type="dxa"/>
            <w:right w:w="0" w:type="dxa"/>
          </w:tblCellMar>
        </w:tblPrEx>
        <w:trPr>
          <w:trHeight w:val="477"/>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lang w:val="en-US" w:eastAsia="zh-CN"/>
              </w:rPr>
              <w:t>★3.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rFonts w:ascii="Times New Roman" w:eastAsia="宋体" w:hAnsi="Times New Roman" w:cs="Times New Roman"/>
          <w:b/>
        </w:rPr>
      </w:pPr>
    </w:p>
    <w:p>
      <w:pPr>
        <w:pStyle w:val="NormalIndent"/>
        <w:spacing w:before="60" w:beforeLines="25" w:after="60" w:afterLines="25"/>
        <w:ind w:firstLine="0" w:firstLineChars="0"/>
        <w:rPr>
          <w:rFonts w:ascii="宋体" w:hAnsi="宋体"/>
          <w:szCs w:val="21"/>
        </w:rPr>
      </w:pPr>
    </w:p>
    <w:p>
      <w:pPr>
        <w:pStyle w:val="Heading2"/>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NormalIndent"/>
        <w:spacing w:before="60" w:beforeLines="25" w:after="60" w:afterLines="25"/>
        <w:ind w:firstLine="393"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eastAsia="宋体"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pStyle w:val="BodyText2"/>
      </w:pPr>
    </w:p>
    <w:p>
      <w:pPr>
        <w:pStyle w:val="BodyText"/>
        <w:rPr>
          <w:rFonts w:ascii="宋体" w:hAnsi="宋体"/>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kern w:val="2"/>
        </w:rPr>
      </w:pPr>
      <w:r>
        <w:rPr>
          <w:rFonts w:hint="eastAsia"/>
          <w:kern w:val="2"/>
        </w:rPr>
        <w:t>第四章</w:t>
      </w:r>
      <w:r>
        <w:rPr>
          <w:kern w:val="2"/>
        </w:rPr>
        <w:t xml:space="preserve"> </w:t>
      </w:r>
      <w:r>
        <w:rPr>
          <w:rFonts w:hint="eastAsia"/>
          <w:kern w:val="2"/>
        </w:rPr>
        <w:t xml:space="preserve"> 投标文件组成要求及格式</w:t>
      </w:r>
    </w:p>
    <w:p>
      <w:pPr>
        <w:rPr>
          <w:rStyle w:val="3Char"/>
          <w:sz w:val="24"/>
        </w:rPr>
      </w:pPr>
      <w:r>
        <w:rPr>
          <w:rStyle w:val="3Char"/>
          <w:rFonts w:hint="eastAsia"/>
          <w:sz w:val="24"/>
        </w:rPr>
        <w:t>特别提醒：</w:t>
      </w:r>
    </w:p>
    <w:p>
      <w:pPr>
        <w:ind w:firstLine="420" w:firstLineChars="20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ascii="仿宋_GB2312" w:eastAsia="仿宋_GB2312" w:hint="eastAsia"/>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114300" distR="114300">
            <wp:extent cx="5162550" cy="4011295"/>
            <wp:effectExtent l="0" t="0" r="3810" b="1206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ind w:firstLine="420" w:firstLineChars="200"/>
        <w:rPr>
          <w:rFonts w:ascii="仿宋_GB2312" w:eastAsia="仿宋_GB2312"/>
          <w:sz w:val="24"/>
        </w:rPr>
      </w:pPr>
      <w:bookmarkStart w:id="48" w:name="_Hlk72257167"/>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sz w:val="24"/>
          <w:highlight w:val="yellow"/>
        </w:rPr>
        <w:t>如投标人将必须放于投标文件正文（信息公开部分）的内容放入投标文件附件（非信息公开部分），将作投标无效处理。</w:t>
      </w:r>
    </w:p>
    <w:p>
      <w:pPr>
        <w:rPr>
          <w:rFonts w:ascii="宋体" w:hAnsi="宋体"/>
          <w:szCs w:val="21"/>
        </w:rPr>
      </w:pPr>
      <w:bookmarkEnd w:id="48"/>
      <w:r>
        <w:rPr>
          <w:rFonts w:ascii="宋体" w:hAnsi="宋体"/>
          <w:szCs w:val="21"/>
        </w:rPr>
        <w:br w:type="page"/>
      </w:r>
    </w:p>
    <w:p>
      <w:pPr>
        <w:rPr>
          <w:rFonts w:ascii="仿宋_GB2312" w:eastAsia="仿宋_GB2312"/>
          <w:sz w:val="24"/>
        </w:rPr>
      </w:pPr>
    </w:p>
    <w:p>
      <w:pPr>
        <w:outlineLvl w:val="0"/>
        <w:rPr>
          <w:rStyle w:val="3Char"/>
          <w:sz w:val="28"/>
          <w:szCs w:val="28"/>
        </w:rPr>
      </w:pPr>
      <w:r>
        <w:rPr>
          <w:rStyle w:val="3Char"/>
          <w:rFonts w:hint="eastAsia"/>
          <w:sz w:val="28"/>
          <w:szCs w:val="28"/>
        </w:rPr>
        <w:t>投标文件组成：</w:t>
      </w:r>
    </w:p>
    <w:p>
      <w:pPr>
        <w:ind w:firstLine="1050" w:firstLineChars="500"/>
        <w:outlineLvl w:val="0"/>
        <w:rPr>
          <w:rFonts w:ascii="宋体" w:hAnsi="宋体"/>
          <w:sz w:val="24"/>
        </w:rPr>
      </w:pPr>
      <w:bookmarkStart w:id="49"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pPr>
        <w:ind w:left="718" w:firstLine="1418" w:leftChars="342" w:firstLineChars="675"/>
        <w:rPr>
          <w:szCs w:val="21"/>
        </w:rPr>
      </w:pPr>
      <w:r>
        <w:rPr>
          <w:rFonts w:hint="eastAsia"/>
          <w:szCs w:val="21"/>
        </w:rPr>
        <w:t>（1）</w:t>
      </w:r>
      <w:bookmarkStart w:id="50" w:name="_Hlk72070784"/>
      <w:r>
        <w:rPr>
          <w:rFonts w:hint="eastAsia"/>
          <w:szCs w:val="21"/>
        </w:rPr>
        <w:t>投标函</w:t>
      </w:r>
      <w:bookmarkEnd w:id="50"/>
    </w:p>
    <w:p>
      <w:pPr>
        <w:ind w:left="718" w:firstLine="1418" w:leftChars="342" w:firstLineChars="675"/>
        <w:rPr>
          <w:szCs w:val="21"/>
        </w:rPr>
      </w:pPr>
      <w:r>
        <w:rPr>
          <w:rFonts w:hint="eastAsia"/>
          <w:szCs w:val="21"/>
        </w:rPr>
        <w:t>（2）</w:t>
      </w:r>
      <w:bookmarkStart w:id="51" w:name="_Hlk72062521"/>
      <w:r>
        <w:rPr>
          <w:rFonts w:hint="eastAsia"/>
          <w:szCs w:val="21"/>
        </w:rPr>
        <w:t>政府采购投标及履约承诺函</w:t>
      </w:r>
      <w:bookmarkEnd w:id="51"/>
    </w:p>
    <w:p>
      <w:pPr>
        <w:ind w:left="718" w:firstLine="1418" w:leftChars="342" w:firstLineChars="675"/>
        <w:rPr>
          <w:szCs w:val="21"/>
        </w:rPr>
      </w:pPr>
      <w:r>
        <w:rPr>
          <w:rFonts w:hint="eastAsia"/>
          <w:szCs w:val="21"/>
        </w:rPr>
        <w:t>（</w:t>
      </w:r>
      <w:r>
        <w:rPr>
          <w:szCs w:val="21"/>
        </w:rPr>
        <w:t>3</w:t>
      </w:r>
      <w:r>
        <w:rPr>
          <w:rFonts w:hint="eastAsia"/>
          <w:szCs w:val="21"/>
        </w:rPr>
        <w:t>）投标人情况及资格证明文件</w:t>
      </w:r>
    </w:p>
    <w:p>
      <w:pPr>
        <w:ind w:left="718" w:firstLine="1418" w:leftChars="342" w:firstLineChars="675"/>
        <w:rPr>
          <w:rFonts w:hint="eastAsia"/>
          <w:szCs w:val="21"/>
        </w:rPr>
      </w:pPr>
      <w:bookmarkStart w:id="52" w:name="_Hlk72257201"/>
      <w:r>
        <w:rPr>
          <w:rFonts w:hint="eastAsia"/>
          <w:szCs w:val="21"/>
        </w:rPr>
        <w:t>（</w:t>
      </w:r>
      <w:r>
        <w:rPr>
          <w:szCs w:val="21"/>
        </w:rPr>
        <w:t>4</w:t>
      </w:r>
      <w:r>
        <w:rPr>
          <w:rFonts w:hint="eastAsia"/>
          <w:szCs w:val="21"/>
        </w:rPr>
        <w:t>）项目详细报价</w:t>
      </w:r>
    </w:p>
    <w:p>
      <w:pPr>
        <w:ind w:left="718" w:firstLine="1418" w:leftChars="342" w:firstLineChars="675"/>
        <w:rPr>
          <w:rFonts w:eastAsia="宋体" w:hint="eastAsia"/>
          <w:szCs w:val="21"/>
          <w:lang w:eastAsia="zh-CN"/>
        </w:rPr>
      </w:pPr>
    </w:p>
    <w:p>
      <w:pPr>
        <w:ind w:left="718" w:firstLine="1628" w:leftChars="342" w:firstLineChars="775"/>
        <w:rPr>
          <w:szCs w:val="21"/>
        </w:rPr>
      </w:pPr>
      <w:bookmarkEnd w:id="52"/>
    </w:p>
    <w:p>
      <w:pPr>
        <w:ind w:firstLine="1050" w:firstLineChars="500"/>
        <w:outlineLvl w:val="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pPr>
        <w:ind w:firstLine="2100" w:firstLineChars="1000"/>
        <w:rPr>
          <w:rFonts w:eastAsia="宋体" w:hint="eastAsia"/>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pPr>
        <w:ind w:left="718" w:firstLine="1418" w:leftChars="342"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pPr>
        <w:ind w:left="718" w:firstLine="1418" w:leftChars="342"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pPr>
        <w:ind w:left="718" w:firstLine="1418" w:leftChars="342" w:firstLineChars="675"/>
        <w:rPr>
          <w:szCs w:val="21"/>
        </w:rPr>
      </w:pPr>
      <w:r>
        <w:rPr>
          <w:rFonts w:hint="eastAsia"/>
          <w:szCs w:val="21"/>
        </w:rPr>
        <w:t>（</w:t>
      </w:r>
      <w:r>
        <w:rPr>
          <w:rFonts w:hint="eastAsia"/>
          <w:szCs w:val="21"/>
          <w:lang w:val="en-US" w:eastAsia="zh-CN"/>
        </w:rPr>
        <w:t>5</w:t>
      </w:r>
      <w:r>
        <w:rPr>
          <w:rFonts w:hint="eastAsia"/>
          <w:szCs w:val="21"/>
        </w:rPr>
        <w:t>）技术要求偏离表</w:t>
      </w:r>
    </w:p>
    <w:p>
      <w:pPr>
        <w:ind w:left="718" w:firstLine="1418" w:leftChars="342" w:firstLineChars="675"/>
        <w:rPr>
          <w:rFonts w:hint="eastAsia"/>
          <w:szCs w:val="21"/>
        </w:rPr>
      </w:pPr>
      <w:r>
        <w:rPr>
          <w:rFonts w:hint="eastAsia"/>
          <w:szCs w:val="21"/>
        </w:rPr>
        <w:t>（</w:t>
      </w:r>
      <w:r>
        <w:rPr>
          <w:rFonts w:hint="eastAsia"/>
          <w:szCs w:val="21"/>
          <w:lang w:val="en-US" w:eastAsia="zh-CN"/>
        </w:rPr>
        <w:t>6</w:t>
      </w:r>
      <w:r>
        <w:rPr>
          <w:rFonts w:hint="eastAsia"/>
          <w:szCs w:val="21"/>
        </w:rPr>
        <w:t>）</w:t>
      </w:r>
      <w:r>
        <w:rPr>
          <w:rFonts w:ascii="宋体" w:eastAsia="宋体" w:hAnsi="宋体" w:cs="宋体" w:hint="eastAsia"/>
          <w:color w:val="auto"/>
          <w:sz w:val="21"/>
          <w:szCs w:val="21"/>
          <w:lang w:val="en-US" w:eastAsia="zh-CN"/>
        </w:rPr>
        <w:t>项目服务方案</w:t>
      </w:r>
    </w:p>
    <w:p>
      <w:pPr>
        <w:ind w:left="718" w:firstLine="1418" w:leftChars="342" w:firstLineChars="675"/>
        <w:rPr>
          <w:rFonts w:asciiTheme="minorEastAsia" w:eastAsiaTheme="minorEastAsia" w:hAnsiTheme="minorEastAsia"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asciiTheme="minorEastAsia" w:eastAsiaTheme="minorEastAsia" w:hAnsiTheme="minorEastAsia" w:hint="eastAsia"/>
          <w:szCs w:val="21"/>
        </w:rPr>
        <w:t>技术保障措施</w:t>
      </w:r>
    </w:p>
    <w:p>
      <w:pPr>
        <w:ind w:left="718" w:firstLine="1418" w:leftChars="342" w:firstLineChars="675"/>
        <w:rPr>
          <w:rFonts w:eastAsia="宋体" w:hint="eastAsia"/>
          <w:szCs w:val="21"/>
          <w:lang w:eastAsia="zh-CN"/>
        </w:rPr>
      </w:pPr>
      <w:r>
        <w:rPr>
          <w:rFonts w:asciiTheme="minorEastAsia" w:eastAsiaTheme="minorEastAsia" w:hAnsiTheme="minorEastAsia" w:hint="eastAsia"/>
          <w:szCs w:val="21"/>
          <w:lang w:eastAsia="zh-CN"/>
        </w:rPr>
        <w:t>（</w:t>
      </w:r>
      <w:r>
        <w:rPr>
          <w:rFonts w:asciiTheme="minorEastAsia" w:eastAsiaTheme="minorEastAsia" w:hAnsiTheme="minorEastAsia" w:hint="eastAsia"/>
          <w:szCs w:val="21"/>
          <w:lang w:val="en-US" w:eastAsia="zh-CN"/>
        </w:rPr>
        <w:t>8</w:t>
      </w:r>
      <w:r>
        <w:rPr>
          <w:rFonts w:asciiTheme="minorEastAsia" w:eastAsiaTheme="minorEastAsia" w:hAnsiTheme="minorEastAsia" w:hint="eastAsia"/>
          <w:szCs w:val="21"/>
          <w:lang w:eastAsia="zh-CN"/>
        </w:rPr>
        <w:t>）</w:t>
      </w:r>
      <w:r>
        <w:rPr>
          <w:rFonts w:asciiTheme="minorEastAsia" w:eastAsiaTheme="minorEastAsia" w:hAnsiTheme="minorEastAsia" w:cstheme="minorEastAsia" w:hint="eastAsia"/>
          <w:color w:val="auto"/>
          <w:kern w:val="2"/>
          <w:sz w:val="21"/>
          <w:szCs w:val="21"/>
          <w:lang w:val="en-US" w:eastAsia="zh-CN"/>
        </w:rPr>
        <w:t>同类业绩</w:t>
      </w:r>
    </w:p>
    <w:p>
      <w:pPr>
        <w:ind w:left="718" w:firstLine="1418" w:leftChars="342" w:firstLineChars="675"/>
        <w:rPr>
          <w:rFonts w:hint="eastAsia"/>
          <w:szCs w:val="21"/>
        </w:rPr>
      </w:pPr>
      <w:r>
        <w:rPr>
          <w:rFonts w:hint="eastAsia"/>
          <w:szCs w:val="21"/>
        </w:rPr>
        <w:t>（</w:t>
      </w:r>
      <w:r>
        <w:rPr>
          <w:rFonts w:hint="eastAsia"/>
          <w:szCs w:val="21"/>
          <w:lang w:val="en-US" w:eastAsia="zh-CN"/>
        </w:rPr>
        <w:t>9</w:t>
      </w:r>
      <w:r>
        <w:rPr>
          <w:rFonts w:hint="eastAsia"/>
          <w:szCs w:val="21"/>
        </w:rPr>
        <w:t>）投标人认为需要加以说明的其他内容</w:t>
      </w:r>
    </w:p>
    <w:p>
      <w:pPr>
        <w:ind w:left="718" w:firstLine="1418" w:leftChars="342" w:firstLineChars="675"/>
        <w:rPr>
          <w:rFonts w:ascii="宋体" w:hAnsi="宋体"/>
          <w:szCs w:val="21"/>
        </w:rPr>
      </w:pPr>
    </w:p>
    <w:p>
      <w:pPr>
        <w:pStyle w:val="BodyText"/>
      </w:pPr>
    </w:p>
    <w:p>
      <w:pPr>
        <w:ind w:left="718" w:firstLine="1418" w:leftChars="342" w:firstLineChars="675"/>
        <w:rPr>
          <w:szCs w:val="21"/>
        </w:rPr>
      </w:pPr>
      <w:bookmarkEnd w:id="49"/>
    </w:p>
    <w:p>
      <w:pPr>
        <w:ind w:firstLine="424" w:firstLineChars="202"/>
        <w:rPr>
          <w:rFonts w:ascii="宋体" w:hAnsi="宋体"/>
          <w:b/>
          <w:szCs w:val="21"/>
        </w:rPr>
      </w:pPr>
      <w:bookmarkStart w:id="53" w:name="_Hlk72257771"/>
      <w:r>
        <w:rPr>
          <w:rFonts w:ascii="宋体" w:hAnsi="宋体" w:hint="eastAsia"/>
          <w:b/>
          <w:szCs w:val="21"/>
        </w:rPr>
        <w:t>备注：</w:t>
      </w:r>
    </w:p>
    <w:p>
      <w:pPr>
        <w:ind w:firstLine="424" w:firstLineChars="202"/>
        <w:rPr>
          <w:rFonts w:ascii="宋体" w:hAnsi="宋体"/>
          <w:b/>
          <w:szCs w:val="21"/>
        </w:rPr>
      </w:pPr>
      <w:r>
        <w:rPr>
          <w:rFonts w:ascii="宋体" w:hAnsi="宋体" w:hint="eastAsia"/>
          <w:b/>
          <w:szCs w:val="21"/>
        </w:rPr>
        <w:t>1.本项目为网上电子投标项目，投标文件不需法人或授权委托人另行签字，无需加盖单位公章，招标文件另有规定的除外。</w:t>
      </w:r>
    </w:p>
    <w:p>
      <w:pPr>
        <w:ind w:firstLine="420" w:firstLineChars="200"/>
        <w:rPr>
          <w:rFonts w:ascii="宋体" w:hAnsi="宋体"/>
          <w:color w:val="FF0000"/>
          <w:sz w:val="24"/>
        </w:rPr>
      </w:pPr>
      <w:bookmarkStart w:id="54" w:name="_Hlk72263559"/>
      <w:r>
        <w:rPr>
          <w:rFonts w:ascii="宋体" w:hAnsi="宋体" w:hint="eastAsia"/>
          <w:b/>
          <w:szCs w:val="21"/>
        </w:rPr>
        <w:t>2.关于填写“开标一览表”的说明：“开标一览表”中除“投标总价”外，其他信息不作评审依据。</w:t>
      </w:r>
      <w:bookmarkEnd w:id="53"/>
      <w:bookmarkEnd w:id="54"/>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outlineLvl w:val="1"/>
        <w:rPr>
          <w:rFonts w:ascii="宋体" w:hAnsi="宋体"/>
          <w:b/>
          <w:color w:val="FF0000"/>
          <w:sz w:val="28"/>
          <w:szCs w:val="28"/>
        </w:rPr>
      </w:pPr>
      <w:r>
        <w:rPr>
          <w:rFonts w:ascii="宋体" w:hAnsi="宋体" w:hint="eastAsia"/>
          <w:b/>
          <w:color w:val="FF0000"/>
          <w:sz w:val="28"/>
          <w:szCs w:val="28"/>
        </w:rPr>
        <w:t>投标文件正文（信息公开部分）</w:t>
      </w:r>
    </w:p>
    <w:p>
      <w:pPr>
        <w:pStyle w:val="Heading3"/>
        <w:jc w:val="center"/>
        <w:rPr>
          <w:rFonts w:ascii="黑体" w:eastAsia="黑体"/>
          <w:b w:val="0"/>
          <w:sz w:val="24"/>
        </w:rPr>
      </w:pPr>
      <w:r>
        <w:rPr>
          <w:rFonts w:ascii="黑体" w:eastAsia="黑体" w:hint="eastAsia"/>
          <w:b w:val="0"/>
          <w:sz w:val="24"/>
        </w:rPr>
        <w:t>一、投标函</w:t>
      </w:r>
    </w:p>
    <w:p>
      <w:pPr>
        <w:spacing w:line="360" w:lineRule="auto"/>
        <w:rPr>
          <w:rFonts w:ascii="宋体" w:hAnsi="宋体"/>
          <w:szCs w:val="21"/>
        </w:rPr>
      </w:pPr>
      <w:bookmarkStart w:id="55" w:name="_Hlk72257506"/>
      <w:r>
        <w:rPr>
          <w:rFonts w:ascii="宋体" w:hAnsi="宋体" w:hint="eastAsia"/>
          <w:szCs w:val="21"/>
        </w:rPr>
        <w:t>致：</w:t>
      </w:r>
      <w:r>
        <w:rPr>
          <w:rFonts w:ascii="宋体" w:hAnsi="宋体" w:hint="eastAsia"/>
          <w:szCs w:val="21"/>
          <w:u w:val="single"/>
        </w:rPr>
        <w:t xml:space="preserve">  </w:t>
      </w:r>
      <w:r>
        <w:rPr>
          <w:rFonts w:ascii="宋体" w:hAnsi="宋体" w:hint="eastAsia"/>
          <w:color w:val="FF0000"/>
          <w:szCs w:val="21"/>
          <w:u w:val="single"/>
        </w:rPr>
        <w:t>深圳公共资源交易中心</w:t>
      </w:r>
      <w:r>
        <w:rPr>
          <w:rFonts w:ascii="宋体" w:hAnsi="宋体"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bookmarkStart w:id="56"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7" w:name="_Hlk72263588"/>
      <w:r>
        <w:rPr>
          <w:rFonts w:hint="eastAsia"/>
          <w:szCs w:val="21"/>
        </w:rPr>
        <w:t>愿意按照招标文件要求承包上述项目并修补其任何缺陷。</w:t>
      </w:r>
      <w:bookmarkEnd w:id="57"/>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szCs w:val="21"/>
        </w:rPr>
        <w:t>2</w:t>
      </w:r>
      <w:r>
        <w:rPr>
          <w:rFonts w:ascii="宋体" w:hAnsi="宋体" w:hint="eastAsia"/>
          <w:szCs w:val="21"/>
        </w:rPr>
        <w:t>、</w:t>
      </w:r>
      <w:bookmarkStart w:id="58" w:name="_Hlk73819847"/>
      <w:r>
        <w:rPr>
          <w:rFonts w:ascii="宋体" w:hAnsi="宋体" w:hint="eastAsia"/>
          <w:szCs w:val="21"/>
        </w:rPr>
        <w:t>投标价格见</w:t>
      </w:r>
      <w:r>
        <w:rPr>
          <w:rFonts w:hint="eastAsia"/>
          <w:szCs w:val="21"/>
        </w:rPr>
        <w:t>投标书编制软件中《开标一览表》中填写的投标总价。</w:t>
      </w:r>
      <w:bookmarkEnd w:id="58"/>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hint="eastAsia"/>
          <w:szCs w:val="21"/>
          <w:lang w:eastAsia="zh-CN"/>
        </w:rPr>
      </w:pPr>
      <w:r>
        <w:rPr>
          <w:rFonts w:ascii="宋体" w:hAnsi="宋体" w:hint="eastAsia"/>
          <w:szCs w:val="21"/>
        </w:rPr>
        <w:t>6、我单位理解贵单位将不受必须接受所收到的最低报价或其它任何投标文件的约束</w:t>
      </w:r>
      <w:bookmarkEnd w:id="56"/>
      <w:r>
        <w:rPr>
          <w:rFonts w:ascii="宋体" w:hAnsi="宋体" w:hint="eastAsia"/>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firstLine="210" w:leftChars="200" w:firstLineChars="100"/>
        <w:rPr>
          <w:rFonts w:hint="eastAsia"/>
          <w:szCs w:val="21"/>
        </w:rPr>
      </w:pPr>
    </w:p>
    <w:p>
      <w:pPr>
        <w:ind w:left="420" w:firstLine="210" w:leftChars="20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firstLine="210" w:leftChars="20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firstLine="210" w:leftChars="200" w:firstLineChars="10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pPr>
        <w:rPr>
          <w:rFonts w:ascii="黑体" w:eastAsia="黑体" w:hAnsi="宋体"/>
        </w:rPr>
      </w:pPr>
    </w:p>
    <w:p>
      <w:pPr>
        <w:rPr>
          <w:rFonts w:ascii="黑体" w:eastAsia="黑体" w:hAnsi="宋体"/>
        </w:rPr>
      </w:pPr>
      <w:r>
        <w:rPr>
          <w:rFonts w:ascii="黑体" w:eastAsia="黑体" w:hAnsi="宋体"/>
        </w:rPr>
        <w:br w:type="page"/>
      </w:r>
    </w:p>
    <w:p>
      <w:pPr>
        <w:pStyle w:val="Heading3"/>
        <w:jc w:val="center"/>
        <w:rPr>
          <w:rFonts w:ascii="黑体" w:eastAsia="黑体"/>
          <w:b w:val="0"/>
          <w:sz w:val="24"/>
        </w:rPr>
      </w:pPr>
      <w:bookmarkEnd w:id="55"/>
      <w:r>
        <w:rPr>
          <w:rFonts w:ascii="黑体" w:eastAsia="黑体" w:hint="eastAsia"/>
          <w:b w:val="0"/>
          <w:sz w:val="24"/>
        </w:rPr>
        <w:t>二、政府采购投标及履约承诺函</w:t>
      </w:r>
    </w:p>
    <w:p>
      <w:pPr>
        <w:rPr>
          <w:rFonts w:ascii="宋体" w:hAnsi="宋体"/>
          <w:color w:val="FF0000"/>
          <w:szCs w:val="21"/>
        </w:rPr>
      </w:pPr>
      <w:bookmarkStart w:id="59" w:name="_Hlk72257530"/>
      <w:r>
        <w:rPr>
          <w:rFonts w:ascii="宋体" w:hAnsi="宋体" w:hint="eastAsia"/>
          <w:color w:val="FF0000"/>
          <w:szCs w:val="21"/>
        </w:rPr>
        <w:t>致：</w:t>
      </w:r>
      <w:r>
        <w:rPr>
          <w:rFonts w:ascii="宋体" w:hAnsi="宋体" w:hint="eastAsia"/>
          <w:color w:val="FF0000"/>
          <w:szCs w:val="21"/>
          <w:u w:val="single"/>
        </w:rPr>
        <w:t>深圳公共资源交易中心</w:t>
      </w:r>
    </w:p>
    <w:p>
      <w:pPr>
        <w:ind w:right="-815" w:firstLine="420" w:firstLineChars="200"/>
        <w:rPr>
          <w:rFonts w:ascii="宋体" w:hAnsi="宋体"/>
          <w:szCs w:val="21"/>
        </w:rPr>
      </w:pPr>
      <w:r>
        <w:rPr>
          <w:rFonts w:ascii="宋体" w:hAnsi="宋体" w:hint="eastAsia"/>
          <w:szCs w:val="21"/>
        </w:rPr>
        <w:t>我单位承诺：</w:t>
      </w:r>
    </w:p>
    <w:p>
      <w:pPr>
        <w:ind w:firstLine="420" w:firstLineChars="200"/>
        <w:rPr>
          <w:rFonts w:ascii="宋体" w:hAnsi="宋体" w:hint="eastAsia"/>
          <w:b/>
          <w:szCs w:val="21"/>
        </w:rPr>
      </w:pPr>
      <w:r>
        <w:rPr>
          <w:rFonts w:ascii="宋体" w:hAnsi="宋体" w:hint="eastAsia"/>
          <w:b w:val="0"/>
          <w:bCs/>
          <w:szCs w:val="21"/>
        </w:rPr>
        <w:t>1.我单位参与本项目所投标（响应）的货物、工程或服务，不存在侵犯知识产权的情况。</w:t>
      </w:r>
    </w:p>
    <w:p>
      <w:pPr>
        <w:ind w:firstLine="420" w:firstLineChars="20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ascii="宋体" w:hAnsi="宋体" w:hint="eastAsia"/>
          <w:szCs w:val="21"/>
        </w:rPr>
        <w:t>3.我单位具备《中华人民共和国政府采购法》第二十二条第一款规定的六项条件。</w:t>
      </w:r>
    </w:p>
    <w:p>
      <w:pPr>
        <w:ind w:firstLine="420" w:firstLineChars="200"/>
        <w:rPr>
          <w:rFonts w:hint="eastAsia"/>
        </w:rPr>
      </w:pPr>
      <w:r>
        <w:rPr>
          <w:rFonts w:ascii="宋体" w:hAnsi="宋体" w:hint="eastAsia"/>
          <w:szCs w:val="21"/>
        </w:rPr>
        <w:t>4.我单位</w:t>
      </w:r>
      <w:r>
        <w:rPr>
          <w:rFonts w:hint="eastAsia"/>
        </w:rPr>
        <w:t>未被列入失信被执行人、重大税收违法案件当事人名单、政府采购严重违法失信行为记录名单。</w:t>
      </w:r>
    </w:p>
    <w:p>
      <w:pPr>
        <w:ind w:firstLine="420" w:firstLineChars="200"/>
        <w:rPr>
          <w:rFonts w:eastAsia="宋体" w:hint="default"/>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ascii="宋体" w:hAnsi="宋体" w:hint="eastAsia"/>
          <w:szCs w:val="21"/>
          <w:lang w:val="en-US" w:eastAsia="zh-CN"/>
        </w:rPr>
        <w:t>6</w:t>
      </w:r>
      <w:r>
        <w:rPr>
          <w:rFonts w:ascii="宋体" w:hAnsi="宋体" w:hint="eastAsia"/>
          <w:szCs w:val="21"/>
        </w:rPr>
        <w:t>.</w:t>
      </w:r>
      <w:bookmarkStart w:id="60" w:name="_Hlk72587269"/>
      <w:bookmarkStart w:id="61"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0"/>
      <w:r>
        <w:rPr>
          <w:rFonts w:ascii="宋体" w:hAnsi="宋体" w:hint="eastAsia"/>
          <w:szCs w:val="21"/>
        </w:rPr>
        <w:t>。</w:t>
      </w:r>
    </w:p>
    <w:p>
      <w:pPr>
        <w:ind w:firstLine="420" w:firstLineChars="200"/>
        <w:rPr>
          <w:rFonts w:ascii="宋体" w:hAnsi="宋体"/>
          <w:szCs w:val="21"/>
        </w:rPr>
      </w:pPr>
      <w:bookmarkEnd w:id="61"/>
      <w:r>
        <w:rPr>
          <w:rFonts w:ascii="宋体" w:hAnsi="宋体" w:hint="eastAsia"/>
          <w:szCs w:val="21"/>
          <w:lang w:val="en-US" w:eastAsia="zh-CN"/>
        </w:rPr>
        <w:t>7</w:t>
      </w:r>
      <w:r>
        <w:rPr>
          <w:rFonts w:ascii="宋体" w:hAnsi="宋体" w:hint="eastAsia"/>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hint="eastAsia"/>
          <w:szCs w:val="21"/>
          <w:lang w:val="en-US" w:eastAsia="zh-CN"/>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hint="eastAsia"/>
          <w:szCs w:val="21"/>
          <w:lang w:val="en-US" w:eastAsia="zh-CN"/>
        </w:rPr>
        <w:t>9</w:t>
      </w:r>
      <w:r>
        <w:rPr>
          <w:rFonts w:ascii="宋体" w:hAnsi="宋体" w:hint="eastAsia"/>
          <w:szCs w:val="21"/>
        </w:rPr>
        <w:t>.我单位承诺中标后项目不转包，未经采购人同意不进行分包。</w:t>
      </w:r>
    </w:p>
    <w:p>
      <w:pPr>
        <w:ind w:firstLine="420" w:firstLineChars="200"/>
        <w:rPr>
          <w:rFonts w:ascii="宋体" w:hAnsi="宋体"/>
        </w:rPr>
      </w:pPr>
      <w:r>
        <w:rPr>
          <w:rFonts w:ascii="宋体" w:hAnsi="宋体" w:hint="eastAsia"/>
          <w:szCs w:val="21"/>
          <w:lang w:val="en-US" w:eastAsia="zh-CN"/>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eastAsia="宋体" w:hAnsi="宋体" w:hint="eastAsia"/>
          <w:lang w:val="en-US" w:eastAsia="zh-CN"/>
        </w:rPr>
      </w:pPr>
      <w:r>
        <w:rPr>
          <w:rFonts w:ascii="宋体" w:hAnsi="宋体" w:hint="eastAsia"/>
        </w:rPr>
        <w:t>1</w:t>
      </w:r>
      <w:r>
        <w:rPr>
          <w:rFonts w:ascii="宋体" w:hAnsi="宋体" w:hint="eastAsia"/>
          <w:lang w:val="en-US" w:eastAsia="zh-CN"/>
        </w:rPr>
        <w:t>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r>
        <w:rPr>
          <w:rFonts w:ascii="宋体" w:hAnsi="宋体" w:hint="eastAsia"/>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ascii="宋体" w:hAnsi="宋体" w:cs="宋体" w:hint="eastAsia"/>
          <w:b w:val="0"/>
          <w:bCs/>
          <w:kern w:val="0"/>
          <w:szCs w:val="21"/>
        </w:rPr>
        <w:t>1</w:t>
      </w:r>
      <w:r>
        <w:rPr>
          <w:rFonts w:ascii="宋体" w:hAnsi="宋体" w:cs="宋体" w:hint="eastAsia"/>
          <w:b w:val="0"/>
          <w:bCs/>
          <w:kern w:val="0"/>
          <w:szCs w:val="21"/>
          <w:lang w:val="en-US" w:eastAsia="zh-CN"/>
        </w:rPr>
        <w:t>2</w:t>
      </w:r>
      <w:r>
        <w:rPr>
          <w:rFonts w:ascii="宋体" w:hAnsi="宋体" w:cs="宋体" w:hint="eastAsia"/>
          <w:b w:val="0"/>
          <w:bCs/>
          <w:kern w:val="0"/>
          <w:szCs w:val="21"/>
        </w:rPr>
        <w:t>.</w:t>
      </w:r>
      <w:r>
        <w:rPr>
          <w:rFonts w:ascii="宋体" w:hAnsi="宋体" w:hint="eastAsia"/>
          <w:b w:val="0"/>
          <w:bCs/>
        </w:rPr>
        <w:t>我单位已知悉并同意中标（成交）结果信息公示（公开）的内容。</w:t>
      </w:r>
    </w:p>
    <w:p>
      <w:pPr>
        <w:ind w:firstLine="420" w:firstLineChars="200"/>
        <w:rPr>
          <w:rFonts w:ascii="宋体" w:eastAsia="宋体" w:hAnsi="宋体" w:cs="宋体" w:hint="eastAsia"/>
          <w:b/>
          <w:color w:val="FF0000"/>
          <w:kern w:val="0"/>
          <w:szCs w:val="21"/>
          <w:lang w:eastAsia="zh-CN"/>
        </w:rPr>
      </w:pPr>
      <w:r>
        <w:rPr>
          <w:rFonts w:ascii="宋体" w:hAnsi="宋体" w:hint="eastAsia"/>
          <w:b w:val="0"/>
          <w:bCs/>
        </w:rPr>
        <w:t>1</w:t>
      </w:r>
      <w:r>
        <w:rPr>
          <w:rFonts w:ascii="宋体" w:hAnsi="宋体" w:hint="eastAsia"/>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ascii="宋体" w:hAnsi="宋体" w:hint="eastAsia"/>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ascii="宋体" w:hAnsi="宋体" w:hint="eastAsia"/>
          <w:b w:val="0"/>
          <w:bCs/>
          <w:color w:val="auto"/>
          <w:lang w:val="en-US" w:eastAsia="zh-CN"/>
        </w:rPr>
        <w:t>若</w:t>
      </w:r>
      <w:r>
        <w:rPr>
          <w:rFonts w:ascii="宋体" w:hAnsi="宋体" w:hint="eastAsia"/>
          <w:b w:val="0"/>
          <w:bCs/>
          <w:color w:val="auto"/>
        </w:rPr>
        <w:t>存在“不同供应商的董事、股东或其他高级管理人员为同一人的”情形的，</w:t>
      </w:r>
      <w:r>
        <w:rPr>
          <w:rFonts w:ascii="宋体" w:hAnsi="宋体" w:hint="eastAsia"/>
          <w:b w:val="0"/>
          <w:bCs/>
          <w:color w:val="auto"/>
          <w:lang w:val="en-US" w:eastAsia="zh-CN"/>
        </w:rPr>
        <w:t>我单位保证</w:t>
      </w:r>
      <w:r>
        <w:rPr>
          <w:rFonts w:ascii="宋体" w:hAnsi="宋体" w:hint="eastAsia"/>
          <w:b w:val="0"/>
          <w:bCs/>
          <w:color w:val="auto"/>
        </w:rPr>
        <w:t>不存在串通投标、恶意串通或者视为串通投标的情形</w:t>
      </w:r>
      <w:r>
        <w:rPr>
          <w:rFonts w:ascii="宋体" w:hAnsi="宋体" w:hint="eastAsia"/>
          <w:b w:val="0"/>
          <w:bCs/>
          <w:color w:val="auto"/>
          <w:lang w:eastAsia="zh-CN"/>
        </w:rPr>
        <w:t>。</w:t>
      </w:r>
    </w:p>
    <w:p>
      <w:pPr>
        <w:ind w:firstLine="420" w:firstLineChars="200"/>
        <w:rPr>
          <w:rFonts w:ascii="宋体" w:hAnsi="宋体" w:hint="default"/>
          <w:b/>
          <w:szCs w:val="21"/>
          <w:lang w:val="en-US"/>
        </w:rPr>
      </w:pPr>
      <w:r>
        <w:rPr>
          <w:rFonts w:ascii="宋体" w:hAnsi="宋体" w:hint="eastAsia"/>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ascii="宋体" w:hAnsi="宋体" w:hint="eastAsia"/>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ascii="宋体" w:hAnsi="宋体" w:hint="eastAsia"/>
          <w:szCs w:val="21"/>
        </w:rPr>
        <w:t xml:space="preserve">                                    </w:t>
      </w:r>
    </w:p>
    <w:p>
      <w:pPr>
        <w:spacing w:before="60" w:beforeLines="25" w:after="60" w:afterLines="25"/>
        <w:ind w:firstLine="5460" w:firstLineChars="2600"/>
        <w:rPr>
          <w:rFonts w:eastAsia="宋体" w:hint="eastAsia"/>
          <w:color w:val="FF0000"/>
          <w:u w:val="none"/>
          <w:lang w:eastAsia="zh-CN"/>
        </w:rPr>
      </w:pPr>
      <w:bookmarkEnd w:id="59"/>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ascii="宋体" w:hAnsi="宋体" w:hint="eastAsia"/>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日</w:t>
      </w:r>
    </w:p>
    <w:p>
      <w:pPr>
        <w:ind w:firstLine="645"/>
        <w:rPr>
          <w:rFonts w:ascii="宋体" w:hAnsi="宋体"/>
          <w:szCs w:val="21"/>
        </w:rPr>
      </w:pPr>
    </w:p>
    <w:p>
      <w:pPr>
        <w:rPr>
          <w:rFonts w:ascii="宋体"/>
          <w:b/>
          <w:szCs w:val="21"/>
        </w:rPr>
      </w:pPr>
      <w:r>
        <w:rPr>
          <w:rFonts w:ascii="宋体"/>
          <w:b/>
          <w:szCs w:val="21"/>
        </w:rPr>
        <w:br w:type="page"/>
      </w:r>
    </w:p>
    <w:p>
      <w:pPr>
        <w:pStyle w:val="Heading3"/>
        <w:jc w:val="center"/>
        <w:rPr>
          <w:rFonts w:ascii="黑体" w:eastAsia="黑体"/>
          <w:b w:val="0"/>
          <w:sz w:val="24"/>
          <w:szCs w:val="24"/>
        </w:rPr>
      </w:pPr>
      <w:r>
        <w:rPr>
          <w:rFonts w:ascii="黑体" w:eastAsia="黑体" w:hint="eastAsia"/>
          <w:b w:val="0"/>
          <w:sz w:val="24"/>
          <w:szCs w:val="24"/>
        </w:rPr>
        <w:t>三、投标人情况及资格证明文件</w:t>
      </w:r>
    </w:p>
    <w:p>
      <w:pPr>
        <w:rPr>
          <w:b/>
          <w:bCs/>
          <w:sz w:val="24"/>
        </w:rPr>
      </w:pPr>
    </w:p>
    <w:p>
      <w:pPr>
        <w:ind w:firstLine="2310" w:firstLineChars="1100"/>
        <w:outlineLvl w:val="3"/>
        <w:rPr>
          <w:rFonts w:ascii="黑体" w:eastAsia="黑体" w:hAnsi="宋体"/>
          <w:bCs/>
          <w:kern w:val="0"/>
          <w:sz w:val="24"/>
          <w:szCs w:val="32"/>
        </w:rPr>
      </w:pPr>
      <w:bookmarkStart w:id="62" w:name="_Hlk72257590"/>
      <w:r>
        <w:rPr>
          <w:rFonts w:ascii="黑体" w:eastAsia="黑体" w:hAnsi="宋体" w:hint="eastAsia"/>
          <w:bCs/>
          <w:kern w:val="0"/>
          <w:sz w:val="24"/>
          <w:szCs w:val="32"/>
        </w:rPr>
        <w:t>（一）投标人资格证明文件</w:t>
      </w:r>
    </w:p>
    <w:p>
      <w:pPr>
        <w:spacing w:before="120" w:beforeLines="50"/>
        <w:ind w:firstLine="42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rPr>
          <w:b/>
          <w:bCs/>
          <w:sz w:val="24"/>
        </w:rPr>
      </w:pPr>
    </w:p>
    <w:p>
      <w:pPr>
        <w:ind w:firstLine="420" w:firstLineChars="200"/>
        <w:outlineLvl w:val="3"/>
        <w:rPr>
          <w:rFonts w:ascii="黑体" w:eastAsia="黑体" w:hAnsi="宋体"/>
          <w:bCs/>
          <w:kern w:val="0"/>
          <w:sz w:val="24"/>
          <w:szCs w:val="32"/>
        </w:rPr>
      </w:pPr>
      <w:bookmarkStart w:id="63" w:name="_Hlk72257908"/>
      <w:r>
        <w:rPr>
          <w:rFonts w:ascii="黑体" w:eastAsia="黑体" w:hAnsi="宋体" w:hint="eastAsia"/>
          <w:bCs/>
          <w:kern w:val="0"/>
          <w:sz w:val="24"/>
          <w:szCs w:val="32"/>
        </w:rPr>
        <w:t>（二）中小企业声明函、残疾人福利性单位声明函及监狱企业声明函</w:t>
      </w:r>
    </w:p>
    <w:p>
      <w:pPr>
        <w:jc w:val="left"/>
        <w:outlineLvl w:val="9"/>
        <w:rPr>
          <w:rFonts w:ascii="黑体" w:eastAsia="黑体" w:hAnsi="宋体"/>
          <w:bCs/>
          <w:kern w:val="0"/>
          <w:sz w:val="24"/>
          <w:szCs w:val="32"/>
        </w:rPr>
      </w:pPr>
      <w:bookmarkEnd w:id="62"/>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填写指引：</w:t>
      </w:r>
    </w:p>
    <w:p>
      <w:pPr>
        <w:ind w:firstLine="420" w:firstLineChars="200"/>
        <w:outlineLvl w:val="9"/>
        <w:rPr>
          <w:rFonts w:ascii="黑体" w:eastAsia="黑体" w:hAnsi="黑体"/>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eastAsia="黑体" w:hAnsi="黑体"/>
          <w:color w:val="FF0000"/>
          <w:szCs w:val="21"/>
        </w:rPr>
      </w:pPr>
      <w:r>
        <w:rPr>
          <w:rFonts w:ascii="黑体" w:eastAsia="黑体" w:hAnsi="黑体" w:hint="eastAsia"/>
          <w:color w:val="FF0000"/>
          <w:szCs w:val="21"/>
        </w:rPr>
        <w:t>2、该部分内容填写需要参考的相关文件：</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(3)《统计上大中小微型企业划分办法(2017)》（国统字〔2017〕213号）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(4)《关于促进残疾人就业政府采购政策的通知》（财库〔2017〕141号）</w:t>
      </w:r>
      <w:r>
        <w:rPr>
          <w:rFonts w:ascii="黑体" w:eastAsia="黑体" w:hAnsi="黑体" w:hint="eastAsia"/>
          <w:color w:val="FF0000"/>
          <w:szCs w:val="21"/>
          <w:lang w:eastAsia="zh-CN"/>
        </w:rPr>
        <w:t>；</w:t>
      </w:r>
    </w:p>
    <w:p>
      <w:pPr>
        <w:ind w:firstLine="420" w:firstLineChars="200"/>
        <w:outlineLvl w:val="9"/>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第二处，在“项目名称”下划线处如实填写采购</w:t>
      </w:r>
      <w:r>
        <w:rPr>
          <w:rFonts w:ascii="黑体" w:eastAsia="黑体" w:hAnsi="宋体" w:hint="eastAsia"/>
          <w:bCs/>
          <w:color w:val="FF0000"/>
          <w:kern w:val="0"/>
          <w:szCs w:val="21"/>
          <w:lang w:val="en-US" w:eastAsia="zh-CN"/>
        </w:rPr>
        <w:t>文件中确定的</w:t>
      </w:r>
      <w:r>
        <w:rPr>
          <w:rFonts w:ascii="黑体" w:eastAsia="黑体" w:hAnsi="宋体" w:hint="eastAsia"/>
          <w:bCs/>
          <w:color w:val="FF0000"/>
          <w:kern w:val="0"/>
          <w:szCs w:val="21"/>
        </w:rPr>
        <w:t>项目名称</w:t>
      </w:r>
      <w:r>
        <w:rPr>
          <w:rFonts w:ascii="黑体" w:eastAsia="黑体" w:hAnsi="宋体" w:hint="eastAsia"/>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kern w:val="0"/>
          <w:szCs w:val="21"/>
        </w:rPr>
        <w:t>；</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第三处，在“标的名称”下划线处填写所采购货物（标的）的具体名称（以招标文件第一册第三章用户需求书“货物</w:t>
      </w:r>
      <w:r>
        <w:rPr>
          <w:rFonts w:ascii="黑体" w:eastAsia="黑体" w:hAnsi="宋体" w:hint="eastAsia"/>
          <w:bCs/>
          <w:color w:val="FF0000"/>
          <w:kern w:val="0"/>
          <w:szCs w:val="21"/>
          <w:lang w:val="en-US" w:eastAsia="zh-CN"/>
        </w:rPr>
        <w:t>清单</w:t>
      </w:r>
      <w:r>
        <w:rPr>
          <w:rFonts w:ascii="黑体" w:eastAsia="黑体" w:hAnsi="宋体" w:hint="eastAsia"/>
          <w:bCs/>
          <w:color w:val="FF0000"/>
          <w:kern w:val="0"/>
          <w:szCs w:val="21"/>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第四处，在“</w:t>
      </w:r>
      <w:r>
        <w:rPr>
          <w:rFonts w:ascii="黑体" w:eastAsia="黑体" w:hAnsi="宋体" w:hint="eastAsia"/>
          <w:bCs/>
          <w:color w:val="FF0000"/>
          <w:kern w:val="0"/>
          <w:szCs w:val="21"/>
          <w:lang w:val="en-US" w:eastAsia="zh-CN"/>
        </w:rPr>
        <w:t>采购</w:t>
      </w:r>
      <w:r>
        <w:rPr>
          <w:rFonts w:ascii="黑体" w:eastAsia="黑体" w:hAnsi="宋体" w:hint="eastAsia"/>
          <w:bCs/>
          <w:color w:val="FF0000"/>
          <w:kern w:val="0"/>
          <w:szCs w:val="21"/>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kern w:val="0"/>
          <w:szCs w:val="21"/>
          <w:lang w:val="en-US" w:eastAsia="zh-CN"/>
        </w:rPr>
        <w:t>标的所属行业</w:t>
      </w:r>
      <w:r>
        <w:rPr>
          <w:rFonts w:ascii="黑体" w:eastAsia="黑体" w:hAnsi="宋体" w:hint="eastAsia"/>
          <w:bCs/>
          <w:color w:val="FF0000"/>
          <w:kern w:val="0"/>
          <w:szCs w:val="21"/>
        </w:rPr>
        <w:t>”一栏为准）</w:t>
      </w:r>
      <w:r>
        <w:rPr>
          <w:rFonts w:ascii="黑体" w:eastAsia="黑体" w:hAnsi="宋体" w:hint="eastAsia"/>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rPr>
        <w:t>第五处，在“企业名称”下划线处如实填写</w:t>
      </w:r>
      <w:r>
        <w:rPr>
          <w:rFonts w:ascii="黑体" w:eastAsia="黑体" w:hAnsi="宋体" w:hint="eastAsia"/>
          <w:b/>
          <w:bCs w:val="0"/>
          <w:color w:val="FF0000"/>
          <w:kern w:val="0"/>
          <w:szCs w:val="21"/>
          <w:lang w:val="en-US" w:eastAsia="zh-CN"/>
        </w:rPr>
        <w:t>货物</w:t>
      </w:r>
      <w:r>
        <w:rPr>
          <w:rFonts w:ascii="黑体" w:eastAsia="黑体" w:hAnsi="宋体" w:hint="eastAsia"/>
          <w:b/>
          <w:bCs w:val="0"/>
          <w:color w:val="FF0000"/>
          <w:kern w:val="0"/>
          <w:szCs w:val="21"/>
        </w:rPr>
        <w:t>制造商名称</w:t>
      </w:r>
      <w:r>
        <w:rPr>
          <w:rFonts w:ascii="黑体" w:eastAsia="黑体" w:hAnsi="宋体" w:hint="eastAsia"/>
          <w:b/>
          <w:bCs w:val="0"/>
          <w:color w:val="FF0000"/>
          <w:kern w:val="0"/>
          <w:szCs w:val="21"/>
          <w:lang w:eastAsia="zh-CN"/>
        </w:rPr>
        <w:t>。</w:t>
      </w:r>
      <w:r>
        <w:rPr>
          <w:rFonts w:ascii="黑体" w:eastAsia="黑体" w:hAnsi="宋体" w:hint="eastAsia"/>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cs="Times New Roman" w:hint="eastAsia"/>
          <w:bCs/>
          <w:color w:val="FF0000"/>
          <w:kern w:val="0"/>
          <w:sz w:val="21"/>
          <w:szCs w:val="21"/>
          <w:lang w:val="en-US" w:eastAsia="zh-CN" w:bidi="ar-SA"/>
        </w:rPr>
        <w:t>第六、</w:t>
      </w:r>
      <w:r>
        <w:rPr>
          <w:rFonts w:ascii="黑体" w:eastAsia="黑体" w:hAnsi="宋体" w:hint="eastAsia"/>
          <w:bCs/>
          <w:color w:val="FF0000"/>
          <w:kern w:val="0"/>
          <w:szCs w:val="21"/>
          <w:lang w:val="en-US" w:eastAsia="zh-CN"/>
        </w:rPr>
        <w:t>七、八处，</w:t>
      </w:r>
      <w:r>
        <w:rPr>
          <w:rFonts w:ascii="黑体" w:eastAsia="黑体" w:hAnsi="宋体" w:hint="eastAsia"/>
          <w:bCs/>
          <w:color w:val="FF0000"/>
          <w:kern w:val="0"/>
          <w:szCs w:val="21"/>
        </w:rPr>
        <w:t>在“从业人员”、“营业收入”、“资产总额”下划线处如实填写从业人员、营业收入、资产总额</w:t>
      </w:r>
      <w:r>
        <w:rPr>
          <w:rFonts w:ascii="黑体" w:eastAsia="黑体" w:hAnsi="宋体" w:hint="eastAsia"/>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lang w:val="en-US" w:eastAsia="zh-CN"/>
        </w:rPr>
        <w:t>第九处，</w:t>
      </w:r>
      <w:r>
        <w:rPr>
          <w:rFonts w:ascii="黑体" w:eastAsia="黑体" w:hAnsi="宋体" w:hint="eastAsia"/>
          <w:bCs/>
          <w:color w:val="FF0000"/>
          <w:kern w:val="0"/>
          <w:szCs w:val="21"/>
        </w:rPr>
        <w:t>在“中型企业、小型企业、微型企业”下划线处应依据企业上年度从业人员、营业收入、资产总额等指标</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按照《中小企业划型标准规定》（工信部联企业〔2011〕300号）、《金融业企业划型标准规定》（银发〔2015〕309号）</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判断《中小企业声明函》载明的货物制造商是否属于采购文件所属行业的中型企业/小型企业/微型企业。</w:t>
      </w:r>
    </w:p>
    <w:p>
      <w:pPr>
        <w:pStyle w:val="NoSpacing"/>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2</w:t>
      </w:r>
      <w:r>
        <w:rPr>
          <w:rFonts w:ascii="黑体" w:eastAsia="黑体" w:hAnsi="宋体" w:hint="eastAsia"/>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3</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4</w:t>
      </w:r>
      <w:r>
        <w:rPr>
          <w:rFonts w:ascii="黑体" w:eastAsia="黑体" w:hAnsi="宋体" w:hint="eastAsia"/>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5</w:t>
      </w:r>
      <w:r>
        <w:rPr>
          <w:rFonts w:ascii="黑体" w:eastAsia="黑体" w:hAnsi="宋体" w:hint="eastAsia"/>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NoSpacing"/>
        <w:ind w:firstLine="420" w:firstLineChars="200"/>
        <w:outlineLvl w:val="9"/>
        <w:rPr>
          <w:rFonts w:eastAsia="黑体" w:hint="eastAsia"/>
          <w:lang w:val="en-US" w:eastAsia="zh-CN"/>
        </w:rPr>
      </w:pPr>
      <w:r>
        <w:rPr>
          <w:rFonts w:ascii="黑体" w:eastAsia="黑体" w:hAnsi="宋体" w:hint="eastAsia"/>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7"/>
        </w:numPr>
        <w:jc w:val="center"/>
        <w:outlineLvl w:val="9"/>
        <w:rPr>
          <w:b/>
          <w:sz w:val="24"/>
        </w:rPr>
      </w:pPr>
      <w:r>
        <w:rPr>
          <w:b/>
          <w:sz w:val="24"/>
        </w:rPr>
        <w:t>中小企业声明函（货物）</w:t>
      </w:r>
    </w:p>
    <w:p>
      <w:pPr>
        <w:pStyle w:val="BodyText"/>
        <w:widowControl w:val="0"/>
        <w:numPr>
          <w:ilvl w:val="0"/>
          <w:numId w:val="0"/>
        </w:numPr>
        <w:spacing w:line="360" w:lineRule="auto"/>
        <w:jc w:val="both"/>
        <w:outlineLvl w:val="9"/>
      </w:pP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采购活动，提供的货物全部由符合政策要求的中小企业制造。相关企业（含联合体中的中小企业、签订分包意向协议的中小企业）的具体情况如下：</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1.</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2.</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64" w:name="_Hlk73562203"/>
      <w:r>
        <w:rPr>
          <w:rFonts w:asciiTheme="minorEastAsia" w:eastAsiaTheme="minorEastAsia" w:hAnsiTheme="minorEastAsia" w:cstheme="minorEastAsia" w:hint="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eastAsia="宋体" w:hAnsi="Times New Roman" w:cs="Times New Roman" w:hint="eastAsia"/>
          <w:kern w:val="2"/>
          <w:sz w:val="24"/>
          <w:szCs w:val="24"/>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4"/>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65" w:name="_Hlk73562331"/>
      <w:bookmarkStart w:id="66" w:name="_Hlk73562245"/>
      <w:r>
        <w:rPr>
          <w:rFonts w:asciiTheme="minorEastAsia" w:eastAsiaTheme="minorEastAsia" w:hAnsiTheme="minorEastAsia" w:cstheme="minorEastAsia" w:hint="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单位的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5"/>
    </w:p>
    <w:p>
      <w:pPr>
        <w:ind w:firstLine="420" w:firstLineChars="200"/>
        <w:outlineLvl w:val="9"/>
        <w:rPr>
          <w:rFonts w:ascii="宋体" w:hAnsi="宋体"/>
          <w:szCs w:val="21"/>
        </w:rPr>
      </w:pPr>
      <w:bookmarkEnd w:id="66"/>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hint="eastAsia"/>
          <w:sz w:val="21"/>
          <w:szCs w:val="21"/>
        </w:rPr>
        <w:t>本投标人郑重声明，根据《财政部司法部关于政府采购支持监狱企业发展有关问题的通知》（财库〔</w:t>
      </w:r>
      <w:r>
        <w:rPr>
          <w:rFonts w:ascii="宋体" w:hAnsi="宋体"/>
          <w:sz w:val="21"/>
          <w:szCs w:val="21"/>
        </w:rPr>
        <w:t>2014</w:t>
      </w:r>
      <w:r>
        <w:rPr>
          <w:rFonts w:ascii="宋体" w:hAnsi="宋体" w:hint="eastAsia"/>
          <w:sz w:val="21"/>
          <w:szCs w:val="21"/>
        </w:rPr>
        <w:t>〕</w:t>
      </w:r>
      <w:r>
        <w:rPr>
          <w:rFonts w:ascii="宋体" w:hAnsi="宋体"/>
          <w:sz w:val="21"/>
          <w:szCs w:val="21"/>
        </w:rPr>
        <w:t>68</w:t>
      </w:r>
      <w:r>
        <w:rPr>
          <w:rFonts w:ascii="宋体" w:hAnsi="宋体" w:hint="eastAsia"/>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ascii="宋体" w:hAnsi="宋体" w:hint="eastAsia"/>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ascii="宋体" w:hAnsi="宋体" w:hint="eastAsia"/>
          <w:sz w:val="21"/>
          <w:szCs w:val="21"/>
        </w:rPr>
        <w:t>监狱企业</w:t>
      </w:r>
      <w:r>
        <w:rPr>
          <w:rFonts w:ascii="宋体" w:hAnsi="宋体"/>
          <w:sz w:val="21"/>
          <w:szCs w:val="21"/>
        </w:rPr>
        <w:t>制造。相关</w:t>
      </w:r>
      <w:r>
        <w:rPr>
          <w:rFonts w:ascii="宋体" w:hAnsi="宋体" w:hint="eastAsia"/>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ascii="宋体" w:hAnsi="宋体" w:cstheme="minorBidi" w:hint="eastAsia"/>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ascii="宋体" w:hAnsi="宋体" w:hint="eastAsia"/>
          <w:sz w:val="21"/>
          <w:szCs w:val="21"/>
        </w:rPr>
        <w:t>附：省级以上监狱管理局、戒毒管理局（含新疆生产建设兵团）出具的监狱企业证明文件。</w:t>
      </w:r>
      <w:bookmarkEnd w:id="63"/>
    </w:p>
    <w:p>
      <w:pPr>
        <w:pStyle w:val="Heading3"/>
        <w:jc w:val="center"/>
        <w:rPr>
          <w:rFonts w:ascii="黑体" w:eastAsia="黑体"/>
          <w:b w:val="0"/>
          <w:sz w:val="24"/>
          <w:szCs w:val="24"/>
        </w:rPr>
      </w:pPr>
      <w:bookmarkStart w:id="67" w:name="_Hlk72259976"/>
      <w:r>
        <w:rPr>
          <w:rFonts w:ascii="黑体" w:eastAsia="黑体" w:hint="eastAsia"/>
          <w:b w:val="0"/>
          <w:sz w:val="24"/>
          <w:szCs w:val="24"/>
        </w:rPr>
        <w:t>四、项目详细报价</w:t>
      </w:r>
    </w:p>
    <w:p>
      <w:pPr>
        <w:tabs>
          <w:tab w:val="left" w:pos="720"/>
        </w:tabs>
        <w:ind w:firstLine="2730" w:firstLineChars="1300"/>
        <w:rPr>
          <w:b/>
          <w:sz w:val="24"/>
        </w:rPr>
      </w:pPr>
      <w:r>
        <w:rPr>
          <w:rFonts w:hint="eastAsia"/>
          <w:b/>
          <w:sz w:val="24"/>
        </w:rPr>
        <w:t>（一）分项报价表</w:t>
      </w:r>
    </w:p>
    <w:tbl>
      <w:tblPr>
        <w:tblStyle w:val="TableNormal"/>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68"/>
        <w:gridCol w:w="952"/>
        <w:gridCol w:w="537"/>
        <w:gridCol w:w="537"/>
        <w:gridCol w:w="453"/>
        <w:gridCol w:w="557"/>
        <w:gridCol w:w="426"/>
        <w:gridCol w:w="426"/>
        <w:gridCol w:w="846"/>
        <w:gridCol w:w="566"/>
        <w:gridCol w:w="566"/>
        <w:gridCol w:w="959"/>
      </w:tblGrid>
      <w:tr>
        <w:tblPrEx>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74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55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w:t>
            </w:r>
          </w:p>
        </w:tc>
        <w:tc>
          <w:tcPr>
            <w:tcW w:w="315"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szCs w:val="21"/>
              </w:rPr>
              <w:t>品牌</w:t>
            </w:r>
          </w:p>
        </w:tc>
        <w:tc>
          <w:tcPr>
            <w:tcW w:w="31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规格/型号</w:t>
            </w:r>
          </w:p>
        </w:tc>
        <w:tc>
          <w:tcPr>
            <w:tcW w:w="26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
                <w:color w:val="FF0000"/>
                <w:szCs w:val="21"/>
              </w:rPr>
              <w:t>原产地</w:t>
            </w:r>
          </w:p>
        </w:tc>
        <w:tc>
          <w:tcPr>
            <w:tcW w:w="32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制造商名称</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496"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单价最高限价（元）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单价(元)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合价(元)</w:t>
            </w:r>
          </w:p>
        </w:tc>
        <w:tc>
          <w:tcPr>
            <w:tcW w:w="559" w:type="pct"/>
            <w:vAlign w:val="center"/>
          </w:tcPr>
          <w:p>
            <w:pPr>
              <w:jc w:val="center"/>
              <w:rPr>
                <w:rFonts w:ascii="Times New Roman" w:eastAsia="宋体" w:hAnsi="Times New Roman" w:cs="Times New Roman"/>
                <w:szCs w:val="21"/>
              </w:rPr>
            </w:pPr>
            <w:r>
              <w:rPr>
                <w:rFonts w:ascii="Times New Roman" w:eastAsia="宋体" w:hAnsi="Times New Roman" w:cs="Times New Roman" w:hint="eastAsia"/>
                <w:szCs w:val="21"/>
              </w:rPr>
              <w:t>预算金额（元）</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745" w:type="pct"/>
            <w:vMerge w:val="restart"/>
            <w:vAlign w:val="center"/>
          </w:tcPr>
          <w:p>
            <w:pPr>
              <w:jc w:val="center"/>
              <w:rPr>
                <w:rFonts w:ascii="Times New Roman" w:eastAsia="宋体" w:hAnsi="Times New Roman" w:cs="Times New Roman"/>
                <w:bCs/>
                <w:szCs w:val="21"/>
              </w:rPr>
            </w:pPr>
            <w:r>
              <w:rPr>
                <w:rFonts w:ascii="Times New Roman" w:eastAsia="宋体" w:hAnsi="Times New Roman" w:cs="Times New Roman"/>
                <w:bCs/>
                <w:szCs w:val="21"/>
              </w:rPr>
              <w:t>PLAN-2025-440312000-021004-05985</w:t>
            </w:r>
          </w:p>
        </w:tc>
        <w:tc>
          <w:tcPr>
            <w:tcW w:w="559" w:type="pct"/>
            <w:vAlign w:val="center"/>
          </w:tcPr>
          <w:p>
            <w:pPr>
              <w:keepNext w:val="0"/>
              <w:keepLines w:val="0"/>
              <w:widowControl/>
              <w:suppressLineNumbers w:val="0"/>
              <w:jc w:val="center"/>
              <w:textAlignment w:val="center"/>
              <w:rPr>
                <w:rFonts w:ascii="Times New Roman" w:eastAsia="宋体" w:hAnsi="Times New Roman" w:cs="Times New Roman"/>
                <w:bCs/>
                <w:szCs w:val="21"/>
              </w:rPr>
            </w:pPr>
            <w:r>
              <w:rPr>
                <w:rFonts w:ascii="宋体" w:eastAsia="宋体" w:hAnsi="宋体" w:cs="宋体" w:hint="eastAsia"/>
                <w:i w:val="0"/>
                <w:iCs w:val="0"/>
                <w:color w:val="000000"/>
                <w:kern w:val="0"/>
                <w:sz w:val="21"/>
                <w:szCs w:val="21"/>
                <w:u w:val="none"/>
                <w:lang w:val="en-US" w:eastAsia="zh-CN"/>
              </w:rPr>
              <w:t>病床</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68</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张</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3900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restart"/>
            <w:vAlign w:val="center"/>
          </w:tcPr>
          <w:p>
            <w:pPr>
              <w:jc w:val="center"/>
              <w:rPr>
                <w:rFonts w:ascii="Times New Roman" w:eastAsia="宋体" w:hAnsi="Times New Roman" w:cs="Times New Roman" w:hint="default"/>
                <w:b/>
                <w:bCs/>
                <w:szCs w:val="21"/>
                <w:lang w:val="en-US" w:eastAsia="zh-CN"/>
              </w:rPr>
            </w:pPr>
            <w:r>
              <w:rPr>
                <w:rFonts w:cs="Times New Roman" w:hint="eastAsia"/>
                <w:b/>
                <w:bCs/>
                <w:szCs w:val="21"/>
                <w:lang w:val="en-US" w:eastAsia="zh-CN"/>
              </w:rPr>
              <w:t>1058700</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2</w:t>
            </w:r>
          </w:p>
        </w:tc>
        <w:tc>
          <w:tcPr>
            <w:tcW w:w="745" w:type="pct"/>
            <w:vMerge/>
            <w:vAlign w:val="center"/>
          </w:tcPr>
          <w:p>
            <w:pPr>
              <w:jc w:val="center"/>
              <w:rPr>
                <w:rFonts w:ascii="Times New Roman" w:eastAsia="宋体" w:hAnsi="Times New Roman" w:cs="Times New Roman"/>
                <w:bCs/>
                <w:szCs w:val="21"/>
              </w:rPr>
            </w:pPr>
          </w:p>
        </w:tc>
        <w:tc>
          <w:tcPr>
            <w:tcW w:w="559" w:type="pct"/>
            <w:vAlign w:val="center"/>
          </w:tcPr>
          <w:p>
            <w:pPr>
              <w:keepNext w:val="0"/>
              <w:keepLines w:val="0"/>
              <w:widowControl/>
              <w:suppressLineNumbers w:val="0"/>
              <w:jc w:val="center"/>
              <w:textAlignment w:val="center"/>
              <w:rPr>
                <w:rFonts w:ascii="Times New Roman" w:eastAsia="宋体" w:hAnsi="Times New Roman" w:cs="Times New Roman"/>
                <w:bCs/>
                <w:szCs w:val="21"/>
              </w:rPr>
            </w:pPr>
            <w:r>
              <w:rPr>
                <w:rFonts w:ascii="宋体" w:eastAsia="宋体" w:hAnsi="宋体" w:cs="宋体" w:hint="eastAsia"/>
                <w:i w:val="0"/>
                <w:iCs w:val="0"/>
                <w:color w:val="000000"/>
                <w:kern w:val="0"/>
                <w:sz w:val="21"/>
                <w:szCs w:val="21"/>
                <w:u w:val="none"/>
                <w:lang w:val="en-US" w:eastAsia="zh-CN"/>
              </w:rPr>
              <w:t>心肺复苏机</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1</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台</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163500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ign w:val="center"/>
          </w:tcPr>
          <w:p>
            <w:pPr>
              <w:jc w:val="center"/>
              <w:rPr>
                <w:rFonts w:ascii="Times New Roman" w:eastAsia="宋体" w:hAnsi="Times New Roman" w:cs="Times New Roman"/>
                <w:b/>
                <w:bCs/>
                <w:color w:val="FF0000"/>
                <w:szCs w:val="21"/>
              </w:rPr>
            </w:pP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3</w:t>
            </w:r>
          </w:p>
        </w:tc>
        <w:tc>
          <w:tcPr>
            <w:tcW w:w="745" w:type="pct"/>
            <w:vMerge/>
            <w:vAlign w:val="center"/>
          </w:tcPr>
          <w:p>
            <w:pPr>
              <w:jc w:val="center"/>
              <w:rPr>
                <w:rFonts w:ascii="Times New Roman" w:eastAsia="宋体" w:hAnsi="Times New Roman" w:cs="Times New Roman"/>
                <w:bCs/>
                <w:szCs w:val="21"/>
              </w:rPr>
            </w:pPr>
          </w:p>
        </w:tc>
        <w:tc>
          <w:tcPr>
            <w:tcW w:w="559" w:type="pct"/>
            <w:vAlign w:val="center"/>
          </w:tcPr>
          <w:p>
            <w:pPr>
              <w:keepNext w:val="0"/>
              <w:keepLines w:val="0"/>
              <w:widowControl/>
              <w:suppressLineNumbers w:val="0"/>
              <w:jc w:val="center"/>
              <w:textAlignment w:val="center"/>
              <w:rPr>
                <w:rFonts w:ascii="Times New Roman" w:eastAsia="宋体" w:hAnsi="Times New Roman" w:cs="Times New Roman"/>
                <w:bCs/>
                <w:szCs w:val="21"/>
              </w:rPr>
            </w:pPr>
            <w:r>
              <w:rPr>
                <w:rFonts w:ascii="宋体" w:eastAsia="宋体" w:hAnsi="宋体" w:cs="宋体" w:hint="eastAsia"/>
                <w:i w:val="0"/>
                <w:iCs w:val="0"/>
                <w:color w:val="000000"/>
                <w:kern w:val="0"/>
                <w:sz w:val="21"/>
                <w:szCs w:val="21"/>
                <w:u w:val="none"/>
                <w:lang w:val="en-US" w:eastAsia="zh-CN"/>
              </w:rPr>
              <w:t>站立病床</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14</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张</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45000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ign w:val="center"/>
          </w:tcPr>
          <w:p>
            <w:pPr>
              <w:jc w:val="center"/>
              <w:rPr>
                <w:rFonts w:ascii="Times New Roman" w:eastAsia="宋体" w:hAnsi="Times New Roman" w:cs="Times New Roman"/>
                <w:b/>
                <w:bCs/>
                <w:szCs w:val="21"/>
              </w:rPr>
            </w:pPr>
          </w:p>
        </w:tc>
      </w:tr>
      <w:tr>
        <w:tblPrEx>
          <w:tblW w:w="4994" w:type="pct"/>
          <w:jc w:val="center"/>
          <w:tblCellMar>
            <w:top w:w="0" w:type="dxa"/>
            <w:left w:w="108" w:type="dxa"/>
            <w:bottom w:w="0" w:type="dxa"/>
            <w:right w:w="108" w:type="dxa"/>
          </w:tblCellMar>
        </w:tblPrEx>
        <w:trPr>
          <w:trHeight w:val="0"/>
          <w:jc w:val="center"/>
        </w:trPr>
        <w:tc>
          <w:tcPr>
            <w:tcW w:w="5000" w:type="pct"/>
            <w:gridSpan w:val="13"/>
            <w:vAlign w:val="center"/>
          </w:tcPr>
          <w:p>
            <w:pPr>
              <w:jc w:val="left"/>
              <w:rPr>
                <w:rFonts w:ascii="Times New Roman" w:eastAsia="宋体" w:hAnsi="Times New Roman" w:cs="Times New Roman" w:hint="eastAsia"/>
                <w:bCs/>
                <w:szCs w:val="21"/>
              </w:rPr>
            </w:pPr>
            <w:r>
              <w:rPr>
                <w:rFonts w:ascii="Times New Roman" w:eastAsia="宋体" w:hAnsi="Times New Roman" w:cs="Times New Roman" w:hint="eastAsia"/>
                <w:bCs/>
                <w:szCs w:val="21"/>
              </w:rPr>
              <w:t>合计（即投标总价；币种：人民币；单位：元） 小写：            大写：</w:t>
            </w:r>
          </w:p>
        </w:tc>
      </w:tr>
    </w:tbl>
    <w:p>
      <w:pPr>
        <w:ind w:firstLine="420" w:firstLineChars="200"/>
        <w:rPr>
          <w:rFonts w:ascii="宋体" w:hAnsi="宋体" w:hint="eastAsia"/>
          <w:b/>
          <w:sz w:val="24"/>
        </w:rPr>
      </w:pPr>
    </w:p>
    <w:p>
      <w:pPr>
        <w:ind w:firstLine="420" w:firstLineChars="200"/>
        <w:rPr>
          <w:rFonts w:ascii="宋体" w:hAnsi="宋体"/>
          <w:b/>
          <w:sz w:val="24"/>
        </w:rPr>
      </w:pPr>
      <w:r>
        <w:rPr>
          <w:rFonts w:ascii="宋体" w:hAnsi="宋体" w:hint="eastAsia"/>
          <w:b/>
          <w:sz w:val="24"/>
        </w:rPr>
        <w:t>注：1.本表可按同样格式扩展。</w:t>
      </w:r>
    </w:p>
    <w:p>
      <w:pPr>
        <w:ind w:firstLine="412" w:firstLineChars="196"/>
        <w:rPr>
          <w:rFonts w:ascii="宋体" w:eastAsia="宋体" w:hAnsi="宋体" w:hint="default"/>
          <w:b/>
          <w:sz w:val="24"/>
          <w:lang w:val="en-US" w:eastAsia="zh-CN"/>
        </w:rPr>
      </w:pPr>
      <w:r>
        <w:rPr>
          <w:rFonts w:ascii="宋体" w:hAnsi="宋体" w:hint="eastAsia"/>
          <w:b/>
          <w:sz w:val="24"/>
        </w:rPr>
        <w:t>2</w:t>
      </w:r>
      <w:r>
        <w:rPr>
          <w:rFonts w:ascii="宋体" w:hAnsi="宋体"/>
          <w:b/>
          <w:sz w:val="24"/>
        </w:rPr>
        <w:t>.</w:t>
      </w:r>
      <w:r>
        <w:rPr>
          <w:rFonts w:ascii="宋体" w:hAnsi="宋体" w:hint="eastAsia"/>
          <w:b/>
          <w:sz w:val="24"/>
          <w:lang w:eastAsia="zh-CN"/>
        </w:rPr>
        <w:t>“</w:t>
      </w:r>
      <w:r>
        <w:rPr>
          <w:rFonts w:ascii="宋体" w:hAnsi="宋体" w:hint="eastAsia"/>
          <w:b/>
          <w:sz w:val="24"/>
          <w:lang w:val="en-US" w:eastAsia="zh-CN"/>
        </w:rPr>
        <w:t>品牌</w:t>
      </w:r>
      <w:r>
        <w:rPr>
          <w:rFonts w:ascii="宋体" w:hAnsi="宋体" w:hint="eastAsia"/>
          <w:b/>
          <w:sz w:val="24"/>
          <w:lang w:eastAsia="zh-CN"/>
        </w:rPr>
        <w:t>”</w:t>
      </w:r>
      <w:r>
        <w:rPr>
          <w:rFonts w:ascii="宋体" w:hAnsi="宋体" w:hint="eastAsia"/>
          <w:b/>
          <w:sz w:val="24"/>
          <w:lang w:val="en-US" w:eastAsia="zh-CN"/>
        </w:rPr>
        <w:t>可以与商标一致，也可以填写便于区分其他公司商品的制造商简称或者制造商认可的品牌名称</w:t>
      </w:r>
      <w:r>
        <w:rPr>
          <w:rFonts w:ascii="宋体" w:hAnsi="宋体" w:hint="eastAsia"/>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12" w:firstLineChars="196"/>
        <w:rPr>
          <w:rFonts w:hint="eastAsia"/>
          <w:b/>
          <w:sz w:val="24"/>
        </w:rPr>
      </w:pPr>
      <w:r>
        <w:rPr>
          <w:rFonts w:ascii="宋体" w:hAnsi="宋体" w:hint="eastAsia"/>
          <w:b/>
          <w:sz w:val="24"/>
          <w:lang w:val="en-US" w:eastAsia="zh-CN"/>
        </w:rPr>
        <w:t>3.</w:t>
      </w:r>
      <w:r>
        <w:rPr>
          <w:rFonts w:ascii="宋体" w:hAnsi="宋体" w:hint="eastAsia"/>
          <w:b/>
          <w:sz w:val="24"/>
        </w:rPr>
        <w:t>如所投货物属于定制类的非量产货物或无具体型号的货物，可以在“规格/型号”</w:t>
      </w:r>
      <w:r>
        <w:rPr>
          <w:rFonts w:ascii="宋体" w:hAnsi="宋体" w:hint="eastAsia"/>
          <w:b/>
          <w:sz w:val="24"/>
          <w:lang w:val="en-US" w:eastAsia="zh-CN"/>
        </w:rPr>
        <w:t>栏目</w:t>
      </w:r>
      <w:r>
        <w:rPr>
          <w:rFonts w:ascii="宋体" w:hAnsi="宋体" w:hint="eastAsia"/>
          <w:b/>
          <w:sz w:val="24"/>
        </w:rPr>
        <w:t>仅填写规格信息而不填型号信息（型号信息用“定制”描述即可）；</w:t>
      </w:r>
      <w:bookmarkStart w:id="68" w:name="_Hlk73646428"/>
      <w:r>
        <w:rPr>
          <w:rFonts w:ascii="宋体" w:hAnsi="宋体" w:hint="eastAsia"/>
          <w:b/>
          <w:sz w:val="24"/>
        </w:rPr>
        <w:t>此类填写错误</w:t>
      </w:r>
      <w:r>
        <w:rPr>
          <w:rFonts w:ascii="宋体" w:hAnsi="宋体" w:hint="eastAsia"/>
          <w:b/>
          <w:sz w:val="24"/>
          <w:lang w:val="en-US" w:eastAsia="zh-CN"/>
        </w:rPr>
        <w:t>或缺漏</w:t>
      </w:r>
      <w:r>
        <w:rPr>
          <w:rFonts w:ascii="宋体" w:hAnsi="宋体" w:hint="eastAsia"/>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8"/>
    </w:p>
    <w:p>
      <w:pPr>
        <w:ind w:firstLine="412" w:firstLineChars="196"/>
        <w:rPr>
          <w:rFonts w:ascii="宋体" w:hAnsi="宋体"/>
          <w:b/>
          <w:sz w:val="24"/>
        </w:rPr>
      </w:pPr>
      <w:r>
        <w:rPr>
          <w:rFonts w:ascii="宋体" w:hAnsi="宋体"/>
          <w:b/>
          <w:sz w:val="24"/>
        </w:rPr>
        <w:t>3</w:t>
      </w:r>
      <w:r>
        <w:rPr>
          <w:rFonts w:ascii="宋体" w:hAnsi="宋体" w:hint="eastAsia"/>
          <w:b/>
          <w:sz w:val="24"/>
        </w:rPr>
        <w:t>.“原产地”是指货物的实际生产加工地，非品牌所在地</w:t>
      </w:r>
    </w:p>
    <w:p>
      <w:pPr>
        <w:ind w:firstLine="412" w:firstLineChars="196"/>
        <w:rPr>
          <w:rFonts w:ascii="宋体" w:hAnsi="宋体"/>
          <w:b/>
          <w:sz w:val="24"/>
        </w:rPr>
      </w:pPr>
      <w:r>
        <w:rPr>
          <w:rFonts w:ascii="宋体" w:hAnsi="宋体"/>
          <w:b/>
          <w:sz w:val="24"/>
        </w:rPr>
        <w:t>4</w:t>
      </w:r>
      <w:r>
        <w:rPr>
          <w:rFonts w:ascii="宋体" w:hAnsi="宋体" w:hint="eastAsia"/>
          <w:b/>
          <w:sz w:val="24"/>
        </w:rPr>
        <w:t>.所投货物均应填写制造商名称</w:t>
      </w:r>
      <w:r>
        <w:rPr>
          <w:rFonts w:ascii="宋体" w:hAnsi="宋体" w:hint="eastAsia"/>
          <w:b/>
          <w:sz w:val="24"/>
          <w:lang w:eastAsia="zh-CN"/>
        </w:rPr>
        <w:t>，</w:t>
      </w:r>
      <w:r>
        <w:rPr>
          <w:rFonts w:ascii="宋体" w:hAnsi="宋体" w:hint="eastAsia"/>
          <w:b/>
          <w:sz w:val="24"/>
        </w:rPr>
        <w:t>“制造商”是指产品品牌厂商，产品代工制造的，应填写接受委托生产制造的制造商。</w:t>
      </w:r>
    </w:p>
    <w:p>
      <w:pPr>
        <w:ind w:firstLine="420" w:firstLineChars="200"/>
        <w:rPr>
          <w:rFonts w:ascii="宋体" w:hAnsi="宋体"/>
          <w:b/>
          <w:sz w:val="24"/>
        </w:rPr>
      </w:pPr>
      <w:r>
        <w:rPr>
          <w:rFonts w:ascii="宋体" w:hAnsi="宋体"/>
          <w:b/>
          <w:sz w:val="24"/>
        </w:rPr>
        <w:t>5</w:t>
      </w:r>
      <w:r>
        <w:rPr>
          <w:rFonts w:ascii="宋体" w:hAnsi="宋体" w:hint="eastAsia"/>
          <w:b/>
          <w:sz w:val="24"/>
        </w:rPr>
        <w:t>.以上分项报价表的投标总价应当与开标一览表的投标总价一致。</w:t>
      </w:r>
    </w:p>
    <w:p>
      <w:pPr>
        <w:ind w:firstLine="420" w:firstLineChars="200"/>
        <w:rPr>
          <w:rFonts w:ascii="宋体" w:hAnsi="宋体"/>
          <w:b/>
          <w:sz w:val="24"/>
        </w:rPr>
      </w:pPr>
      <w:r>
        <w:rPr>
          <w:rFonts w:ascii="宋体" w:hAnsi="宋体"/>
          <w:b/>
          <w:sz w:val="24"/>
        </w:rPr>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20" w:firstLineChars="200"/>
        <w:rPr>
          <w:rFonts w:ascii="宋体" w:hAnsi="宋体"/>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20" w:firstLineChars="200"/>
        <w:rPr>
          <w:rFonts w:ascii="宋体" w:hAnsi="宋体"/>
          <w:b/>
          <w:color w:val="FF0000"/>
          <w:sz w:val="24"/>
        </w:rPr>
      </w:pPr>
    </w:p>
    <w:p>
      <w:pPr>
        <w:ind w:firstLine="420"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20" w:firstLineChars="200"/>
        <w:rPr>
          <w:rFonts w:ascii="宋体" w:hAnsi="宋体"/>
          <w:b/>
          <w:color w:val="FF0000"/>
          <w:sz w:val="24"/>
        </w:rPr>
      </w:pPr>
    </w:p>
    <w:p>
      <w:pPr>
        <w:ind w:firstLine="420"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20" w:firstLineChars="200"/>
        <w:rPr>
          <w:rFonts w:ascii="宋体" w:hAnsi="宋体"/>
          <w:b/>
          <w:color w:val="FF0000"/>
          <w:sz w:val="24"/>
        </w:rPr>
      </w:pPr>
    </w:p>
    <w:p>
      <w:pPr>
        <w:ind w:firstLine="420" w:firstLineChars="200"/>
        <w:rPr>
          <w:rFonts w:ascii="宋体" w:eastAsia="宋体" w:hAnsi="宋体" w:hint="default"/>
          <w:sz w:val="24"/>
          <w:lang w:val="en-US" w:eastAsia="zh-CN"/>
        </w:rPr>
      </w:pPr>
      <w:r>
        <w:rPr>
          <w:rFonts w:ascii="宋体" w:hAnsi="宋体" w:hint="eastAsia"/>
          <w:sz w:val="24"/>
        </w:rPr>
        <w:t>备注：</w:t>
      </w:r>
      <w:r>
        <w:rPr>
          <w:rFonts w:ascii="宋体" w:hAnsi="宋体" w:hint="eastAsia"/>
          <w:sz w:val="24"/>
          <w:lang w:val="en-US" w:eastAsia="zh-CN"/>
        </w:rPr>
        <w:t>单一产品采购项目，核心产品即为该单一产品。</w:t>
      </w:r>
    </w:p>
    <w:p>
      <w:pPr>
        <w:ind w:firstLine="420" w:firstLineChars="200"/>
        <w:rPr>
          <w:rFonts w:ascii="宋体" w:hAnsi="宋体"/>
          <w:b/>
          <w:color w:val="FF0000"/>
          <w:sz w:val="24"/>
        </w:rPr>
      </w:pPr>
    </w:p>
    <w:p>
      <w:pPr>
        <w:ind w:firstLine="420" w:firstLineChars="200"/>
        <w:rPr>
          <w:rFonts w:ascii="宋体" w:hAnsi="宋体"/>
          <w:b/>
          <w:color w:val="FF0000"/>
          <w:sz w:val="24"/>
        </w:rPr>
      </w:pPr>
    </w:p>
    <w:p>
      <w:pPr>
        <w:rPr>
          <w:b/>
          <w:sz w:val="24"/>
        </w:rPr>
      </w:pPr>
    </w:p>
    <w:p>
      <w:pPr>
        <w:tabs>
          <w:tab w:val="left" w:pos="720"/>
        </w:tabs>
        <w:ind w:firstLine="1680" w:firstLineChars="800"/>
        <w:rPr>
          <w:b/>
          <w:sz w:val="24"/>
        </w:rPr>
      </w:pPr>
      <w:r>
        <w:rPr>
          <w:rFonts w:hint="eastAsia"/>
          <w:b/>
          <w:sz w:val="24"/>
        </w:rPr>
        <w:t>（三）可选配件报价清单（不包括在总报价内）</w:t>
      </w:r>
    </w:p>
    <w:tbl>
      <w:tblPr>
        <w:tblStyle w:val="TableNormal"/>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5"/>
        <w:gridCol w:w="1185"/>
        <w:gridCol w:w="1236"/>
        <w:gridCol w:w="1005"/>
        <w:gridCol w:w="1590"/>
        <w:gridCol w:w="975"/>
        <w:gridCol w:w="1505"/>
      </w:tblGrid>
      <w:tr>
        <w:tblPrEx>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pPr>
            <w:r>
              <w:rPr>
                <w:rFonts w:hint="eastAsia"/>
              </w:rPr>
              <w:t>序号</w:t>
            </w:r>
          </w:p>
        </w:tc>
        <w:tc>
          <w:tcPr>
            <w:tcW w:w="1185" w:type="dxa"/>
            <w:tcBorders>
              <w:top w:val="single" w:sz="4" w:space="0" w:color="auto"/>
              <w:left w:val="nil"/>
              <w:bottom w:val="single" w:sz="4" w:space="0" w:color="auto"/>
              <w:right w:val="single" w:sz="4" w:space="0" w:color="auto"/>
            </w:tcBorders>
            <w:noWrap w:val="0"/>
            <w:vAlign w:val="center"/>
          </w:tcPr>
          <w:p>
            <w:pPr>
              <w:jc w:val="center"/>
            </w:pPr>
            <w:r>
              <w:rPr>
                <w:rFonts w:hint="eastAsia"/>
              </w:rPr>
              <w:t>货物名称</w:t>
            </w:r>
          </w:p>
        </w:tc>
        <w:tc>
          <w:tcPr>
            <w:tcW w:w="1236" w:type="dxa"/>
            <w:tcBorders>
              <w:top w:val="single" w:sz="4" w:space="0" w:color="auto"/>
              <w:left w:val="nil"/>
              <w:bottom w:val="single" w:sz="4" w:space="0" w:color="auto"/>
              <w:right w:val="single" w:sz="4" w:space="0" w:color="auto"/>
            </w:tcBorders>
            <w:noWrap w:val="0"/>
            <w:vAlign w:val="center"/>
          </w:tcPr>
          <w:p>
            <w:pPr>
              <w:jc w:val="center"/>
            </w:pPr>
            <w:r>
              <w:rPr>
                <w:rFonts w:hint="eastAsia"/>
              </w:rPr>
              <w:t>规格/</w:t>
            </w:r>
            <w:r>
              <w:rPr>
                <w:rFonts w:ascii="宋体" w:hAnsi="宋体" w:hint="eastAsia"/>
              </w:rPr>
              <w:t>型号</w:t>
            </w:r>
          </w:p>
        </w:tc>
        <w:tc>
          <w:tcPr>
            <w:tcW w:w="1005" w:type="dxa"/>
            <w:tcBorders>
              <w:top w:val="single" w:sz="4" w:space="0" w:color="auto"/>
              <w:left w:val="nil"/>
              <w:bottom w:val="single" w:sz="4" w:space="0" w:color="auto"/>
              <w:right w:val="single" w:sz="4" w:space="0" w:color="auto"/>
            </w:tcBorders>
            <w:noWrap w:val="0"/>
            <w:vAlign w:val="center"/>
          </w:tcPr>
          <w:p>
            <w:pPr>
              <w:jc w:val="center"/>
            </w:pPr>
            <w:r>
              <w:rPr>
                <w:rFonts w:hint="eastAsia"/>
              </w:rPr>
              <w:t>原产地</w:t>
            </w:r>
          </w:p>
        </w:tc>
        <w:tc>
          <w:tcPr>
            <w:tcW w:w="1590" w:type="dxa"/>
            <w:tcBorders>
              <w:top w:val="single" w:sz="4" w:space="0" w:color="auto"/>
              <w:left w:val="nil"/>
              <w:bottom w:val="single" w:sz="4" w:space="0" w:color="auto"/>
              <w:right w:val="single" w:sz="4" w:space="0" w:color="auto"/>
            </w:tcBorders>
            <w:noWrap w:val="0"/>
            <w:vAlign w:val="center"/>
          </w:tcPr>
          <w:p>
            <w:pPr>
              <w:jc w:val="center"/>
            </w:pPr>
            <w:r>
              <w:rPr>
                <w:rFonts w:hint="eastAsia"/>
              </w:rPr>
              <w:t>制造商名称</w:t>
            </w:r>
          </w:p>
        </w:tc>
        <w:tc>
          <w:tcPr>
            <w:tcW w:w="975" w:type="dxa"/>
            <w:tcBorders>
              <w:top w:val="single" w:sz="4" w:space="0" w:color="auto"/>
              <w:left w:val="nil"/>
              <w:bottom w:val="single" w:sz="4" w:space="0" w:color="auto"/>
              <w:right w:val="single" w:sz="4" w:space="0" w:color="auto"/>
            </w:tcBorders>
            <w:noWrap w:val="0"/>
            <w:vAlign w:val="center"/>
          </w:tcPr>
          <w:p>
            <w:pPr>
              <w:jc w:val="center"/>
            </w:pPr>
            <w:r>
              <w:rPr>
                <w:rFonts w:hint="eastAsia"/>
              </w:rPr>
              <w:t>数量</w:t>
            </w:r>
          </w:p>
        </w:tc>
        <w:tc>
          <w:tcPr>
            <w:tcW w:w="1505" w:type="dxa"/>
            <w:tcBorders>
              <w:top w:val="single" w:sz="4" w:space="0" w:color="auto"/>
              <w:left w:val="nil"/>
              <w:bottom w:val="single" w:sz="4" w:space="0" w:color="auto"/>
              <w:right w:val="single" w:sz="4" w:space="0" w:color="auto"/>
            </w:tcBorders>
            <w:noWrap w:val="0"/>
            <w:vAlign w:val="center"/>
          </w:tcPr>
          <w:p>
            <w:pPr>
              <w:jc w:val="center"/>
            </w:pPr>
            <w:r>
              <w:rPr>
                <w:rFonts w:hint="eastAsia"/>
              </w:rPr>
              <w:t>单价(</w:t>
            </w:r>
            <w:r>
              <w:rPr>
                <w:rFonts w:ascii="宋体" w:hAnsi="宋体" w:hint="eastAsia"/>
              </w:rPr>
              <w:t>元</w:t>
            </w:r>
            <w:r>
              <w:rPr>
                <w:rFonts w:hint="eastAsia"/>
              </w:rPr>
              <w:t>)</w:t>
            </w: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eastAsia"/>
                <w:kern w:val="2"/>
                <w:sz w:val="21"/>
                <w:szCs w:val="24"/>
                <w:lang w:val="en-US" w:eastAsia="zh-CN" w:bidi="ar-SA"/>
              </w:rPr>
            </w:pPr>
            <w:r>
              <w:rPr>
                <w:rFonts w:hint="eastAsia"/>
              </w:rPr>
              <w:t>1</w:t>
            </w:r>
          </w:p>
        </w:tc>
        <w:tc>
          <w:tcPr>
            <w:tcW w:w="1185" w:type="dxa"/>
            <w:tcBorders>
              <w:top w:val="single" w:sz="4" w:space="0" w:color="auto"/>
              <w:left w:val="nil"/>
              <w:bottom w:val="single" w:sz="4" w:space="0" w:color="auto"/>
              <w:right w:val="single" w:sz="4" w:space="0" w:color="auto"/>
            </w:tcBorders>
            <w:noWrap w:val="0"/>
            <w:vAlign w:val="top"/>
          </w:tcPr>
          <w:p>
            <w:pPr>
              <w:jc w:val="center"/>
              <w:rPr>
                <w:rFonts w:eastAsia="宋体" w:hint="default"/>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005"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590"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975"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505" w:type="dxa"/>
            <w:tcBorders>
              <w:top w:val="single" w:sz="4" w:space="0" w:color="auto"/>
              <w:left w:val="nil"/>
              <w:bottom w:val="single" w:sz="4" w:space="0" w:color="auto"/>
              <w:right w:val="single" w:sz="4" w:space="0" w:color="auto"/>
            </w:tcBorders>
            <w:noWrap w:val="0"/>
            <w:vAlign w:val="top"/>
          </w:tcPr>
          <w:p>
            <w:pPr>
              <w:jc w:val="center"/>
              <w:rPr>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eastAsia="宋体" w:asciiTheme="minorHAnsi" w:hAnsiTheme="minorHAnsi" w:cstheme="minorBidi" w:hint="default"/>
                <w:kern w:val="2"/>
                <w:sz w:val="21"/>
                <w:szCs w:val="24"/>
                <w:lang w:val="en-US" w:eastAsia="zh-CN" w:bidi="ar-SA"/>
              </w:rPr>
            </w:pPr>
            <w:r>
              <w:rPr>
                <w:rFonts w:hint="eastAsia"/>
                <w:lang w:val="en-US" w:eastAsia="zh-CN"/>
              </w:rPr>
              <w:t>2</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default"/>
                <w:kern w:val="2"/>
                <w:sz w:val="21"/>
                <w:szCs w:val="24"/>
                <w:lang w:val="en-US" w:eastAsia="zh-CN" w:bidi="ar-SA"/>
              </w:rPr>
            </w:pPr>
            <w:r>
              <w:rPr>
                <w:rFonts w:hint="eastAsia"/>
                <w:lang w:val="en-US" w:eastAsia="zh-CN"/>
              </w:rPr>
              <w:t>3</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default"/>
                <w:kern w:val="2"/>
                <w:sz w:val="21"/>
                <w:szCs w:val="24"/>
                <w:highlight w:val="none"/>
                <w:lang w:val="en-US" w:eastAsia="zh-CN" w:bidi="ar-SA"/>
              </w:rPr>
            </w:pPr>
            <w:r>
              <w:rPr>
                <w:rFonts w:hint="eastAsia"/>
                <w:highlight w:val="none"/>
                <w:lang w:val="en-US" w:eastAsia="zh-CN"/>
              </w:rPr>
              <w:t>4</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rPr>
                <w:rFonts w:hint="default"/>
                <w:highlight w:val="none"/>
                <w:lang w:val="en-US" w:eastAsia="zh-CN"/>
              </w:rPr>
            </w:pPr>
            <w:r>
              <w:rPr>
                <w:rFonts w:hint="eastAsia"/>
                <w:highlight w:val="none"/>
                <w:lang w:val="en-US" w:eastAsia="zh-CN"/>
              </w:rPr>
              <w:t>5</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rPr>
                <w:rFonts w:hint="default"/>
                <w:highlight w:val="none"/>
                <w:lang w:val="en-US" w:eastAsia="zh-CN"/>
              </w:rPr>
            </w:pPr>
            <w:r>
              <w:rPr>
                <w:rFonts w:hint="eastAsia"/>
                <w:highlight w:val="none"/>
                <w:lang w:val="en-US" w:eastAsia="zh-CN"/>
              </w:rPr>
              <w:t>.....</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rPr>
                <w:rFonts w:hint="default"/>
                <w:sz w:val="24"/>
                <w:highlight w:val="none"/>
                <w:lang w:val="en-US"/>
              </w:rPr>
            </w:pPr>
            <w:r>
              <w:rPr>
                <w:rFonts w:ascii="宋体" w:hAnsi="宋体" w:hint="eastAsia"/>
                <w:b w:val="0"/>
                <w:bCs w:val="0"/>
                <w:highlight w:val="none"/>
                <w:lang w:val="en-US" w:eastAsia="zh-CN"/>
              </w:rPr>
              <w:t>注：1.</w:t>
            </w:r>
            <w:r>
              <w:rPr>
                <w:rFonts w:ascii="宋体" w:eastAsia="宋体" w:hAnsi="宋体" w:cs="宋体" w:hint="eastAsia"/>
                <w:color w:val="auto"/>
                <w:kern w:val="0"/>
                <w:sz w:val="21"/>
                <w:szCs w:val="21"/>
                <w:highlight w:val="none"/>
              </w:rPr>
              <w:t>由投标人</w:t>
            </w:r>
            <w:r>
              <w:rPr>
                <w:rFonts w:ascii="宋体" w:eastAsia="宋体" w:hAnsi="宋体" w:cs="宋体" w:hint="eastAsia"/>
                <w:color w:val="auto"/>
                <w:kern w:val="0"/>
                <w:sz w:val="21"/>
                <w:szCs w:val="21"/>
                <w:highlight w:val="none"/>
                <w:lang w:val="en-US" w:eastAsia="zh-CN"/>
              </w:rPr>
              <w:t>根据所投产品运行需要</w:t>
            </w:r>
            <w:r>
              <w:rPr>
                <w:rFonts w:ascii="宋体" w:eastAsia="宋体" w:hAnsi="宋体" w:cs="宋体" w:hint="eastAsia"/>
                <w:color w:val="auto"/>
                <w:kern w:val="0"/>
                <w:sz w:val="21"/>
                <w:szCs w:val="21"/>
                <w:highlight w:val="none"/>
              </w:rPr>
              <w:t>自行填写</w:t>
            </w:r>
            <w:r>
              <w:rPr>
                <w:rFonts w:ascii="宋体" w:hAnsi="宋体" w:hint="eastAsia"/>
                <w:b w:val="0"/>
                <w:bCs w:val="0"/>
                <w:highlight w:val="none"/>
                <w:lang w:val="en-US" w:eastAsia="zh-CN"/>
              </w:rPr>
              <w:t>。2、若没有则填无。</w:t>
            </w:r>
          </w:p>
        </w:tc>
      </w:tr>
    </w:tbl>
    <w:p>
      <w:pPr>
        <w:tabs>
          <w:tab w:val="left" w:pos="720"/>
        </w:tabs>
        <w:ind w:firstLine="1680" w:firstLineChars="800"/>
        <w:rPr>
          <w:b/>
          <w:sz w:val="24"/>
        </w:rPr>
      </w:pPr>
    </w:p>
    <w:p>
      <w:pPr>
        <w:ind w:firstLine="420" w:firstLineChars="200"/>
        <w:rPr>
          <w:rFonts w:hAnsi="宋体"/>
          <w:b/>
          <w:bCs/>
          <w:szCs w:val="21"/>
        </w:rPr>
      </w:pPr>
      <w:r>
        <w:rPr>
          <w:rFonts w:hAnsi="宋体" w:hint="eastAsia"/>
          <w:b/>
          <w:bCs/>
          <w:szCs w:val="21"/>
        </w:rPr>
        <w:t>注：格式可以参照《（一）分项报价表》表格，并提供相应的品牌/规格/型号、原产地、制造商信息（没有品牌、型号的，用“定制”描述即可）、单价等详细信息</w:t>
      </w:r>
    </w:p>
    <w:p>
      <w:pPr>
        <w:ind w:firstLine="420" w:firstLineChars="200"/>
        <w:rPr>
          <w:rFonts w:hAnsi="宋体"/>
          <w:b/>
          <w:bCs/>
          <w:sz w:val="24"/>
        </w:rPr>
      </w:pPr>
    </w:p>
    <w:p>
      <w:pPr>
        <w:ind w:firstLine="420" w:firstLineChars="200"/>
        <w:rPr>
          <w:rFonts w:hAnsi="宋体"/>
          <w:b/>
          <w:bCs/>
          <w:sz w:val="24"/>
        </w:rPr>
      </w:pPr>
    </w:p>
    <w:p>
      <w:pPr>
        <w:tabs>
          <w:tab w:val="left" w:pos="720"/>
        </w:tabs>
        <w:jc w:val="center"/>
        <w:rPr>
          <w:b/>
          <w:sz w:val="24"/>
        </w:rPr>
      </w:pPr>
      <w:r>
        <w:rPr>
          <w:rFonts w:hint="eastAsia"/>
          <w:b/>
          <w:sz w:val="24"/>
        </w:rPr>
        <w:t>（四）</w:t>
      </w:r>
      <w:bookmarkStart w:id="69" w:name="_Hlk72073235"/>
      <w:r>
        <w:rPr>
          <w:rFonts w:hint="eastAsia"/>
          <w:b/>
          <w:sz w:val="24"/>
        </w:rPr>
        <w:t>投标人认为需要涉及的其他内容报价清单</w:t>
      </w:r>
      <w:bookmarkEnd w:id="69"/>
    </w:p>
    <w:p>
      <w:pPr>
        <w:rPr>
          <w:b/>
          <w:bCs/>
        </w:rPr>
      </w:pPr>
    </w:p>
    <w:p/>
    <w:p/>
    <w:p>
      <w:pPr>
        <w:ind w:firstLine="630" w:firstLineChars="300"/>
        <w:rPr>
          <w:b/>
          <w:color w:val="FF0000"/>
          <w:sz w:val="24"/>
        </w:rPr>
      </w:pPr>
      <w:r>
        <w:rPr>
          <w:rFonts w:hint="eastAsia"/>
          <w:b/>
          <w:color w:val="FF0000"/>
          <w:sz w:val="24"/>
        </w:rPr>
        <w:t>（信息公开部分的内容到此为止！以下为信息不公开部分。）</w:t>
      </w:r>
    </w:p>
    <w:p>
      <w:bookmarkEnd w:id="67"/>
      <w:r>
        <w:br w:type="page"/>
      </w:r>
    </w:p>
    <w:p>
      <w:pPr>
        <w:outlineLvl w:val="1"/>
        <w:rPr>
          <w:rFonts w:ascii="宋体" w:hAnsi="宋体" w:hint="eastAsia"/>
          <w:b/>
          <w:color w:val="FF0000"/>
          <w:sz w:val="28"/>
          <w:szCs w:val="28"/>
        </w:rPr>
      </w:pPr>
      <w:bookmarkStart w:id="70" w:name="_Hlk72260530"/>
      <w:r>
        <w:rPr>
          <w:rFonts w:ascii="宋体" w:hAnsi="宋体" w:hint="eastAsia"/>
          <w:b/>
          <w:color w:val="FF0000"/>
          <w:sz w:val="28"/>
          <w:szCs w:val="28"/>
        </w:rPr>
        <w:t>投标文件附件（信息不公开部分）</w:t>
      </w:r>
    </w:p>
    <w:p>
      <w:pPr>
        <w:widowControl w:val="0"/>
        <w:snapToGrid w:val="0"/>
        <w:spacing w:before="0" w:after="0" w:line="240" w:lineRule="auto"/>
        <w:jc w:val="center"/>
        <w:outlineLvl w:val="2"/>
        <w:rPr>
          <w:rFonts w:ascii="黑体" w:eastAsia="黑体" w:hAnsi="宋体" w:cs="Times New Roman" w:hint="eastAsia"/>
          <w:b w:val="0"/>
          <w:bCs/>
          <w:kern w:val="2"/>
          <w:sz w:val="24"/>
          <w:szCs w:val="32"/>
          <w:lang w:val="en-US" w:eastAsia="zh-CN" w:bidi="ar-SA"/>
        </w:rPr>
      </w:pPr>
      <w:r>
        <w:rPr>
          <w:rFonts w:ascii="黑体" w:eastAsia="黑体" w:hAnsi="宋体" w:cs="Times New Roman" w:hint="eastAsia"/>
          <w:b w:val="0"/>
          <w:bCs/>
          <w:kern w:val="2"/>
          <w:sz w:val="24"/>
          <w:szCs w:val="32"/>
          <w:lang w:val="en-US" w:eastAsia="zh-CN" w:bidi="ar-SA"/>
        </w:rPr>
        <w:t>一、供应商基本情况表</w:t>
      </w:r>
    </w:p>
    <w:tbl>
      <w:tblPr>
        <w:tblStyle w:val="TableGrid"/>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0"/>
        <w:gridCol w:w="645"/>
        <w:gridCol w:w="1530"/>
        <w:gridCol w:w="904"/>
        <w:gridCol w:w="752"/>
        <w:gridCol w:w="1146"/>
        <w:gridCol w:w="1429"/>
        <w:gridCol w:w="1420"/>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89" w:type="pct"/>
            <w:gridSpan w:val="2"/>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投标（响应）供应商</w:t>
            </w:r>
          </w:p>
        </w:tc>
        <w:tc>
          <w:tcPr>
            <w:tcW w:w="1427"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项目名称及编号</w:t>
            </w:r>
          </w:p>
        </w:tc>
        <w:tc>
          <w:tcPr>
            <w:tcW w:w="1669" w:type="pct"/>
            <w:gridSpan w:val="2"/>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投标（响应）供应商相关人员情况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职务</w:t>
            </w:r>
          </w:p>
        </w:tc>
        <w:tc>
          <w:tcPr>
            <w:tcW w:w="529"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姓名</w:t>
            </w:r>
          </w:p>
        </w:tc>
        <w:tc>
          <w:tcPr>
            <w:tcW w:w="1113"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身份证号码</w:t>
            </w:r>
          </w:p>
        </w:tc>
        <w:tc>
          <w:tcPr>
            <w:tcW w:w="838"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劳动合同</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关系单位</w:t>
            </w:r>
          </w:p>
        </w:tc>
        <w:tc>
          <w:tcPr>
            <w:tcW w:w="830"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缴纳社会</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保险单位</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法定代表人</w:t>
            </w:r>
            <w:r>
              <w:rPr>
                <w:rFonts w:ascii="宋体" w:eastAsia="宋体" w:hAnsi="宋体" w:cs="宋体" w:hint="eastAsia"/>
                <w:color w:val="auto"/>
                <w:sz w:val="21"/>
                <w:szCs w:val="21"/>
                <w:highlight w:val="none"/>
                <w:lang w:val="en-US"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3</w:t>
            </w:r>
          </w:p>
        </w:tc>
        <w:tc>
          <w:tcPr>
            <w:tcW w:w="1275"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项目负责人</w:t>
            </w:r>
          </w:p>
        </w:tc>
        <w:tc>
          <w:tcPr>
            <w:tcW w:w="529"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4</w:t>
            </w:r>
          </w:p>
        </w:tc>
        <w:tc>
          <w:tcPr>
            <w:tcW w:w="1275"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主要技术人员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5</w:t>
            </w:r>
          </w:p>
        </w:tc>
        <w:tc>
          <w:tcPr>
            <w:tcW w:w="1275" w:type="pct"/>
            <w:gridSpan w:val="2"/>
            <w:noWrap w:val="0"/>
            <w:vAlign w:val="center"/>
          </w:tcPr>
          <w:p>
            <w:pPr>
              <w:widowControl w:val="0"/>
              <w:snapToGrid w:val="0"/>
              <w:ind w:left="0" w:firstLine="0" w:leftChars="0" w:firstLineChars="0"/>
              <w:jc w:val="center"/>
              <w:rPr>
                <w:rFonts w:ascii="宋体" w:eastAsia="宋体" w:hAnsi="宋体" w:cs="宋体" w:hint="eastAsia"/>
                <w:color w:val="auto"/>
                <w:kern w:val="2"/>
                <w:sz w:val="21"/>
                <w:szCs w:val="21"/>
                <w:lang w:val="en-US" w:eastAsia="zh-CN" w:bidi="ar-SA"/>
              </w:rPr>
            </w:pPr>
            <w:r>
              <w:rPr>
                <w:rFonts w:ascii="宋体" w:eastAsia="宋体" w:hAnsi="宋体" w:cs="宋体" w:hint="eastAsia"/>
                <w:color w:val="auto"/>
                <w:kern w:val="2"/>
                <w:sz w:val="21"/>
                <w:szCs w:val="21"/>
                <w:highlight w:val="none"/>
                <w:lang w:val="en-US" w:eastAsia="zh-CN" w:bidi="ar-SA"/>
              </w:rPr>
              <w:t>投标文件编制人员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说明：同一职务有多人担任（如主要技术人员），应分行填写。</w:t>
            </w:r>
          </w:p>
        </w:tc>
      </w:tr>
      <w:tr>
        <w:tblPrEx>
          <w:tblW w:w="4998" w:type="pct"/>
          <w:jc w:val="center"/>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eastAsia="宋体" w:hAnsi="宋体" w:cs="宋体" w:hint="eastAsia"/>
                <w:b/>
                <w:bCs/>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投标（响应）供应商关联关系情况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vertAlign w:val="baseline"/>
                <w:lang w:val="en-US" w:eastAsia="zh-CN"/>
              </w:rPr>
              <w:t>关联关系类型</w:t>
            </w:r>
          </w:p>
        </w:tc>
        <w:tc>
          <w:tcPr>
            <w:tcW w:w="971"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关联主体名称</w:t>
            </w:r>
          </w:p>
        </w:tc>
        <w:tc>
          <w:tcPr>
            <w:tcW w:w="2340" w:type="pct"/>
            <w:gridSpan w:val="3"/>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备注</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4998" w:type="pct"/>
          <w:jc w:val="center"/>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指对投标（响应）供应商不具有出资持股关系，但对其存在管理关系的主体。</w:t>
            </w:r>
          </w:p>
        </w:tc>
      </w:tr>
      <w:tr>
        <w:tblPrEx>
          <w:tblW w:w="4998" w:type="pct"/>
          <w:jc w:val="center"/>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说明：同一关联关系类型有多个主体的，应分行填写。</w:t>
            </w:r>
          </w:p>
        </w:tc>
      </w:tr>
    </w:tbl>
    <w:p>
      <w:pPr>
        <w:pStyle w:val="NoSpacing"/>
        <w:rPr>
          <w:rFonts w:ascii="宋体" w:hAnsi="宋体" w:hint="eastAsia"/>
          <w:b/>
          <w:color w:val="FF0000"/>
          <w:sz w:val="28"/>
          <w:szCs w:val="28"/>
        </w:rPr>
      </w:pPr>
    </w:p>
    <w:p>
      <w:pPr>
        <w:rPr>
          <w:rFonts w:ascii="宋体" w:hAnsi="宋体" w:hint="eastAsia"/>
          <w:b/>
          <w:color w:val="FF0000"/>
          <w:sz w:val="28"/>
          <w:szCs w:val="28"/>
        </w:rPr>
      </w:pPr>
      <w:r>
        <w:rPr>
          <w:rFonts w:ascii="宋体" w:hAnsi="宋体" w:hint="eastAsia"/>
          <w:b/>
          <w:color w:val="FF0000"/>
          <w:sz w:val="28"/>
          <w:szCs w:val="28"/>
        </w:rPr>
        <w:br w:type="page"/>
      </w:r>
    </w:p>
    <w:p>
      <w:pPr>
        <w:pStyle w:val="Heading3"/>
        <w:jc w:val="center"/>
        <w:rPr>
          <w:rFonts w:ascii="黑体" w:eastAsia="黑体"/>
          <w:b w:val="0"/>
          <w:sz w:val="24"/>
        </w:rPr>
      </w:pPr>
      <w:r>
        <w:rPr>
          <w:rFonts w:ascii="黑体" w:eastAsia="黑体" w:hint="eastAsia"/>
          <w:b w:val="0"/>
          <w:sz w:val="24"/>
          <w:lang w:val="en-US" w:eastAsia="zh-CN"/>
        </w:rPr>
        <w:t>二</w:t>
      </w:r>
      <w:r>
        <w:rPr>
          <w:rFonts w:ascii="黑体" w:eastAsia="黑体" w:hint="eastAsia"/>
          <w:b w:val="0"/>
          <w:sz w:val="24"/>
        </w:rPr>
        <w:t>、</w:t>
      </w:r>
      <w:bookmarkStart w:id="71" w:name="_Hlk72092499"/>
      <w:r>
        <w:rPr>
          <w:rFonts w:ascii="黑体" w:eastAsia="黑体" w:hint="eastAsia"/>
          <w:b w:val="0"/>
          <w:sz w:val="24"/>
        </w:rPr>
        <w:t>法定代表人（负责人）证明书</w:t>
      </w:r>
      <w:bookmarkEnd w:id="71"/>
    </w:p>
    <w:p>
      <w:pPr>
        <w:rPr>
          <w:sz w:val="24"/>
        </w:rPr>
      </w:pPr>
    </w:p>
    <w:p>
      <w:pPr>
        <w:spacing w:line="360" w:lineRule="auto"/>
        <w:ind w:firstLine="420" w:firstLineChars="200"/>
        <w:rPr>
          <w:rFonts w:eastAsia="宋体" w:hint="default"/>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color w:val="auto"/>
          <w:szCs w:val="21"/>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color w:val="auto"/>
          <w:szCs w:val="21"/>
        </w:rPr>
        <w:t>本项目投标授权代表为法定代表人（负责人）的，无需提供《投标文件签署授权委托书》。</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rPr>
          <w:sz w:val="24"/>
        </w:rPr>
      </w:pPr>
    </w:p>
    <w:p>
      <w:pPr>
        <w:pStyle w:val="NoSpacing"/>
        <w:rPr>
          <w:sz w:val="24"/>
        </w:rPr>
      </w:pPr>
      <w:r>
        <w:rPr>
          <w:rFonts w:ascii="黑体" w:eastAsia="黑体" w:hAnsi="黑体" w:cs="黑体" w:hint="eastAsia"/>
          <w:b/>
          <w:bCs/>
          <w:color w:val="auto"/>
          <w:sz w:val="24"/>
          <w:szCs w:val="24"/>
          <w:u w:val="none"/>
          <w:lang w:val="en-US" w:eastAsia="zh-CN"/>
        </w:rPr>
        <w:t>温馨提示</w:t>
      </w:r>
      <w:r>
        <w:rPr>
          <w:rFonts w:ascii="黑体" w:eastAsia="黑体" w:hAnsi="黑体" w:cs="黑体" w:hint="eastAsia"/>
          <w:color w:val="auto"/>
          <w:sz w:val="24"/>
          <w:szCs w:val="24"/>
          <w:u w:val="none"/>
          <w:lang w:val="en-US" w:eastAsia="zh-CN"/>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pStyle w:val="NoSpacing"/>
        <w:rPr>
          <w:sz w:val="24"/>
        </w:rPr>
      </w:pPr>
    </w:p>
    <w:p>
      <w:pPr>
        <w:pStyle w:val="NoSpacing"/>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NoSpacing"/>
        <w:rPr>
          <w:sz w:val="24"/>
        </w:rPr>
      </w:pPr>
    </w:p>
    <w:p>
      <w:pPr>
        <w:pStyle w:val="Heading3"/>
        <w:spacing w:before="120" w:after="120"/>
        <w:jc w:val="center"/>
        <w:rPr>
          <w:rFonts w:ascii="黑体" w:eastAsia="黑体"/>
          <w:b w:val="0"/>
          <w:sz w:val="24"/>
        </w:rPr>
      </w:pPr>
      <w:r>
        <w:rPr>
          <w:rFonts w:ascii="黑体" w:eastAsia="黑体" w:hint="eastAsia"/>
          <w:b w:val="0"/>
          <w:sz w:val="24"/>
          <w:lang w:val="en-US" w:eastAsia="zh-CN"/>
        </w:rPr>
        <w:t>三</w:t>
      </w:r>
      <w:r>
        <w:rPr>
          <w:rFonts w:ascii="黑体" w:eastAsia="黑体" w:hint="eastAsia"/>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eastAsia="宋体" w:hint="eastAsia"/>
          <w:szCs w:val="21"/>
          <w:u w:val="none"/>
          <w:lang w:eastAsia="zh-CN"/>
        </w:rPr>
        <w:t>；</w:t>
      </w:r>
    </w:p>
    <w:p>
      <w:pPr>
        <w:spacing w:line="360" w:lineRule="auto"/>
        <w:ind w:firstLine="420" w:firstLineChars="200"/>
        <w:rPr>
          <w:rFonts w:eastAsia="宋体" w:hint="eastAsia"/>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ascii="Times New Roman" w:eastAsia="宋体"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ascii="Times New Roman" w:eastAsia="宋体"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widowControl w:val="0"/>
        <w:jc w:val="both"/>
        <w:rPr>
          <w:rFonts w:ascii="黑体" w:eastAsia="黑体" w:hAnsi="黑体" w:cs="黑体" w:hint="eastAsia"/>
          <w:b/>
          <w:bCs/>
          <w:color w:val="auto"/>
          <w:kern w:val="2"/>
          <w:sz w:val="24"/>
          <w:szCs w:val="24"/>
          <w:u w:val="none"/>
          <w:lang w:val="en-US" w:eastAsia="zh-CN" w:bidi="ar-SA"/>
        </w:rPr>
      </w:pPr>
    </w:p>
    <w:p>
      <w:pPr>
        <w:widowControl w:val="0"/>
        <w:jc w:val="both"/>
        <w:rPr>
          <w:rFonts w:ascii="Calibri" w:eastAsia="宋体" w:hAnsi="Calibri" w:cs="Times New Roman"/>
          <w:kern w:val="2"/>
          <w:sz w:val="21"/>
          <w:szCs w:val="22"/>
          <w:lang w:val="en-US" w:eastAsia="zh-CN" w:bidi="ar-SA"/>
        </w:rPr>
      </w:pPr>
      <w:r>
        <w:rPr>
          <w:rFonts w:ascii="黑体" w:eastAsia="黑体" w:hAnsi="黑体" w:cs="黑体" w:hint="eastAsia"/>
          <w:b/>
          <w:bCs/>
          <w:color w:val="auto"/>
          <w:kern w:val="2"/>
          <w:sz w:val="24"/>
          <w:szCs w:val="24"/>
          <w:u w:val="none"/>
          <w:lang w:val="en-US" w:eastAsia="zh-CN" w:bidi="ar-SA"/>
        </w:rPr>
        <w:t>温馨提示</w:t>
      </w:r>
      <w:r>
        <w:rPr>
          <w:rFonts w:ascii="黑体" w:eastAsia="黑体" w:hAnsi="黑体" w:cs="黑体" w:hint="eastAsia"/>
          <w:color w:val="auto"/>
          <w:kern w:val="2"/>
          <w:sz w:val="24"/>
          <w:szCs w:val="24"/>
          <w:u w:val="none"/>
          <w:lang w:val="en-US" w:eastAsia="zh-CN" w:bidi="ar-SA"/>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hint="eastAsia"/>
          <w:kern w:val="2"/>
          <w:sz w:val="21"/>
          <w:szCs w:val="22"/>
          <w:lang w:val="en-US" w:eastAsia="zh-CN" w:bidi="ar-SA"/>
        </w:rPr>
      </w:pPr>
    </w:p>
    <w:p>
      <w:pPr>
        <w:rPr>
          <w:rFonts w:ascii="黑体" w:eastAsia="黑体" w:hint="eastAsia"/>
          <w:b w:val="0"/>
          <w:kern w:val="0"/>
          <w:sz w:val="24"/>
          <w:szCs w:val="24"/>
        </w:rPr>
      </w:pPr>
    </w:p>
    <w:p>
      <w:pPr>
        <w:pStyle w:val="NoSpacing"/>
        <w:rPr>
          <w:rFonts w:ascii="黑体" w:eastAsia="黑体" w:hint="eastAsia"/>
          <w:b w:val="0"/>
          <w:kern w:val="0"/>
          <w:sz w:val="24"/>
          <w:szCs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3"/>
        <w:jc w:val="center"/>
        <w:rPr>
          <w:rFonts w:ascii="黑体" w:eastAsia="黑体"/>
          <w:b w:val="0"/>
          <w:kern w:val="0"/>
          <w:sz w:val="24"/>
          <w:szCs w:val="24"/>
        </w:rPr>
      </w:pPr>
      <w:r>
        <w:rPr>
          <w:rFonts w:ascii="黑体" w:eastAsia="黑体" w:hint="eastAsia"/>
          <w:b w:val="0"/>
          <w:kern w:val="0"/>
          <w:sz w:val="24"/>
          <w:szCs w:val="24"/>
          <w:lang w:val="en-US" w:eastAsia="zh-CN"/>
        </w:rPr>
        <w:t>四</w:t>
      </w:r>
      <w:r>
        <w:rPr>
          <w:rFonts w:ascii="黑体" w:eastAsia="黑体" w:hint="eastAsia"/>
          <w:b w:val="0"/>
          <w:kern w:val="0"/>
          <w:sz w:val="24"/>
          <w:szCs w:val="24"/>
        </w:rPr>
        <w:t>、</w:t>
      </w:r>
      <w:bookmarkStart w:id="72" w:name="_Hlk72092634"/>
      <w:r>
        <w:rPr>
          <w:rFonts w:ascii="黑体" w:eastAsia="黑体" w:hint="eastAsia"/>
          <w:b w:val="0"/>
          <w:kern w:val="0"/>
          <w:sz w:val="24"/>
          <w:szCs w:val="24"/>
        </w:rPr>
        <w:t>实质性条款响应情况表</w:t>
      </w:r>
      <w:bookmarkEnd w:id="72"/>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2664"/>
        <w:gridCol w:w="1588"/>
        <w:gridCol w:w="1842"/>
        <w:gridCol w:w="1418"/>
      </w:tblGrid>
      <w:tr>
        <w:tblPrEx>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adjustRightInd w:val="0"/>
              <w:snapToGrid w:val="0"/>
              <w:spacing w:line="360" w:lineRule="auto"/>
              <w:jc w:val="center"/>
              <w:rPr>
                <w:rFonts w:ascii="宋体" w:hAnsi="宋体"/>
                <w:kern w:val="0"/>
                <w:szCs w:val="21"/>
              </w:rPr>
            </w:pPr>
            <w:bookmarkStart w:id="73" w:name="_Hlk72092651"/>
            <w:r>
              <w:rPr>
                <w:rFonts w:ascii="宋体" w:hAnsi="宋体" w:hint="eastAsia"/>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tr>
        <w:tblPrEx>
          <w:tblW w:w="8217" w:type="dxa"/>
          <w:tblInd w:w="0" w:type="dxa"/>
          <w:tblLayout w:type="fixed"/>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bookmarkEnd w:id="73"/>
            <w:r>
              <w:rPr>
                <w:rFonts w:ascii="宋体" w:hAnsi="宋体" w:hint="eastAsia"/>
                <w:kern w:val="0"/>
                <w:szCs w:val="21"/>
              </w:rPr>
              <w:t>1</w:t>
            </w:r>
          </w:p>
        </w:tc>
        <w:tc>
          <w:tcPr>
            <w:tcW w:w="2664" w:type="dxa"/>
            <w:vAlign w:val="center"/>
          </w:tcPr>
          <w:p>
            <w:pPr>
              <w:rPr>
                <w:rFonts w:hAnsi="宋体"/>
                <w:kern w:val="0"/>
                <w:szCs w:val="21"/>
              </w:rPr>
            </w:pPr>
            <w:r>
              <w:rPr>
                <w:rFonts w:hint="eastAsia"/>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20" w:firstLineChars="200"/>
        <w:rPr>
          <w:b/>
          <w:sz w:val="24"/>
          <w:szCs w:val="22"/>
        </w:rPr>
      </w:pPr>
    </w:p>
    <w:p>
      <w:pPr>
        <w:ind w:firstLine="420" w:firstLineChars="200"/>
        <w:rPr>
          <w:b/>
          <w:sz w:val="24"/>
          <w:szCs w:val="22"/>
        </w:rPr>
      </w:pPr>
      <w:r>
        <w:rPr>
          <w:rFonts w:hint="eastAsia"/>
          <w:b/>
          <w:sz w:val="24"/>
          <w:szCs w:val="22"/>
        </w:rPr>
        <w:t>注：1.上表所列各项均为不可负偏离条款。</w:t>
      </w:r>
    </w:p>
    <w:p>
      <w:pPr>
        <w:ind w:firstLine="420"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2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20" w:firstLineChars="200"/>
        <w:rPr>
          <w:b/>
          <w:sz w:val="24"/>
        </w:rPr>
      </w:pPr>
      <w:r>
        <w:rPr>
          <w:b/>
          <w:sz w:val="24"/>
        </w:rPr>
        <w:t>4.</w:t>
      </w:r>
      <w:r>
        <w:rPr>
          <w:rFonts w:hint="eastAsia"/>
          <w:b/>
          <w:sz w:val="24"/>
        </w:rPr>
        <w:t>评审委员会有权对投标响应情况作出判断（作出评审结论）。</w:t>
      </w:r>
    </w:p>
    <w:p>
      <w:pPr>
        <w:ind w:firstLine="42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0"/>
    </w:p>
    <w:p>
      <w:pPr>
        <w:ind w:firstLine="420" w:firstLineChars="200"/>
        <w:rPr>
          <w:b/>
          <w:sz w:val="24"/>
          <w:szCs w:val="22"/>
        </w:rPr>
      </w:pPr>
      <w:r>
        <w:rPr>
          <w:rFonts w:hint="eastAsia"/>
          <w:b/>
          <w:sz w:val="24"/>
          <w:szCs w:val="22"/>
        </w:rPr>
        <w:t>6.要求提供证明资料，在“说明”一栏中列明证明资料的位置,以便评审；未要求提供证明材料的，投标人可以不提供。</w:t>
      </w:r>
    </w:p>
    <w:p/>
    <w:p>
      <w:r>
        <w:br w:type="page"/>
      </w:r>
    </w:p>
    <w:p>
      <w:pPr>
        <w:pStyle w:val="Heading3"/>
        <w:jc w:val="center"/>
        <w:rPr>
          <w:sz w:val="24"/>
        </w:rPr>
      </w:pPr>
      <w:r>
        <w:rPr>
          <w:rFonts w:ascii="黑体" w:eastAsia="黑体" w:hint="eastAsia"/>
          <w:b w:val="0"/>
          <w:sz w:val="24"/>
          <w:szCs w:val="24"/>
          <w:lang w:val="en-US" w:eastAsia="zh-CN"/>
        </w:rPr>
        <w:t>五</w:t>
      </w:r>
      <w:r>
        <w:rPr>
          <w:rFonts w:ascii="黑体" w:eastAsia="黑体" w:hint="eastAsia"/>
          <w:b w:val="0"/>
          <w:sz w:val="24"/>
          <w:szCs w:val="24"/>
        </w:rPr>
        <w:t>、技术要求偏离表</w:t>
      </w:r>
    </w:p>
    <w:tbl>
      <w:tblPr>
        <w:tblStyle w:val="TableNormal"/>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7"/>
        <w:gridCol w:w="499"/>
        <w:gridCol w:w="5053"/>
        <w:gridCol w:w="848"/>
        <w:gridCol w:w="848"/>
        <w:gridCol w:w="851"/>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0"/>
          <w:jc w:val="center"/>
        </w:trPr>
        <w:tc>
          <w:tcPr>
            <w:tcW w:w="250"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序号</w:t>
            </w:r>
          </w:p>
        </w:tc>
        <w:tc>
          <w:tcPr>
            <w:tcW w:w="293" w:type="pct"/>
            <w:vAlign w:val="center"/>
          </w:tcPr>
          <w:p>
            <w:pPr>
              <w:widowControl/>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货物名称</w:t>
            </w:r>
          </w:p>
        </w:tc>
        <w:tc>
          <w:tcPr>
            <w:tcW w:w="2963"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招标技术要求</w:t>
            </w:r>
          </w:p>
        </w:tc>
        <w:tc>
          <w:tcPr>
            <w:tcW w:w="497"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hint="eastAsia"/>
                <w:b/>
                <w:bCs/>
              </w:rPr>
              <w:t>投标技术响应</w:t>
            </w:r>
          </w:p>
        </w:tc>
        <w:tc>
          <w:tcPr>
            <w:tcW w:w="497"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hint="eastAsia"/>
                <w:b/>
                <w:bCs/>
              </w:rPr>
              <w:t>偏离情况</w:t>
            </w:r>
          </w:p>
        </w:tc>
        <w:tc>
          <w:tcPr>
            <w:tcW w:w="497"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hint="eastAsia"/>
                <w:b/>
                <w:bCs/>
              </w:rPr>
              <w:t>说明</w:t>
            </w:r>
          </w:p>
        </w:tc>
      </w:tr>
      <w:tr>
        <w:tblPrEx>
          <w:tblW w:w="4998" w:type="pct"/>
          <w:jc w:val="center"/>
          <w:tblCellMar>
            <w:top w:w="0" w:type="dxa"/>
            <w:left w:w="108" w:type="dxa"/>
            <w:bottom w:w="0" w:type="dxa"/>
            <w:right w:w="108" w:type="dxa"/>
          </w:tblCellMar>
        </w:tblPrEx>
        <w:trPr>
          <w:trHeight w:val="594"/>
          <w:jc w:val="center"/>
        </w:trPr>
        <w:tc>
          <w:tcPr>
            <w:tcW w:w="250" w:type="pct"/>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14:textFill>
                  <w14:solidFill>
                    <w14:schemeClr w14:val="tx1"/>
                  </w14:solidFill>
                </w14:textFill>
              </w:rPr>
              <w:t>1</w:t>
            </w:r>
          </w:p>
        </w:tc>
        <w:tc>
          <w:tcPr>
            <w:tcW w:w="293" w:type="pct"/>
            <w:vMerge w:val="restart"/>
            <w:vAlign w:val="center"/>
          </w:tcPr>
          <w:p>
            <w:pPr>
              <w:jc w:val="center"/>
              <w:rPr>
                <w:rFonts w:ascii="宋体" w:eastAsia="宋体" w:hAnsi="宋体" w:cs="宋体" w:hint="eastAsia"/>
                <w:color w:val="000000" w:themeColor="text1"/>
                <w:sz w:val="21"/>
                <w:szCs w:val="21"/>
                <w:lang w:eastAsia="zh-CN"/>
                <w14:textFill>
                  <w14:solidFill>
                    <w14:schemeClr w14:val="tx1"/>
                  </w14:solidFill>
                </w14:textFill>
              </w:rPr>
            </w:pPr>
            <w:r>
              <w:rPr>
                <w:rFonts w:ascii="宋体" w:eastAsia="宋体" w:hAnsi="宋体" w:cs="宋体" w:hint="eastAsia"/>
                <w:i w:val="0"/>
                <w:iCs w:val="0"/>
                <w:color w:val="000000"/>
                <w:kern w:val="0"/>
                <w:sz w:val="21"/>
                <w:szCs w:val="21"/>
                <w:u w:val="none"/>
                <w:lang w:val="en-US" w:eastAsia="zh-CN"/>
              </w:rPr>
              <w:t>病床</w:t>
            </w:r>
          </w:p>
        </w:tc>
        <w:tc>
          <w:tcPr>
            <w:tcW w:w="2963"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1.</w:t>
            </w:r>
            <w:r>
              <w:rPr>
                <w:rFonts w:ascii="宋体" w:eastAsia="宋体" w:hAnsi="宋体" w:cs="宋体" w:hint="eastAsia"/>
                <w:sz w:val="21"/>
                <w:szCs w:val="21"/>
              </w:rPr>
              <w:t>全长2120mm±10mm，全宽（含护栏）970mm±10mm；床面长度2000±5mm，床面宽度840±5mm：床面离地高度485±10mm</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3"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2.</w:t>
            </w:r>
            <w:r>
              <w:rPr>
                <w:rFonts w:ascii="宋体" w:eastAsia="宋体" w:hAnsi="宋体" w:cs="宋体" w:hint="eastAsia"/>
                <w:sz w:val="21"/>
                <w:szCs w:val="21"/>
              </w:rPr>
              <w:t>安全工作负重≥240KG</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3"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3.</w:t>
            </w:r>
            <w:r>
              <w:rPr>
                <w:rFonts w:ascii="宋体" w:eastAsia="宋体" w:hAnsi="宋体" w:cs="宋体" w:hint="eastAsia"/>
                <w:sz w:val="21"/>
                <w:szCs w:val="21"/>
              </w:rPr>
              <w:t>背部升降0-68°±2°；膝部升降0-35°±2°</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sz w:val="21"/>
                <w:szCs w:val="21"/>
                <w:lang w:val="en-US" w:eastAsia="zh-CN"/>
              </w:rPr>
              <w:t>4.</w:t>
            </w:r>
            <w:r>
              <w:rPr>
                <w:rFonts w:ascii="宋体" w:eastAsia="宋体" w:hAnsi="宋体" w:cs="宋体" w:hint="eastAsia"/>
                <w:sz w:val="21"/>
                <w:szCs w:val="21"/>
              </w:rPr>
              <w:t>摇杆使用寿命负载条件下使用寿命≥15000 次</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5.</w:t>
            </w:r>
            <w:r>
              <w:rPr>
                <w:rFonts w:ascii="宋体" w:eastAsia="宋体" w:hAnsi="宋体" w:cs="宋体" w:hint="eastAsia"/>
                <w:sz w:val="21"/>
                <w:szCs w:val="21"/>
              </w:rPr>
              <w:t>配备防尘罩，避免灰尘进入螺杆内部而影响寿命和操作</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6.</w:t>
            </w:r>
            <w:r>
              <w:rPr>
                <w:rFonts w:ascii="宋体" w:eastAsia="宋体" w:hAnsi="宋体" w:cs="宋体" w:hint="eastAsia"/>
                <w:sz w:val="21"/>
                <w:szCs w:val="21"/>
              </w:rPr>
              <w:t>床架两侧各设计≥2个活动附件挂钩，可悬挂药剂袋、引流袋及污物袋等</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7.</w:t>
            </w:r>
            <w:r>
              <w:rPr>
                <w:rFonts w:ascii="宋体" w:eastAsia="宋体" w:hAnsi="宋体" w:cs="宋体" w:hint="eastAsia"/>
                <w:sz w:val="21"/>
                <w:szCs w:val="21"/>
              </w:rPr>
              <w:t>床头床尾共配置≥4个输液架插孔</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8.</w:t>
            </w:r>
            <w:r>
              <w:rPr>
                <w:rFonts w:ascii="宋体" w:eastAsia="宋体" w:hAnsi="宋体" w:cs="宋体" w:hint="eastAsia"/>
                <w:sz w:val="21"/>
                <w:szCs w:val="21"/>
              </w:rPr>
              <w:t>整体床架静态承重≥400KG以上</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9.</w:t>
            </w:r>
            <w:r>
              <w:rPr>
                <w:rFonts w:ascii="宋体" w:eastAsia="宋体" w:hAnsi="宋体" w:cs="宋体" w:hint="eastAsia"/>
                <w:sz w:val="21"/>
                <w:szCs w:val="21"/>
              </w:rPr>
              <w:t>焊接工艺</w:t>
            </w:r>
            <w:r>
              <w:rPr>
                <w:rFonts w:ascii="宋体" w:eastAsia="宋体" w:hAnsi="宋体" w:cs="宋体" w:hint="eastAsia"/>
                <w:sz w:val="21"/>
                <w:szCs w:val="21"/>
                <w:lang w:eastAsia="zh-CN"/>
              </w:rPr>
              <w:t>：</w:t>
            </w:r>
            <w:r>
              <w:rPr>
                <w:rFonts w:ascii="宋体" w:eastAsia="宋体" w:hAnsi="宋体" w:cs="宋体" w:hint="eastAsia"/>
                <w:sz w:val="21"/>
                <w:szCs w:val="21"/>
              </w:rPr>
              <w:t>无气孔，高熔接度，高强度，抗弯折、抗压性强，具高承重力</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10.</w:t>
            </w:r>
            <w:r>
              <w:rPr>
                <w:rFonts w:ascii="宋体" w:eastAsia="宋体" w:hAnsi="宋体" w:cs="宋体" w:hint="eastAsia"/>
                <w:sz w:val="21"/>
                <w:szCs w:val="21"/>
              </w:rPr>
              <w:t>床面盖板为改性工程塑料一次成型，材料厚3.2mm±0.2mm, 盖板正面可承受≥185KG</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11.</w:t>
            </w:r>
            <w:r>
              <w:rPr>
                <w:rFonts w:ascii="宋体" w:eastAsia="宋体" w:hAnsi="宋体" w:cs="宋体" w:hint="eastAsia"/>
                <w:sz w:val="21"/>
                <w:szCs w:val="21"/>
              </w:rPr>
              <w:t>铝合金护栏，六支不锈钢护栏支柱，钢质可靠锁定/释放开关，释放开关带红/绿颜色标识，可清晰分辨锁紧状态，可单手操作</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12.</w:t>
            </w:r>
            <w:r>
              <w:rPr>
                <w:rFonts w:ascii="宋体" w:eastAsia="宋体" w:hAnsi="宋体" w:cs="宋体" w:hint="eastAsia"/>
                <w:sz w:val="21"/>
                <w:szCs w:val="21"/>
              </w:rPr>
              <w:t>床头床尾共配置4个≥80mm 防撞缓冲轮</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14:textFill>
                  <w14:solidFill>
                    <w14:schemeClr w14:val="tx1"/>
                  </w14:solidFill>
                </w14:textFill>
              </w:rPr>
            </w:pPr>
          </w:p>
        </w:tc>
        <w:tc>
          <w:tcPr>
            <w:tcW w:w="2963"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sz w:val="21"/>
                <w:szCs w:val="21"/>
                <w:lang w:val="en-US" w:eastAsia="zh-CN"/>
              </w:rPr>
              <w:t>13.</w:t>
            </w:r>
            <w:r>
              <w:rPr>
                <w:rFonts w:ascii="宋体" w:eastAsia="宋体" w:hAnsi="宋体" w:cs="宋体" w:hint="eastAsia"/>
                <w:sz w:val="21"/>
                <w:szCs w:val="21"/>
              </w:rPr>
              <w:t>配置四个直径≥125mm万向静音聚氨酯独立刹车脚轮，耐磨，防腐蚀。脚轮防尘、防毛发卷入</w:t>
            </w: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c>
          <w:tcPr>
            <w:tcW w:w="497" w:type="pct"/>
          </w:tcPr>
          <w:p>
            <w:pPr>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6"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r>
              <w:rPr>
                <w:rFonts w:ascii="宋体" w:hAnsi="宋体" w:cs="宋体" w:hint="eastAsia"/>
                <w:sz w:val="21"/>
                <w:szCs w:val="21"/>
                <w:lang w:val="en-US" w:eastAsia="zh-CN"/>
              </w:rPr>
              <w:t>（每张</w:t>
            </w:r>
            <w:r>
              <w:rPr>
                <w:rFonts w:ascii="宋体" w:eastAsia="宋体" w:hAnsi="宋体" w:cs="宋体" w:hint="eastAsia"/>
                <w:i w:val="0"/>
                <w:iCs w:val="0"/>
                <w:color w:val="000000"/>
                <w:kern w:val="0"/>
                <w:sz w:val="21"/>
                <w:szCs w:val="21"/>
                <w:u w:val="none"/>
                <w:lang w:val="en-US" w:eastAsia="zh-CN"/>
              </w:rPr>
              <w:t>病床</w:t>
            </w:r>
            <w:r>
              <w:rPr>
                <w:rFonts w:ascii="宋体" w:hAnsi="宋体" w:cs="宋体" w:hint="eastAsia"/>
                <w:sz w:val="21"/>
                <w:szCs w:val="21"/>
                <w:lang w:val="en-US" w:eastAsia="zh-CN"/>
              </w:rPr>
              <w:t>）</w:t>
            </w:r>
            <w:r>
              <w:rPr>
                <w:rFonts w:ascii="宋体" w:eastAsia="宋体" w:hAnsi="宋体" w:cs="宋体" w:hint="eastAsia"/>
                <w:sz w:val="21"/>
                <w:szCs w:val="21"/>
                <w:lang w:val="en-US" w:eastAsia="zh-CN"/>
              </w:rPr>
              <w:t>：</w:t>
            </w:r>
          </w:p>
          <w:tbl>
            <w:tblPr>
              <w:tblStyle w:val="TableNormal0"/>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6"/>
              <w:gridCol w:w="4101"/>
              <w:gridCol w:w="1395"/>
              <w:gridCol w:w="1078"/>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1"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6"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4" w:type="pct"/>
                <w:jc w:val="center"/>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1</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3"/>
                      <w:kern w:val="0"/>
                      <w:sz w:val="21"/>
                      <w:szCs w:val="21"/>
                    </w:rPr>
                  </w:pPr>
                  <w:r>
                    <w:rPr>
                      <w:rFonts w:ascii="宋体" w:hAnsi="宋体" w:cs="宋体" w:hint="eastAsia"/>
                      <w:sz w:val="21"/>
                      <w:szCs w:val="21"/>
                      <w:lang w:val="en-US" w:eastAsia="zh-CN"/>
                    </w:rPr>
                    <w:t>病床</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14" w:leftChars="0"/>
                    <w:jc w:val="center"/>
                    <w:rPr>
                      <w:rFonts w:ascii="宋体" w:hAnsi="宋体" w:cs="宋体" w:hint="default"/>
                      <w:spacing w:val="-9"/>
                      <w:kern w:val="0"/>
                      <w:sz w:val="21"/>
                      <w:szCs w:val="21"/>
                      <w:lang w:val="en-US" w:eastAsia="zh-CN"/>
                    </w:rPr>
                  </w:pPr>
                  <w:r>
                    <w:rPr>
                      <w:rFonts w:ascii="宋体" w:hAnsi="宋体" w:cs="宋体" w:hint="eastAsia"/>
                      <w:spacing w:val="-9"/>
                      <w:kern w:val="0"/>
                      <w:sz w:val="21"/>
                      <w:szCs w:val="21"/>
                      <w:lang w:val="en-US" w:eastAsia="zh-CN"/>
                    </w:rPr>
                    <w:t>2.</w:t>
                  </w:r>
                </w:p>
              </w:tc>
              <w:tc>
                <w:tcPr>
                  <w:tcW w:w="3479" w:type="dxa"/>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床垫</w:t>
                  </w:r>
                </w:p>
              </w:tc>
              <w:tc>
                <w:tcPr>
                  <w:tcW w:w="1184" w:type="dxa"/>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916" w:type="dxa"/>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3</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床头柜</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leftChars="0"/>
                    <w:jc w:val="center"/>
                    <w:rPr>
                      <w:rFonts w:ascii="宋体" w:eastAsia="宋体" w:hAnsi="宋体" w:cs="宋体" w:hint="eastAsia"/>
                      <w:kern w:val="0"/>
                      <w:sz w:val="21"/>
                      <w:szCs w:val="21"/>
                    </w:rPr>
                  </w:pPr>
                  <w:r>
                    <w:rPr>
                      <w:rFonts w:ascii="宋体" w:hAnsi="宋体" w:cs="宋体" w:hint="eastAsia"/>
                      <w:spacing w:val="-9"/>
                      <w:kern w:val="0"/>
                      <w:sz w:val="21"/>
                      <w:szCs w:val="21"/>
                      <w:lang w:val="en-US" w:eastAsia="zh-CN"/>
                    </w:rPr>
                    <w:t>4</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餐板</w:t>
                  </w:r>
                </w:p>
              </w:tc>
              <w:tc>
                <w:tcPr>
                  <w:tcW w:w="946" w:type="pct"/>
                  <w:vAlign w:val="center"/>
                </w:tcPr>
                <w:p>
                  <w:pPr>
                    <w:widowControl/>
                    <w:jc w:val="center"/>
                    <w:rPr>
                      <w:rFonts w:ascii="宋体" w:eastAsia="宋体" w:hAnsi="宋体" w:cs="宋体" w:hint="eastAsia"/>
                      <w:spacing w:val="6"/>
                      <w:kern w:val="0"/>
                      <w:sz w:val="21"/>
                      <w:szCs w:val="21"/>
                      <w:lang w:val="en-US"/>
                    </w:rPr>
                  </w:pPr>
                  <w:r>
                    <w:rPr>
                      <w:rFonts w:ascii="宋体" w:eastAsia="宋体" w:hAnsi="宋体" w:cs="宋体" w:hint="eastAsia"/>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spacing w:val="6"/>
                      <w:kern w:val="0"/>
                      <w:sz w:val="21"/>
                      <w:szCs w:val="21"/>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leftChars="0"/>
                    <w:jc w:val="center"/>
                    <w:rPr>
                      <w:rFonts w:ascii="宋体" w:eastAsia="宋体" w:hAnsi="宋体" w:cs="宋体" w:hint="eastAsia"/>
                      <w:spacing w:val="-9"/>
                      <w:kern w:val="0"/>
                      <w:sz w:val="21"/>
                      <w:szCs w:val="21"/>
                    </w:rPr>
                  </w:pPr>
                  <w:r>
                    <w:rPr>
                      <w:rFonts w:ascii="宋体" w:hAnsi="宋体" w:cs="宋体" w:hint="eastAsia"/>
                      <w:spacing w:val="-9"/>
                      <w:kern w:val="0"/>
                      <w:sz w:val="21"/>
                      <w:szCs w:val="21"/>
                      <w:lang w:val="en-US" w:eastAsia="zh-CN"/>
                    </w:rPr>
                    <w:t>5</w:t>
                  </w:r>
                  <w:r>
                    <w:rPr>
                      <w:rFonts w:ascii="宋体" w:eastAsia="宋体" w:hAnsi="宋体" w:cs="宋体" w:hint="eastAsia"/>
                      <w:spacing w:val="-9"/>
                      <w:kern w:val="0"/>
                      <w:sz w:val="21"/>
                      <w:szCs w:val="21"/>
                    </w:rPr>
                    <w:t>.</w:t>
                  </w:r>
                </w:p>
              </w:tc>
              <w:tc>
                <w:tcPr>
                  <w:tcW w:w="2781"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输液架</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567"/>
          <w:jc w:val="center"/>
        </w:trPr>
        <w:tc>
          <w:tcPr>
            <w:tcW w:w="250" w:type="pct"/>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2</w:t>
            </w:r>
          </w:p>
        </w:tc>
        <w:tc>
          <w:tcPr>
            <w:tcW w:w="293" w:type="pct"/>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心肺复苏机</w:t>
            </w: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1.按压原理：采用胸腔接触式按压方式，胸部无负荷、垂直按压、自动中心位置定位；背部有固定板支撑。</w:t>
            </w: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w:t>
            </w:r>
            <w:r>
              <w:rPr>
                <w:rFonts w:ascii="宋体" w:eastAsia="宋体" w:hAnsi="宋体" w:cs="宋体" w:hint="eastAsia"/>
                <w:sz w:val="21"/>
                <w:szCs w:val="21"/>
                <w:lang w:val="en-US" w:eastAsia="zh-CN"/>
              </w:rPr>
              <w:t>.驱动方式：电动电控。</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3</w:t>
            </w:r>
            <w:r>
              <w:rPr>
                <w:rFonts w:ascii="宋体" w:eastAsia="宋体" w:hAnsi="宋体" w:cs="宋体" w:hint="eastAsia"/>
                <w:sz w:val="21"/>
                <w:szCs w:val="21"/>
                <w:lang w:val="en-US" w:eastAsia="zh-CN"/>
              </w:rPr>
              <w:t>.机械结构：为双杆两侧固定结构，固定和支撑按压主机必须是使用硬质材料制成，不得使用有弹让性软质材料（如：布、软性纤维等），无法确保有效的按压深度，且不方便清洗消毒。功能操作界面在设备上方。便于按压位置的快速准确定位、操作清晰方便。</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4</w:t>
            </w:r>
            <w:r>
              <w:rPr>
                <w:rFonts w:ascii="宋体" w:eastAsia="宋体" w:hAnsi="宋体" w:cs="宋体" w:hint="eastAsia"/>
                <w:sz w:val="21"/>
                <w:szCs w:val="21"/>
                <w:lang w:val="en-US" w:eastAsia="zh-CN"/>
              </w:rPr>
              <w:t>.按压频率：100 次／分钟，实际按压频率与设置值误差为+2次。</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5</w:t>
            </w:r>
            <w:r>
              <w:rPr>
                <w:rFonts w:ascii="宋体" w:eastAsia="宋体" w:hAnsi="宋体" w:cs="宋体" w:hint="eastAsia"/>
                <w:sz w:val="21"/>
                <w:szCs w:val="21"/>
                <w:lang w:val="en-US" w:eastAsia="zh-CN"/>
              </w:rPr>
              <w:t>.按压深度：在0-6cm范围内可调，至少具有3.6cm、4.6cm、5.6cm三种按压深度可调，误差为±0.2cm。</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6</w:t>
            </w:r>
            <w:r>
              <w:rPr>
                <w:rFonts w:ascii="宋体" w:eastAsia="宋体" w:hAnsi="宋体" w:cs="宋体" w:hint="eastAsia"/>
                <w:sz w:val="21"/>
                <w:szCs w:val="21"/>
                <w:lang w:val="en-US" w:eastAsia="zh-CN"/>
              </w:rPr>
              <w:t>.按压释放比：50%±2%，按压比1:1。确保胸腔完全回弹，胸腔上无任何负重。</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7</w:t>
            </w:r>
            <w:r>
              <w:rPr>
                <w:rFonts w:ascii="宋体" w:eastAsia="宋体" w:hAnsi="宋体" w:cs="宋体" w:hint="eastAsia"/>
                <w:sz w:val="21"/>
                <w:szCs w:val="21"/>
                <w:lang w:val="en-US" w:eastAsia="zh-CN"/>
              </w:rPr>
              <w:t>.按压通气模式：5:2 按压模式、30:2 按压模式、连续按压模式。</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8</w:t>
            </w:r>
            <w:r>
              <w:rPr>
                <w:rFonts w:ascii="宋体" w:eastAsia="宋体" w:hAnsi="宋体" w:cs="宋体" w:hint="eastAsia"/>
                <w:sz w:val="21"/>
                <w:szCs w:val="21"/>
                <w:lang w:val="en-US" w:eastAsia="zh-CN"/>
              </w:rPr>
              <w:t>.通气时间：在 15:2 及 30:2 模式下，通气停顿时间不大于 3 秒。</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9</w:t>
            </w:r>
            <w:r>
              <w:rPr>
                <w:rFonts w:ascii="宋体" w:eastAsia="宋体" w:hAnsi="宋体" w:cs="宋体" w:hint="eastAsia"/>
                <w:sz w:val="21"/>
                <w:szCs w:val="21"/>
                <w:lang w:val="en-US" w:eastAsia="zh-CN"/>
              </w:rPr>
              <w:t>.通气报警功能：具有辅助通气报警功能，提示救护人员通气及通气时间。</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10</w:t>
            </w:r>
            <w:r>
              <w:rPr>
                <w:rFonts w:ascii="宋体" w:eastAsia="宋体" w:hAnsi="宋体" w:cs="宋体" w:hint="eastAsia"/>
                <w:sz w:val="21"/>
                <w:szCs w:val="21"/>
                <w:lang w:val="en-US" w:eastAsia="zh-CN"/>
              </w:rPr>
              <w:t>.工作状态：最大工作倾斜度：≥40°，具有担架固定孔位，可固定担架上，确保下楼梯、转运途中能持续稳定实施胸腔按压，完全达到上述功能。</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11</w:t>
            </w:r>
            <w:r>
              <w:rPr>
                <w:rFonts w:ascii="宋体" w:eastAsia="宋体" w:hAnsi="宋体" w:cs="宋体" w:hint="eastAsia"/>
                <w:sz w:val="21"/>
                <w:szCs w:val="21"/>
                <w:lang w:val="en-US" w:eastAsia="zh-CN"/>
              </w:rPr>
              <w:t>.开放气道：气道开放垫可使病人气道充分打开，便于病人的通气处理。</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12</w:t>
            </w:r>
            <w:r>
              <w:rPr>
                <w:rFonts w:ascii="宋体" w:eastAsia="宋体" w:hAnsi="宋体" w:cs="宋体" w:hint="eastAsia"/>
                <w:sz w:val="21"/>
                <w:szCs w:val="21"/>
                <w:lang w:val="en-US" w:eastAsia="zh-CN"/>
              </w:rPr>
              <w:t>.电池最大运行时间：新电池充满电情况下，电池最大运行时间≥60 分钟。交流电接入状态下，可持续工作无间断；同时给予电池充电。</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13</w:t>
            </w:r>
            <w:r>
              <w:rPr>
                <w:rFonts w:ascii="宋体" w:eastAsia="宋体" w:hAnsi="宋体" w:cs="宋体" w:hint="eastAsia"/>
                <w:sz w:val="21"/>
                <w:szCs w:val="21"/>
                <w:lang w:val="en-US" w:eastAsia="zh-CN"/>
              </w:rPr>
              <w:t>.充电时间：电池最大充电时间≤70 分钟。</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4</w:t>
            </w:r>
            <w:r>
              <w:rPr>
                <w:rFonts w:ascii="宋体" w:eastAsia="宋体" w:hAnsi="宋体" w:cs="宋体" w:hint="eastAsia"/>
                <w:sz w:val="21"/>
                <w:szCs w:val="21"/>
                <w:lang w:val="en-US" w:eastAsia="zh-CN"/>
              </w:rPr>
              <w:t>.适用胸廓范围：适用胸廓范围：最大胸宽47±2.5cm，胸骨高度范围13.3cm-30.3cm，误差±1cm，使用不受患者体重限制。</w:t>
            </w: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5</w:t>
            </w:r>
            <w:r>
              <w:rPr>
                <w:rFonts w:ascii="宋体" w:eastAsia="宋体" w:hAnsi="宋体" w:cs="宋体" w:hint="eastAsia"/>
                <w:sz w:val="21"/>
                <w:szCs w:val="21"/>
                <w:lang w:val="en-US" w:eastAsia="zh-CN"/>
              </w:rPr>
              <w:t>.按压器峰值压力：在最大按压深度5.6cm的条件下，心肺复苏机的按压器峰值压力＞70kg（686N）。</w:t>
            </w: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6</w:t>
            </w:r>
            <w:r>
              <w:rPr>
                <w:rFonts w:ascii="宋体" w:eastAsia="宋体" w:hAnsi="宋体" w:cs="宋体" w:hint="eastAsia"/>
                <w:sz w:val="21"/>
                <w:szCs w:val="21"/>
                <w:lang w:val="en-US" w:eastAsia="zh-CN"/>
              </w:rPr>
              <w:t>.整机重量≤6.5kg</w:t>
            </w: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w:t>
            </w:r>
            <w:r>
              <w:rPr>
                <w:rFonts w:ascii="宋体" w:hAnsi="宋体" w:cs="宋体" w:hint="eastAsia"/>
                <w:sz w:val="21"/>
                <w:szCs w:val="21"/>
                <w:lang w:val="en-US" w:eastAsia="zh-CN"/>
              </w:rPr>
              <w:t>7</w:t>
            </w:r>
            <w:r>
              <w:rPr>
                <w:rFonts w:ascii="宋体" w:eastAsia="宋体" w:hAnsi="宋体" w:cs="宋体" w:hint="eastAsia"/>
                <w:sz w:val="21"/>
                <w:szCs w:val="21"/>
                <w:lang w:val="en-US" w:eastAsia="zh-CN"/>
              </w:rPr>
              <w:t>.体积：长×宽×高：≦55×38×12（cm）。</w:t>
            </w: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c>
          <w:tcPr>
            <w:tcW w:w="497" w:type="pct"/>
          </w:tcPr>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18</w:t>
            </w:r>
            <w:r>
              <w:rPr>
                <w:rFonts w:ascii="宋体" w:eastAsia="宋体" w:hAnsi="宋体" w:cs="宋体" w:hint="eastAsia"/>
                <w:sz w:val="21"/>
                <w:szCs w:val="21"/>
                <w:lang w:val="en-US" w:eastAsia="zh-CN"/>
              </w:rPr>
              <w:t>.单电池负载情况下运行时间≥60分钟，单电池空载运行时间≥150分钟，有电池电量分段指示，低电量黄灯和声音提示后，设备运行时间≥10分钟；低电量红灯和声音报警后，设备运行时间≥5分钟。</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19</w:t>
            </w:r>
            <w:r>
              <w:rPr>
                <w:rFonts w:ascii="宋体" w:eastAsia="宋体" w:hAnsi="宋体" w:cs="宋体" w:hint="eastAsia"/>
                <w:sz w:val="21"/>
                <w:szCs w:val="21"/>
                <w:lang w:val="en-US" w:eastAsia="zh-CN"/>
              </w:rPr>
              <w:t>.具有电池寿命提示。需要更换电池给予提示。</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20</w:t>
            </w:r>
            <w:r>
              <w:rPr>
                <w:rFonts w:ascii="宋体" w:eastAsia="宋体" w:hAnsi="宋体" w:cs="宋体" w:hint="eastAsia"/>
                <w:sz w:val="21"/>
                <w:szCs w:val="21"/>
                <w:lang w:val="en-US" w:eastAsia="zh-CN"/>
              </w:rPr>
              <w:t>.设备内部故障报警功能。设备故障时给予报警提示。</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21</w:t>
            </w:r>
            <w:r>
              <w:rPr>
                <w:rFonts w:ascii="宋体" w:eastAsia="宋体" w:hAnsi="宋体" w:cs="宋体" w:hint="eastAsia"/>
                <w:sz w:val="21"/>
                <w:szCs w:val="21"/>
                <w:lang w:val="en-US" w:eastAsia="zh-CN"/>
              </w:rPr>
              <w:t>.通气时间到达前具有声、光提示，按压次数倒数5次开始声光提示5次；需要辅助通气时，有喇叭声提示救护人员通气及准确掌握通气时间。</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22</w:t>
            </w:r>
            <w:r>
              <w:rPr>
                <w:rFonts w:ascii="宋体" w:eastAsia="宋体" w:hAnsi="宋体" w:cs="宋体" w:hint="eastAsia"/>
                <w:sz w:val="21"/>
                <w:szCs w:val="21"/>
                <w:lang w:val="en-US" w:eastAsia="zh-CN"/>
              </w:rPr>
              <w:t>.紧急暂停功能：急救时发生需暂停情况下，可暂停、停止按压或关闭主机。</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23</w:t>
            </w:r>
            <w:r>
              <w:rPr>
                <w:rFonts w:ascii="宋体" w:eastAsia="宋体" w:hAnsi="宋体" w:cs="宋体" w:hint="eastAsia"/>
                <w:sz w:val="21"/>
                <w:szCs w:val="21"/>
                <w:lang w:val="en-US" w:eastAsia="zh-CN"/>
              </w:rPr>
              <w:t>.当主机发生错误，按压头可自动归位，防止病人受到伤害。</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24</w:t>
            </w:r>
            <w:r>
              <w:rPr>
                <w:rFonts w:ascii="宋体" w:eastAsia="宋体" w:hAnsi="宋体" w:cs="宋体" w:hint="eastAsia"/>
                <w:sz w:val="21"/>
                <w:szCs w:val="21"/>
                <w:lang w:val="en-US" w:eastAsia="zh-CN"/>
              </w:rPr>
              <w:t>.按键式操控面板：设备操控面板界面采用按键式的操控面板，非液晶显示，可避免在户外强光照射下出现盲视，影响参数设定。</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25</w:t>
            </w:r>
            <w:r>
              <w:rPr>
                <w:rFonts w:ascii="宋体" w:eastAsia="宋体" w:hAnsi="宋体" w:cs="宋体" w:hint="eastAsia"/>
                <w:sz w:val="21"/>
                <w:szCs w:val="21"/>
                <w:lang w:val="en-US" w:eastAsia="zh-CN"/>
              </w:rPr>
              <w:t>.胸部厚度测量：设备采用双杆固定结构，双杆具有胸部厚度测量标尺标示，标示范围15-26cm，误差±1cm，可指示患者实际胸厚。</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26</w:t>
            </w:r>
            <w:r>
              <w:rPr>
                <w:rFonts w:ascii="宋体" w:eastAsia="宋体" w:hAnsi="宋体" w:cs="宋体" w:hint="eastAsia"/>
                <w:sz w:val="21"/>
                <w:szCs w:val="21"/>
                <w:lang w:val="en-US" w:eastAsia="zh-CN"/>
              </w:rPr>
              <w:t>.手臂固定方式：具有腕部固定带，能将病人的手臂固定于按压主机两侧的支撑腿上，能加强病人与按压主机的固定，方便病人转运。</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hAnsi="宋体" w:cs="宋体" w:hint="eastAsia"/>
                <w:sz w:val="21"/>
                <w:szCs w:val="21"/>
                <w:lang w:val="en-US" w:eastAsia="zh-CN"/>
              </w:rPr>
              <w:t>27</w:t>
            </w:r>
            <w:r>
              <w:rPr>
                <w:rFonts w:ascii="宋体" w:eastAsia="宋体" w:hAnsi="宋体" w:cs="宋体" w:hint="eastAsia"/>
                <w:sz w:val="21"/>
                <w:szCs w:val="21"/>
                <w:lang w:val="en-US" w:eastAsia="zh-CN"/>
              </w:rPr>
              <w:t>.安装方式：主机可快速上下升降，可根据患者体形差异和操作环境的不同，快速将按压头与患者胸部定位，主机重心可调节，按压稳定。</w:t>
            </w: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c>
          <w:tcPr>
            <w:tcW w:w="497" w:type="pct"/>
          </w:tcPr>
          <w:p>
            <w:pPr>
              <w:pStyle w:val="NoSpacing"/>
              <w:rPr>
                <w:rFonts w:ascii="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6"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0"/>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7"/>
              <w:gridCol w:w="4103"/>
              <w:gridCol w:w="1394"/>
              <w:gridCol w:w="1078"/>
            </w:tblGrid>
            <w:tr>
              <w:tblPrEx>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2"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5"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5" w:type="pct"/>
                <w:jc w:val="center"/>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2" w:type="pct"/>
                  <w:vAlign w:val="center"/>
                </w:tcPr>
                <w:p>
                  <w:pPr>
                    <w:widowControl/>
                    <w:jc w:val="center"/>
                    <w:rPr>
                      <w:rFonts w:ascii="宋体" w:eastAsia="宋体" w:hAnsi="宋体" w:cs="宋体" w:hint="eastAsia"/>
                      <w:spacing w:val="-13"/>
                      <w:kern w:val="0"/>
                      <w:sz w:val="21"/>
                      <w:szCs w:val="21"/>
                    </w:rPr>
                  </w:pPr>
                  <w:r>
                    <w:rPr>
                      <w:rFonts w:ascii="宋体" w:eastAsia="宋体" w:hAnsi="宋体" w:cs="宋体" w:hint="eastAsia"/>
                      <w:sz w:val="21"/>
                      <w:szCs w:val="21"/>
                      <w:lang w:val="en-US" w:eastAsia="zh-CN"/>
                    </w:rPr>
                    <w:t>胸腔按压机主机</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台</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背板（含气道开放垫）</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件</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可充电锂电池</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电源适配器</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2" w:type="pct"/>
                  <w:vAlign w:val="center"/>
                </w:tcPr>
                <w:p>
                  <w:pPr>
                    <w:widowControl/>
                    <w:jc w:val="center"/>
                    <w:rPr>
                      <w:rFonts w:ascii="宋体" w:eastAsia="宋体" w:hAnsi="宋体" w:cs="宋体" w:hint="eastAsia"/>
                      <w:spacing w:val="-1"/>
                      <w:sz w:val="21"/>
                      <w:szCs w:val="21"/>
                    </w:rPr>
                  </w:pPr>
                  <w:r>
                    <w:rPr>
                      <w:rFonts w:ascii="宋体" w:eastAsia="宋体" w:hAnsi="宋体" w:cs="宋体" w:hint="eastAsia"/>
                      <w:sz w:val="21"/>
                      <w:szCs w:val="21"/>
                      <w:lang w:val="en-US" w:eastAsia="zh-CN"/>
                    </w:rPr>
                    <w:t>便携背包</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6.</w:t>
                  </w:r>
                </w:p>
              </w:tc>
              <w:tc>
                <w:tcPr>
                  <w:tcW w:w="2782" w:type="pct"/>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负压吸盘</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4998" w:type="pct"/>
          <w:jc w:val="center"/>
          <w:tblCellMar>
            <w:top w:w="0" w:type="dxa"/>
            <w:left w:w="108" w:type="dxa"/>
            <w:bottom w:w="0" w:type="dxa"/>
            <w:right w:w="108" w:type="dxa"/>
          </w:tblCellMar>
        </w:tblPrEx>
        <w:trPr>
          <w:trHeight w:val="170"/>
          <w:jc w:val="center"/>
        </w:trPr>
        <w:tc>
          <w:tcPr>
            <w:tcW w:w="250" w:type="pct"/>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3</w:t>
            </w:r>
          </w:p>
        </w:tc>
        <w:tc>
          <w:tcPr>
            <w:tcW w:w="293" w:type="pct"/>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站立病床</w:t>
            </w: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1.床面尺寸：≥1980*800mm，床体尺寸：≥2160*940mm</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2.病床既可供承载及护理患者使用，又可用于下肢功能障碍患者站立辅助训练。</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3.床面可垂直升降，高度调节范围：≥400~800mm</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4.床体起立角度可调：垂头位最低角度≤-12°，直立角度0-85°可调；</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5.配有专用足部踏板，供患者站立辅助训练使用，足部踏板静态承重≥3000N；</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6.足部踏板免工具拆装，方便在非训练情况下收纳</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7.背板角度电动调整范围：0~60°</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8.腿板角度电动调整范围：0~25°</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9.腿板手动抬起功能，分七档可调。</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10.配有可折叠式护栏，高度不低于350mm</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11.配有四角防撞滚轮，</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12.床体两侧配有挂钩，方便悬挂尿袋、造瘘袋等</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13.四角配有输液杆安装孔位，方便安装输液杆</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14.床体动态承重≥175kg</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15.防进液等级≥IPX4级</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16.电机数量≥5个</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17.双重供电模式，内部电源可在断电的情况下继续工作</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18.配有紧急开关，在紧急情况下按下可以停止设备工作</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19.配有安全保护带，且保护带数量不少于3条，方便患者各肢体部位固定。</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20.站立安全系统：在执行直立训练操作时，如果床体其他部位未处于最低位，则须先等待其他部位下降至最低位后（自动复位），方可执行整体前倾操作；在床体处于整体前倾状态下，为保证患者安全，可防止背部上升/下降和腿部上升/下降的误操作。</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21.保护带静态承重≥500N</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22.保护带由魔术贴和卡扣组成，宽度≥11.2CM。</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23.双侧护栏内嵌式液面角度尺，实时精准显示床体角度；</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24.自锁式医用脚轮，方便床体移动及固定时，微调床体方向。</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334"/>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63"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w:t>
            </w:r>
            <w:r>
              <w:rPr>
                <w:rFonts w:ascii="宋体" w:hAnsi="宋体" w:cs="宋体" w:hint="eastAsia"/>
                <w:sz w:val="21"/>
                <w:szCs w:val="21"/>
                <w:lang w:val="en-US" w:eastAsia="zh-CN"/>
              </w:rPr>
              <w:t>5</w:t>
            </w:r>
            <w:r>
              <w:rPr>
                <w:rFonts w:ascii="宋体" w:eastAsia="宋体" w:hAnsi="宋体" w:cs="宋体" w:hint="eastAsia"/>
                <w:sz w:val="21"/>
                <w:szCs w:val="21"/>
              </w:rPr>
              <w:t>.床下框离地间距：≥150mm</w:t>
            </w: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c>
          <w:tcPr>
            <w:tcW w:w="497" w:type="pct"/>
          </w:tcPr>
          <w:p>
            <w:pPr>
              <w:pStyle w:val="NoSpacing"/>
              <w:rPr>
                <w:rFonts w:ascii="宋体" w:eastAsia="宋体" w:hAnsi="宋体" w:cs="宋体" w:hint="eastAsia"/>
                <w:sz w:val="21"/>
                <w:szCs w:val="21"/>
              </w:rPr>
            </w:pPr>
          </w:p>
        </w:tc>
      </w:tr>
      <w:tr>
        <w:tblPrEx>
          <w:tblW w:w="4998"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93"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6"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r>
              <w:rPr>
                <w:rFonts w:ascii="宋体" w:hAnsi="宋体" w:cs="宋体" w:hint="eastAsia"/>
                <w:sz w:val="21"/>
                <w:szCs w:val="21"/>
                <w:lang w:val="en-US" w:eastAsia="zh-CN"/>
              </w:rPr>
              <w:t>（每张病床）</w:t>
            </w:r>
            <w:r>
              <w:rPr>
                <w:rFonts w:ascii="宋体" w:eastAsia="宋体" w:hAnsi="宋体" w:cs="宋体" w:hint="eastAsia"/>
                <w:sz w:val="21"/>
                <w:szCs w:val="21"/>
                <w:lang w:val="en-US" w:eastAsia="zh-CN"/>
              </w:rPr>
              <w:t>：</w:t>
            </w:r>
          </w:p>
          <w:tbl>
            <w:tblPr>
              <w:tblStyle w:val="TableNormal0"/>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7"/>
              <w:gridCol w:w="4103"/>
              <w:gridCol w:w="1394"/>
              <w:gridCol w:w="1078"/>
            </w:tblGrid>
            <w:tr>
              <w:tblPrEx>
                <w:tblW w:w="499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2"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5"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5" w:type="pct"/>
                <w:jc w:val="center"/>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2" w:type="pct"/>
                  <w:vAlign w:val="center"/>
                </w:tcPr>
                <w:p>
                  <w:pPr>
                    <w:widowControl/>
                    <w:jc w:val="center"/>
                    <w:rPr>
                      <w:rFonts w:ascii="宋体" w:eastAsia="宋体" w:hAnsi="宋体" w:cs="宋体" w:hint="eastAsia"/>
                      <w:spacing w:val="-13"/>
                      <w:kern w:val="0"/>
                      <w:sz w:val="21"/>
                      <w:szCs w:val="21"/>
                      <w:lang w:val="en-US" w:eastAsia="zh-CN"/>
                    </w:rPr>
                  </w:pPr>
                  <w:r>
                    <w:rPr>
                      <w:rFonts w:ascii="宋体" w:eastAsia="宋体" w:hAnsi="宋体" w:cs="宋体" w:hint="eastAsia"/>
                      <w:spacing w:val="-13"/>
                      <w:kern w:val="0"/>
                      <w:sz w:val="21"/>
                      <w:szCs w:val="21"/>
                      <w:lang w:val="en-US" w:eastAsia="zh-CN"/>
                    </w:rPr>
                    <w:t>电动病床</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张</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脚踏板</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个</w:t>
                  </w:r>
                </w:p>
              </w:tc>
              <w:tc>
                <w:tcPr>
                  <w:tcW w:w="731"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床头挡板</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床尾当帮</w:t>
                  </w:r>
                </w:p>
              </w:tc>
              <w:tc>
                <w:tcPr>
                  <w:tcW w:w="945"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块</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2" w:type="pct"/>
                  <w:vAlign w:val="center"/>
                </w:tcPr>
                <w:p>
                  <w:pPr>
                    <w:widowControl/>
                    <w:jc w:val="center"/>
                    <w:rPr>
                      <w:rFonts w:ascii="宋体" w:eastAsia="宋体" w:hAnsi="宋体" w:cs="宋体" w:hint="eastAsia"/>
                      <w:spacing w:val="-1"/>
                      <w:sz w:val="21"/>
                      <w:szCs w:val="21"/>
                      <w:lang w:val="en-US" w:eastAsia="zh-CN"/>
                    </w:rPr>
                  </w:pPr>
                  <w:r>
                    <w:rPr>
                      <w:rFonts w:ascii="宋体" w:eastAsia="宋体" w:hAnsi="宋体" w:cs="宋体" w:hint="eastAsia"/>
                      <w:spacing w:val="-1"/>
                      <w:sz w:val="21"/>
                      <w:szCs w:val="21"/>
                      <w:lang w:val="en-US" w:eastAsia="zh-CN"/>
                    </w:rPr>
                    <w:t>绑带</w:t>
                  </w:r>
                </w:p>
              </w:tc>
              <w:tc>
                <w:tcPr>
                  <w:tcW w:w="945"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条</w:t>
                  </w:r>
                </w:p>
              </w:tc>
              <w:tc>
                <w:tcPr>
                  <w:tcW w:w="731"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3</w:t>
                  </w:r>
                </w:p>
              </w:tc>
            </w:tr>
            <w:tr>
              <w:tblPrEx>
                <w:tblW w:w="4995"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6.</w:t>
                  </w:r>
                </w:p>
              </w:tc>
              <w:tc>
                <w:tcPr>
                  <w:tcW w:w="2782" w:type="pct"/>
                  <w:vAlign w:val="center"/>
                </w:tcPr>
                <w:p>
                  <w:pPr>
                    <w:widowControl/>
                    <w:jc w:val="cente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输液杆</w:t>
                  </w:r>
                </w:p>
              </w:tc>
              <w:tc>
                <w:tcPr>
                  <w:tcW w:w="945"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根</w:t>
                  </w:r>
                </w:p>
              </w:tc>
              <w:tc>
                <w:tcPr>
                  <w:tcW w:w="731" w:type="pct"/>
                  <w:vAlign w:val="center"/>
                </w:tcPr>
                <w:p>
                  <w:pPr>
                    <w:adjustRightInd w:val="0"/>
                    <w:snapToGrid w:val="0"/>
                    <w:spacing w:line="360" w:lineRule="auto"/>
                    <w:ind w:left="583" w:leftChars="0"/>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4" w:name="_Hlk72095977"/>
      <w:r>
        <w:rPr>
          <w:rFonts w:hint="eastAsia"/>
          <w:sz w:val="21"/>
          <w:szCs w:val="21"/>
        </w:rPr>
        <w:t>证明资料【如有的话，提供的证明资料应统一编号（排序），格式自定】</w:t>
      </w:r>
      <w:bookmarkEnd w:id="74"/>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5" w:name="_Hlk72094407"/>
      <w:r>
        <w:rPr>
          <w:rFonts w:hint="eastAsia"/>
          <w:b w:val="0"/>
          <w:bCs/>
          <w:sz w:val="21"/>
          <w:szCs w:val="21"/>
        </w:rPr>
        <w:t>对应“用户需求书”中的“技术要求”章节</w:t>
      </w:r>
      <w:bookmarkEnd w:id="75"/>
      <w:r>
        <w:rPr>
          <w:rFonts w:hint="eastAsia"/>
          <w:b w:val="0"/>
          <w:bCs/>
          <w:sz w:val="21"/>
          <w:szCs w:val="21"/>
        </w:rPr>
        <w:t>相关内容。</w:t>
      </w:r>
    </w:p>
    <w:p>
      <w:pPr>
        <w:pStyle w:val="NormalWeb"/>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ascii="Times New Roman" w:eastAsia="宋体" w:hAnsi="Times New Roman" w:cs="Times New Roman" w:hint="eastAsia"/>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ascii="Times New Roman" w:eastAsia="宋体" w:hAnsi="Times New Roman" w:cs="Times New Roman" w:hint="eastAsia"/>
          <w:b w:val="0"/>
          <w:bCs/>
          <w:color w:val="FF0000"/>
          <w:kern w:val="2"/>
          <w:sz w:val="21"/>
          <w:szCs w:val="21"/>
          <w:u w:val="none"/>
          <w:lang w:val="en-US" w:eastAsia="zh-CN"/>
        </w:rPr>
        <w:t>“投标技术响应”必须与</w:t>
      </w:r>
      <w:r>
        <w:rPr>
          <w:rFonts w:cs="Times New Roman" w:hint="eastAsia"/>
          <w:b w:val="0"/>
          <w:bCs/>
          <w:color w:val="FF0000"/>
          <w:kern w:val="2"/>
          <w:sz w:val="21"/>
          <w:szCs w:val="21"/>
          <w:u w:val="none"/>
          <w:lang w:val="en-US" w:eastAsia="zh-CN"/>
        </w:rPr>
        <w:t>所投产品</w:t>
      </w:r>
      <w:r>
        <w:rPr>
          <w:rFonts w:ascii="Times New Roman" w:eastAsia="宋体" w:hAnsi="Times New Roman" w:cs="Times New Roman" w:hint="eastAsia"/>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ascii="Times New Roman" w:eastAsia="宋体" w:hAnsi="Times New Roman" w:cs="Times New Roman" w:hint="eastAsia"/>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6" w:name="_Hlk72158270"/>
      <w:r>
        <w:rPr>
          <w:rFonts w:hint="eastAsia"/>
          <w:b w:val="0"/>
          <w:bCs/>
          <w:sz w:val="21"/>
          <w:szCs w:val="21"/>
        </w:rPr>
        <w:t>“偏离情况”</w:t>
      </w:r>
      <w:bookmarkEnd w:id="76"/>
      <w:r>
        <w:rPr>
          <w:rFonts w:hint="eastAsia"/>
          <w:b w:val="0"/>
          <w:bCs/>
          <w:sz w:val="21"/>
          <w:szCs w:val="21"/>
        </w:rPr>
        <w:t>一栏填写如实填写“正偏离”、“负偏离”或“无偏离”，其中：</w:t>
      </w:r>
      <w:bookmarkStart w:id="77" w:name="_Hlk72093866"/>
      <w:r>
        <w:rPr>
          <w:rFonts w:hint="eastAsia"/>
          <w:b w:val="0"/>
          <w:bCs/>
          <w:sz w:val="21"/>
          <w:szCs w:val="21"/>
        </w:rPr>
        <w:t>“正偏离”表示“投标响应优于招标技术要求”，“负偏离”表示“投标响应不满足招标技术要求”，“无偏离”表示“投标响应与招标技术要求一致”</w:t>
      </w:r>
      <w:bookmarkEnd w:id="77"/>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eastAsia="宋体" w:hint="eastAsia"/>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ascii="Times New Roman" w:eastAsia="宋体" w:hAnsi="Times New Roman" w:cs="Times New Roman" w:hint="eastAsia"/>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8" w:name="_Hlk72096106"/>
      <w:r>
        <w:rPr>
          <w:rFonts w:hint="eastAsia"/>
          <w:b w:val="0"/>
          <w:bCs/>
          <w:sz w:val="21"/>
          <w:szCs w:val="21"/>
        </w:rPr>
        <w:t>证明资料条款响应要求</w:t>
      </w:r>
      <w:bookmarkEnd w:id="78"/>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9"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0" w:name="_Hlk73558164"/>
      <w:r>
        <w:rPr>
          <w:rFonts w:hint="eastAsia"/>
          <w:b w:val="0"/>
          <w:bCs/>
          <w:sz w:val="21"/>
          <w:szCs w:val="21"/>
        </w:rPr>
        <w:t>且投标人在“偏离情况”一栏响应为“正偏离”或“无偏离”的，经评审委员会认定，将判定为负偏离。</w:t>
      </w:r>
      <w:bookmarkEnd w:id="79"/>
      <w:bookmarkEnd w:id="80"/>
    </w:p>
    <w:p>
      <w:pPr>
        <w:ind w:firstLine="420" w:firstLineChars="200"/>
        <w:rPr>
          <w:b w:val="0"/>
          <w:bCs/>
          <w:sz w:val="21"/>
          <w:szCs w:val="21"/>
        </w:rPr>
      </w:pPr>
      <w:r>
        <w:rPr>
          <w:rFonts w:hint="eastAsia"/>
          <w:b w:val="0"/>
          <w:bCs/>
          <w:sz w:val="21"/>
          <w:szCs w:val="21"/>
        </w:rPr>
        <w:t>6、</w:t>
      </w:r>
      <w:bookmarkStart w:id="81" w:name="_Hlk72096137"/>
      <w:r>
        <w:rPr>
          <w:rFonts w:hint="eastAsia"/>
          <w:b w:val="0"/>
          <w:bCs/>
          <w:sz w:val="21"/>
          <w:szCs w:val="21"/>
        </w:rPr>
        <w:t>表后“证明资料”部分内容的编制</w:t>
      </w:r>
      <w:bookmarkEnd w:id="81"/>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2" w:name="_Hlk73558180"/>
      <w:r>
        <w:rPr>
          <w:rFonts w:hint="eastAsia"/>
          <w:b w:val="0"/>
          <w:bCs/>
          <w:sz w:val="21"/>
          <w:szCs w:val="21"/>
        </w:rPr>
        <w:t>未按照招标文件要求在表后放置证明材料的供应商将承担不利后果，经评审委员会认定，相关技术要求将判定为负偏离。</w:t>
      </w:r>
      <w:bookmarkEnd w:id="82"/>
    </w:p>
    <w:p>
      <w:pPr>
        <w:ind w:firstLine="420" w:firstLineChars="200"/>
        <w:rPr>
          <w:b w:val="0"/>
          <w:bCs/>
          <w:sz w:val="21"/>
          <w:szCs w:val="21"/>
        </w:rPr>
      </w:pPr>
      <w:r>
        <w:rPr>
          <w:rFonts w:hint="eastAsia"/>
          <w:b w:val="0"/>
          <w:bCs/>
          <w:sz w:val="21"/>
          <w:szCs w:val="21"/>
        </w:rPr>
        <w:t>7、</w:t>
      </w:r>
      <w:bookmarkStart w:id="83" w:name="_Hlk72096176"/>
      <w:r>
        <w:rPr>
          <w:rFonts w:hint="eastAsia"/>
          <w:b w:val="0"/>
          <w:bCs/>
          <w:sz w:val="21"/>
          <w:szCs w:val="21"/>
        </w:rPr>
        <w:t>证明资料的形式及其它具体要求</w:t>
      </w:r>
      <w:bookmarkEnd w:id="83"/>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4"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4"/>
    </w:p>
    <w:p>
      <w:pPr>
        <w:ind w:firstLine="420" w:firstLineChars="200"/>
        <w:rPr>
          <w:b/>
          <w:sz w:val="24"/>
        </w:rPr>
      </w:pPr>
    </w:p>
    <w:p>
      <w:pPr>
        <w:rPr>
          <w:sz w:val="24"/>
        </w:rPr>
      </w:pPr>
      <w:r>
        <w:rPr>
          <w:sz w:val="24"/>
        </w:rPr>
        <w:br w:type="page"/>
      </w:r>
    </w:p>
    <w:p>
      <w:pPr>
        <w:pStyle w:val="Heading3"/>
        <w:jc w:val="center"/>
        <w:rPr>
          <w:rFonts w:ascii="宋体" w:hAnsi="宋体"/>
        </w:rPr>
      </w:pPr>
      <w:r>
        <w:rPr>
          <w:rFonts w:ascii="黑体" w:eastAsia="黑体" w:hint="eastAsia"/>
          <w:b w:val="0"/>
          <w:bCs w:val="0"/>
          <w:sz w:val="24"/>
          <w:szCs w:val="20"/>
          <w:lang w:val="en-US" w:eastAsia="zh-CN"/>
        </w:rPr>
        <w:t>六</w:t>
      </w:r>
      <w:r>
        <w:rPr>
          <w:rFonts w:ascii="黑体" w:eastAsia="黑体" w:hint="eastAsia"/>
          <w:b w:val="0"/>
          <w:bCs w:val="0"/>
          <w:sz w:val="24"/>
          <w:szCs w:val="20"/>
        </w:rPr>
        <w:t>、</w:t>
      </w:r>
      <w:bookmarkStart w:id="85" w:name="_Hlk72260576"/>
      <w:r>
        <w:rPr>
          <w:rFonts w:ascii="黑体" w:eastAsia="黑体" w:hAnsi="宋体" w:cs="Times New Roman" w:hint="eastAsia"/>
          <w:b w:val="0"/>
          <w:bCs w:val="0"/>
          <w:kern w:val="2"/>
          <w:sz w:val="24"/>
          <w:szCs w:val="20"/>
          <w:lang w:val="en-US" w:eastAsia="zh-CN" w:bidi="ar-SA"/>
        </w:rPr>
        <w:t>项目服务方案</w:t>
      </w:r>
    </w:p>
    <w:p>
      <w:pPr>
        <w:jc w:val="center"/>
        <w:rPr>
          <w:rFonts w:ascii="黑体" w:eastAsia="黑体" w:hint="eastAsia"/>
          <w:b w:val="0"/>
          <w:bCs w:val="0"/>
          <w:sz w:val="24"/>
          <w:szCs w:val="20"/>
        </w:rPr>
      </w:pPr>
      <w:r>
        <w:rPr>
          <w:rFonts w:ascii="黑体" w:eastAsia="黑体" w:hint="eastAsia"/>
          <w:b w:val="0"/>
          <w:bCs w:val="0"/>
          <w:sz w:val="24"/>
          <w:szCs w:val="20"/>
          <w:lang w:val="en-US" w:eastAsia="zh-CN"/>
        </w:rPr>
        <w:t>七</w:t>
      </w:r>
      <w:r>
        <w:rPr>
          <w:rFonts w:ascii="黑体" w:eastAsia="黑体" w:hint="eastAsia"/>
          <w:b w:val="0"/>
          <w:bCs w:val="0"/>
          <w:sz w:val="24"/>
          <w:szCs w:val="20"/>
        </w:rPr>
        <w:t>、技术保障措施</w:t>
      </w:r>
    </w:p>
    <w:p>
      <w:pPr>
        <w:jc w:val="center"/>
        <w:rPr>
          <w:rFonts w:ascii="黑体" w:eastAsia="黑体" w:hint="eastAsia"/>
          <w:b w:val="0"/>
          <w:bCs w:val="0"/>
          <w:sz w:val="24"/>
          <w:szCs w:val="20"/>
          <w:lang w:val="en-US" w:eastAsia="zh-CN"/>
        </w:rPr>
      </w:pPr>
    </w:p>
    <w:p>
      <w:p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八</w:t>
      </w:r>
      <w:r>
        <w:rPr>
          <w:rFonts w:ascii="黑体" w:eastAsia="黑体" w:hint="eastAsia"/>
          <w:b w:val="0"/>
          <w:bCs w:val="0"/>
          <w:sz w:val="24"/>
          <w:szCs w:val="20"/>
        </w:rPr>
        <w:t>、</w:t>
      </w:r>
      <w:r>
        <w:rPr>
          <w:rFonts w:ascii="黑体" w:eastAsia="黑体" w:hint="eastAsia"/>
          <w:b w:val="0"/>
          <w:bCs w:val="0"/>
          <w:sz w:val="24"/>
          <w:szCs w:val="20"/>
          <w:lang w:val="en-US" w:eastAsia="zh-CN"/>
        </w:rPr>
        <w:t>同类业绩</w:t>
      </w:r>
    </w:p>
    <w:p>
      <w:pPr>
        <w:pStyle w:val="BodyText"/>
        <w:rPr>
          <w:rFonts w:hint="eastAsia"/>
          <w:lang w:val="en-US" w:eastAsia="zh-CN"/>
        </w:rPr>
      </w:pPr>
    </w:p>
    <w:p>
      <w:pPr>
        <w:pStyle w:val="Heading3"/>
        <w:jc w:val="center"/>
        <w:rPr>
          <w:rFonts w:ascii="黑体" w:eastAsia="黑体"/>
          <w:b w:val="0"/>
          <w:bCs w:val="0"/>
          <w:sz w:val="24"/>
          <w:szCs w:val="20"/>
        </w:rPr>
      </w:pPr>
      <w:r>
        <w:rPr>
          <w:rFonts w:ascii="黑体" w:eastAsia="黑体" w:hint="eastAsia"/>
          <w:b w:val="0"/>
          <w:bCs w:val="0"/>
          <w:sz w:val="24"/>
          <w:szCs w:val="20"/>
          <w:lang w:val="en-US" w:eastAsia="zh-CN"/>
        </w:rPr>
        <w:t>九</w:t>
      </w:r>
      <w:r>
        <w:rPr>
          <w:rFonts w:ascii="黑体" w:eastAsia="黑体" w:hint="eastAsia"/>
          <w:b w:val="0"/>
          <w:bCs w:val="0"/>
          <w:sz w:val="24"/>
          <w:szCs w:val="20"/>
        </w:rPr>
        <w:t>、</w:t>
      </w:r>
      <w:bookmarkStart w:id="86" w:name="_Hlk72062872"/>
      <w:r>
        <w:rPr>
          <w:rFonts w:ascii="黑体" w:eastAsia="黑体" w:hint="eastAsia"/>
          <w:b w:val="0"/>
          <w:bCs w:val="0"/>
          <w:sz w:val="24"/>
          <w:szCs w:val="20"/>
        </w:rPr>
        <w:t>投标人认为需要加以说明的其他内容</w:t>
      </w:r>
      <w:bookmarkEnd w:id="86"/>
    </w:p>
    <w:p>
      <w:pPr>
        <w:widowControl/>
        <w:jc w:val="center"/>
        <w:rPr>
          <w:rFonts w:ascii="黑体" w:eastAsia="黑体" w:hAnsi="宋体"/>
          <w:kern w:val="0"/>
          <w:sz w:val="24"/>
          <w:szCs w:val="20"/>
        </w:rPr>
      </w:pPr>
      <w:bookmarkEnd w:id="85"/>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pPr>
        <w:widowControl/>
        <w:jc w:val="center"/>
        <w:rPr>
          <w:rFonts w:ascii="黑体" w:eastAsia="黑体" w:hAnsi="宋体"/>
          <w:kern w:val="0"/>
          <w:sz w:val="24"/>
          <w:szCs w:val="20"/>
        </w:rPr>
      </w:pPr>
    </w:p>
    <w:p>
      <w:pPr>
        <w:spacing w:before="0" w:beforeLines="0" w:after="120" w:afterLines="50" w:line="360" w:lineRule="exact"/>
        <w:ind w:firstLine="420" w:firstLineChars="200"/>
        <w:rPr>
          <w:rFonts w:ascii="宋体" w:eastAsia="宋体" w:hAnsi="宋体" w:cs="宋体" w:hint="eastAsia"/>
          <w:b/>
          <w:bCs/>
          <w:color w:val="auto"/>
          <w:sz w:val="21"/>
          <w:szCs w:val="21"/>
          <w:lang w:val="en-US" w:eastAsia="zh-CN"/>
        </w:rPr>
      </w:pP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78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20" w:beforeLines="5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一、</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（一）通过转让或者租借等方式从其他单位获取资格或者资质证书投标的</w:t>
      </w:r>
      <w:r>
        <w:rPr>
          <w:rFonts w:ascii="宋体" w:eastAsia="宋体" w:hAnsi="宋体" w:cs="宋体" w:hint="eastAsia"/>
          <w:color w:val="auto"/>
          <w:szCs w:val="21"/>
          <w:highlight w:val="none"/>
        </w:rPr>
        <w:t>。</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（三）项目负责人或者主要技术人员不是本单位人员的。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（四）投标保证金不是从投标供应商基本账户转出的。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（五）其他隐瞒真实情况、提供虚假资料的行为。</w:t>
      </w:r>
    </w:p>
    <w:p>
      <w:pPr>
        <w:spacing w:beforeLines="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二、</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（四）不同投标供应商的投标文件或部分投标文件相互混装。</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（五）不同投标供应商的投标文件内容存在非正常一致。</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（七）不同投标人的投标报价呈规律性差异。</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（九）主管部门依照法律、法规认定的其他情形。</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三、</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已充分知悉下列情形</w:t>
      </w:r>
      <w:r>
        <w:rPr>
          <w:rFonts w:ascii="宋体" w:eastAsia="宋体" w:hAnsi="宋体" w:cs="宋体" w:hint="eastAsia"/>
          <w:b/>
          <w:color w:val="auto"/>
          <w:szCs w:val="21"/>
          <w:lang w:eastAsia="zh-CN"/>
        </w:rPr>
        <w:t>存在</w:t>
      </w:r>
      <w:r>
        <w:rPr>
          <w:rFonts w:ascii="宋体" w:eastAsia="宋体" w:hAnsi="宋体" w:cs="宋体" w:hint="eastAsia"/>
          <w:b/>
          <w:color w:val="auto"/>
          <w:szCs w:val="21"/>
        </w:rPr>
        <w:t>法律风险，在投标前已对相关风险事项进行排</w:t>
      </w:r>
      <w:r>
        <w:rPr>
          <w:rFonts w:ascii="宋体" w:eastAsia="宋体" w:hAnsi="宋体" w:cs="宋体" w:hint="eastAsia"/>
          <w:b/>
          <w:color w:val="auto"/>
          <w:szCs w:val="21"/>
          <w:highlight w:val="none"/>
        </w:rPr>
        <w:t>查。</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color w:val="auto"/>
          <w:szCs w:val="21"/>
        </w:rPr>
        <w:t>（一）对于从其他主体获取的投标资料，</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应审慎核查，确保</w:t>
      </w:r>
      <w:r>
        <w:rPr>
          <w:rFonts w:ascii="宋体" w:eastAsia="宋体" w:hAnsi="宋体" w:cs="宋体" w:hint="eastAsia"/>
          <w:color w:val="auto"/>
          <w:szCs w:val="21"/>
          <w:lang w:eastAsia="zh-CN"/>
        </w:rPr>
        <w:t>其</w:t>
      </w:r>
      <w:r>
        <w:rPr>
          <w:rFonts w:ascii="宋体" w:eastAsia="宋体" w:hAnsi="宋体" w:cs="宋体" w:hint="eastAsia"/>
          <w:color w:val="auto"/>
          <w:szCs w:val="21"/>
        </w:rPr>
        <w:t>真实性。</w:t>
      </w:r>
      <w:r>
        <w:rPr>
          <w:rFonts w:ascii="宋体" w:eastAsia="宋体" w:hAnsi="宋体" w:cs="宋体" w:hint="eastAsia"/>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szCs w:val="21"/>
          <w:lang w:eastAsia="zh-CN"/>
        </w:rPr>
        <w:t>处理</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w:t>
      </w:r>
      <w:r>
        <w:rPr>
          <w:rFonts w:ascii="宋体" w:eastAsia="宋体" w:hAnsi="宋体" w:cs="宋体" w:hint="eastAsia"/>
          <w:color w:val="auto"/>
          <w:szCs w:val="21"/>
          <w:lang w:eastAsia="zh-CN"/>
        </w:rPr>
        <w:t>三</w:t>
      </w:r>
      <w:r>
        <w:rPr>
          <w:rFonts w:ascii="宋体" w:eastAsia="宋体" w:hAnsi="宋体" w:cs="宋体" w:hint="eastAsia"/>
          <w:color w:val="auto"/>
          <w:szCs w:val="21"/>
        </w:rPr>
        <w:t>）</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对投标电子密钥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负有妥善保管、及时变更和续期等主体责任</w:t>
      </w:r>
      <w:r>
        <w:rPr>
          <w:rFonts w:ascii="宋体" w:eastAsia="宋体" w:hAnsi="宋体" w:cs="宋体" w:hint="eastAsia"/>
          <w:color w:val="auto"/>
          <w:szCs w:val="21"/>
          <w:lang w:eastAsia="zh-CN"/>
        </w:rPr>
        <w:t>；</w:t>
      </w:r>
      <w:r>
        <w:rPr>
          <w:rFonts w:ascii="宋体" w:eastAsia="宋体" w:hAnsi="宋体" w:cs="宋体" w:hint="eastAsia"/>
          <w:color w:val="auto"/>
          <w:szCs w:val="21"/>
        </w:rPr>
        <w:t>使用电子密钥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在深圳政府采购网站进行的活动，均具有法律效力，须承担相应的法律后果。</w:t>
      </w:r>
      <w:r>
        <w:rPr>
          <w:rFonts w:ascii="宋体" w:eastAsia="宋体" w:hAnsi="宋体" w:cs="宋体" w:hint="eastAsia"/>
          <w:color w:val="auto"/>
          <w:szCs w:val="21"/>
          <w:lang w:eastAsia="zh-CN"/>
        </w:rPr>
        <w:t>若</w:t>
      </w:r>
      <w:r>
        <w:rPr>
          <w:rFonts w:ascii="宋体" w:eastAsia="宋体" w:hAnsi="宋体" w:cs="宋体" w:hint="eastAsia"/>
          <w:b/>
          <w:bCs/>
          <w:color w:val="auto"/>
          <w:szCs w:val="21"/>
        </w:rPr>
        <w:t>擅自将投标密钥</w:t>
      </w:r>
      <w:r>
        <w:rPr>
          <w:rFonts w:ascii="宋体" w:eastAsia="宋体" w:hAnsi="宋体" w:cs="宋体" w:hint="eastAsia"/>
          <w:b/>
          <w:bCs/>
          <w:color w:val="auto"/>
          <w:szCs w:val="21"/>
          <w:lang w:eastAsia="zh-CN"/>
        </w:rPr>
        <w:t>或</w:t>
      </w:r>
      <w:r>
        <w:rPr>
          <w:rFonts w:ascii="宋体" w:eastAsia="宋体" w:hAnsi="宋体" w:cs="宋体" w:hint="eastAsia"/>
          <w:b/>
          <w:bCs/>
          <w:color w:val="auto"/>
          <w:szCs w:val="21"/>
          <w:lang w:val="en-US" w:eastAsia="zh-CN"/>
        </w:rPr>
        <w:t>电子营业执照</w:t>
      </w:r>
      <w:r>
        <w:rPr>
          <w:rFonts w:ascii="宋体" w:eastAsia="宋体" w:hAnsi="宋体" w:cs="宋体" w:hint="eastAsia"/>
          <w:b/>
          <w:bCs/>
          <w:color w:val="auto"/>
          <w:szCs w:val="21"/>
        </w:rPr>
        <w:t>出借他人使用所造成的法律后果，由</w:t>
      </w:r>
      <w:r>
        <w:rPr>
          <w:rFonts w:ascii="宋体" w:eastAsia="宋体" w:hAnsi="宋体" w:cs="宋体" w:hint="eastAsia"/>
          <w:b/>
          <w:bCs/>
          <w:color w:val="auto"/>
          <w:szCs w:val="21"/>
          <w:lang w:eastAsia="zh-CN"/>
        </w:rPr>
        <w:t>我</w:t>
      </w:r>
      <w:r>
        <w:rPr>
          <w:rFonts w:ascii="宋体" w:eastAsia="宋体" w:hAnsi="宋体" w:cs="宋体" w:hint="eastAsia"/>
          <w:b/>
          <w:bCs/>
          <w:color w:val="auto"/>
          <w:szCs w:val="21"/>
          <w:lang w:val="en-US" w:eastAsia="zh-CN"/>
        </w:rPr>
        <w:t>单位</w:t>
      </w:r>
      <w:r>
        <w:rPr>
          <w:rFonts w:ascii="宋体" w:eastAsia="宋体" w:hAnsi="宋体" w:cs="宋体" w:hint="eastAsia"/>
          <w:b/>
          <w:bCs/>
          <w:color w:val="auto"/>
          <w:szCs w:val="21"/>
        </w:rPr>
        <w:t>自行承担</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四、</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已充分知悉政府采购违法、违规行为的法律</w:t>
      </w:r>
      <w:r>
        <w:rPr>
          <w:rFonts w:ascii="宋体" w:eastAsia="宋体" w:hAnsi="宋体" w:cs="宋体" w:hint="eastAsia"/>
          <w:b/>
          <w:color w:val="auto"/>
          <w:szCs w:val="21"/>
          <w:highlight w:val="none"/>
        </w:rPr>
        <w:t>后果。</w:t>
      </w:r>
    </w:p>
    <w:p>
      <w:pPr>
        <w:spacing w:beforeLines="0" w:line="340" w:lineRule="exact"/>
        <w:ind w:firstLine="420" w:firstLineChars="200"/>
        <w:rPr>
          <w:rFonts w:ascii="宋体" w:eastAsia="宋体" w:hAnsi="宋体" w:cs="宋体" w:hint="eastAsia"/>
          <w:color w:val="auto"/>
          <w:szCs w:val="21"/>
          <w:highlight w:val="none"/>
        </w:rPr>
      </w:pPr>
      <w:r>
        <w:rPr>
          <w:rFonts w:ascii="宋体" w:eastAsia="宋体" w:hAnsi="宋体" w:cs="宋体" w:hint="eastAsia"/>
          <w:color w:val="auto"/>
          <w:szCs w:val="21"/>
        </w:rPr>
        <w:t>经查实，若</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color w:val="auto"/>
          <w:szCs w:val="21"/>
          <w:highlight w:val="none"/>
        </w:rPr>
        <w:t>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szCs w:val="21"/>
          <w:highlight w:val="yellow"/>
        </w:rPr>
      </w:pPr>
      <w:r>
        <w:rPr>
          <w:rFonts w:ascii="宋体" w:eastAsia="宋体" w:hAnsi="宋体" w:cs="宋体" w:hint="eastAsia"/>
          <w:color w:val="auto"/>
          <w:szCs w:val="21"/>
          <w:highlight w:val="yellow"/>
        </w:rPr>
        <w:t>以下文字请投标供应商抄写并确认：“</w:t>
      </w:r>
      <w:r>
        <w:rPr>
          <w:rFonts w:ascii="宋体" w:eastAsia="宋体" w:hAnsi="宋体" w:cs="宋体" w:hint="eastAsia"/>
          <w:color w:val="auto"/>
          <w:szCs w:val="21"/>
          <w:highlight w:val="yellow"/>
          <w:lang w:eastAsia="zh-CN"/>
        </w:rPr>
        <w:t>我</w:t>
      </w:r>
      <w:r>
        <w:rPr>
          <w:rFonts w:ascii="宋体" w:eastAsia="宋体" w:hAnsi="宋体" w:cs="宋体" w:hint="eastAsia"/>
          <w:color w:val="auto"/>
          <w:szCs w:val="21"/>
          <w:highlight w:val="yellow"/>
          <w:lang w:val="en-US" w:eastAsia="zh-CN"/>
        </w:rPr>
        <w:t>单位</w:t>
      </w:r>
      <w:r>
        <w:rPr>
          <w:rFonts w:ascii="宋体" w:eastAsia="宋体" w:hAnsi="宋体" w:cs="宋体" w:hint="eastAsia"/>
          <w:color w:val="auto"/>
          <w:szCs w:val="21"/>
          <w:highlight w:val="yellow"/>
        </w:rPr>
        <w:t>已仔细阅读《政府采购违法行为风险知悉确认书》，充分知悉违法行为的法律后果，并承诺将严谨、诚信、依法依规参与政府采购活动”。</w:t>
      </w:r>
    </w:p>
    <w:tbl>
      <w:tblPr>
        <w:tblStyle w:val="112"/>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eastAsia="zh-CN"/>
        </w:rPr>
        <w:t>单位</w:t>
      </w:r>
      <w:r>
        <w:rPr>
          <w:rFonts w:ascii="宋体" w:eastAsia="宋体" w:hAnsi="宋体" w:cs="宋体" w:hint="eastAsia"/>
          <w:color w:val="auto"/>
          <w:spacing w:val="-4"/>
          <w:kern w:val="0"/>
          <w:szCs w:val="21"/>
        </w:rPr>
        <w:t>负责人签名：</w:t>
      </w:r>
      <w:r>
        <w:rPr>
          <w:rFonts w:ascii="宋体" w:eastAsia="宋体" w:hAnsi="宋体" w:cs="宋体" w:hint="eastAsia"/>
          <w:color w:val="auto"/>
          <w:spacing w:val="-4"/>
          <w:kern w:val="0"/>
          <w:szCs w:val="21"/>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val="en-US" w:eastAsia="zh-CN"/>
        </w:rPr>
        <w:t xml:space="preserve">                                 </w:t>
      </w:r>
      <w:r>
        <w:rPr>
          <w:rFonts w:ascii="宋体" w:eastAsia="宋体" w:hAnsi="宋体" w:cs="宋体" w:hint="eastAsia"/>
          <w:color w:val="auto"/>
          <w:spacing w:val="-4"/>
          <w:kern w:val="0"/>
          <w:szCs w:val="21"/>
          <w:lang w:eastAsia="zh-CN"/>
        </w:rPr>
        <w:t>（加盖</w:t>
      </w:r>
      <w:r>
        <w:rPr>
          <w:rFonts w:ascii="宋体" w:eastAsia="宋体" w:hAnsi="宋体" w:cs="宋体" w:hint="eastAsia"/>
          <w:color w:val="auto"/>
          <w:spacing w:val="-4"/>
          <w:kern w:val="0"/>
          <w:szCs w:val="21"/>
        </w:rPr>
        <w:t>公章</w:t>
      </w:r>
      <w:r>
        <w:rPr>
          <w:rFonts w:ascii="宋体" w:eastAsia="宋体" w:hAnsi="宋体" w:cs="宋体" w:hint="eastAsia"/>
          <w:color w:val="auto"/>
          <w:spacing w:val="-4"/>
          <w:kern w:val="0"/>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rPr>
        <w:t xml:space="preserve">     日期：</w:t>
      </w:r>
      <w:r>
        <w:rPr>
          <w:rFonts w:ascii="宋体" w:eastAsia="宋体" w:hAnsi="宋体" w:cs="宋体" w:hint="eastAsia"/>
          <w:color w:val="auto"/>
          <w:spacing w:val="-4"/>
          <w:kern w:val="0"/>
          <w:szCs w:val="21"/>
          <w:u w:val="single"/>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auto"/>
          <w:spacing w:val="-4"/>
          <w:kern w:val="0"/>
          <w:szCs w:val="21"/>
          <w:highlight w:val="none"/>
        </w:rPr>
      </w:pPr>
      <w:r>
        <w:rPr>
          <w:rFonts w:ascii="宋体" w:eastAsia="宋体" w:hAnsi="宋体" w:cs="宋体" w:hint="eastAsia"/>
          <w:b/>
          <w:bCs/>
          <w:color w:val="auto"/>
          <w:spacing w:val="-4"/>
          <w:kern w:val="0"/>
          <w:szCs w:val="21"/>
        </w:rPr>
        <w:t>注：</w:t>
      </w:r>
      <w:r>
        <w:rPr>
          <w:rFonts w:ascii="宋体" w:eastAsia="宋体" w:hAnsi="宋体" w:cs="宋体" w:hint="eastAsia"/>
          <w:b/>
          <w:bCs/>
          <w:color w:val="auto"/>
          <w:spacing w:val="-4"/>
          <w:kern w:val="0"/>
          <w:szCs w:val="21"/>
          <w:lang w:val="en-US" w:eastAsia="zh-CN"/>
        </w:rPr>
        <w:t>1.</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》需由</w:t>
      </w:r>
      <w:r>
        <w:rPr>
          <w:rFonts w:ascii="宋体" w:eastAsia="宋体" w:hAnsi="宋体" w:cs="宋体" w:hint="eastAsia"/>
          <w:b/>
          <w:bCs/>
          <w:color w:val="auto"/>
          <w:spacing w:val="-4"/>
          <w:kern w:val="0"/>
          <w:szCs w:val="21"/>
        </w:rPr>
        <w:t>投标供应商负责人签字并加盖单位公章后，扫描上传至投标文件</w:t>
      </w:r>
      <w:r>
        <w:rPr>
          <w:rFonts w:ascii="宋体" w:eastAsia="宋体" w:hAnsi="宋体" w:cs="宋体" w:hint="eastAsia"/>
          <w:b/>
          <w:bCs/>
          <w:color w:val="auto"/>
          <w:spacing w:val="-4"/>
          <w:kern w:val="0"/>
          <w:szCs w:val="21"/>
          <w:highlight w:val="none"/>
        </w:rPr>
        <w:t>一并提交。</w:t>
      </w:r>
    </w:p>
    <w:p>
      <w:pPr>
        <w:pStyle w:val="NoSpacing"/>
        <w:rPr>
          <w:rFonts w:ascii="Calibri" w:eastAsia="宋体" w:hAnsi="Calibri" w:cs="Times New Roman" w:hint="default"/>
          <w:kern w:val="2"/>
          <w:sz w:val="21"/>
          <w:szCs w:val="22"/>
          <w:lang w:val="en-US" w:eastAsia="zh-CN"/>
        </w:rPr>
      </w:pPr>
      <w:r>
        <w:rPr>
          <w:rFonts w:ascii="宋体" w:hAnsi="宋体" w:cs="宋体" w:hint="eastAsia"/>
          <w:b/>
          <w:bCs/>
          <w:color w:val="auto"/>
          <w:spacing w:val="-4"/>
          <w:kern w:val="0"/>
          <w:szCs w:val="21"/>
          <w:highlight w:val="none"/>
          <w:lang w:val="en-US" w:eastAsia="zh-CN"/>
        </w:rPr>
        <w:t>2.</w:t>
      </w:r>
      <w:r>
        <w:rPr>
          <w:rFonts w:ascii="宋体" w:hAnsi="宋体" w:cs="宋体" w:hint="eastAsia"/>
          <w:b/>
          <w:bCs/>
          <w:color w:val="auto"/>
          <w:spacing w:val="-4"/>
          <w:kern w:val="0"/>
          <w:szCs w:val="21"/>
          <w:highlight w:val="none"/>
        </w:rPr>
        <w:t>根据《深圳市财政局关于在采购文件及深圳政府采购智慧平台增设供应商投标特别警示条款等事宜的通知》（深财购〔2025〕7号）</w:t>
      </w:r>
      <w:r>
        <w:rPr>
          <w:rFonts w:ascii="宋体" w:hAnsi="宋体" w:cs="宋体" w:hint="eastAsia"/>
          <w:b/>
          <w:bCs/>
          <w:color w:val="auto"/>
          <w:spacing w:val="-4"/>
          <w:kern w:val="0"/>
          <w:szCs w:val="21"/>
          <w:highlight w:val="none"/>
          <w:lang w:val="en-US" w:eastAsia="zh-CN"/>
        </w:rPr>
        <w:t>的要求</w:t>
      </w:r>
      <w:r>
        <w:rPr>
          <w:rFonts w:ascii="宋体" w:hAnsi="宋体" w:cs="宋体" w:hint="eastAsia"/>
          <w:b/>
          <w:bCs/>
          <w:color w:val="auto"/>
          <w:spacing w:val="-4"/>
          <w:kern w:val="0"/>
          <w:szCs w:val="21"/>
          <w:highlight w:val="none"/>
        </w:rPr>
        <w:t>，</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w:t>
      </w:r>
      <w:r>
        <w:rPr>
          <w:rFonts w:ascii="宋体" w:hAnsi="宋体" w:cs="宋体" w:hint="eastAsia"/>
          <w:b/>
          <w:bCs/>
          <w:color w:val="auto"/>
          <w:spacing w:val="-4"/>
          <w:kern w:val="0"/>
          <w:szCs w:val="21"/>
          <w:highlight w:val="none"/>
        </w:rPr>
        <w:t>用于对供应商违法行为的提醒，不作为供应商资格性审查及符合性审查条件。</w:t>
      </w:r>
    </w:p>
    <w:p>
      <w:pPr>
        <w:widowControl/>
        <w:autoSpaceDE w:val="0"/>
        <w:autoSpaceDN w:val="0"/>
        <w:spacing w:line="400" w:lineRule="exact"/>
        <w:jc w:val="left"/>
        <w:rPr>
          <w:rFonts w:ascii="宋体" w:hAnsi="宋体" w:eastAsiaTheme="minorEastAsia"/>
          <w:color w:val="FF0000"/>
          <w:spacing w:val="-4"/>
          <w:kern w:val="0"/>
          <w:szCs w:val="21"/>
        </w:rPr>
      </w:pPr>
    </w:p>
    <w:p>
      <w:p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b/>
          <w:bCs/>
        </w:rPr>
      </w:pPr>
      <w:r>
        <w:rPr>
          <w:rFonts w:ascii="宋体" w:hAnsi="宋体" w:cs="宋体" w:hint="eastAsia"/>
          <w:b/>
          <w:bCs/>
          <w:lang w:val="en-US" w:eastAsia="zh-CN"/>
        </w:rPr>
        <w:t>1</w:t>
      </w:r>
      <w:r>
        <w:rPr>
          <w:rFonts w:ascii="宋体" w:hAnsi="宋体" w:cs="宋体" w:hint="eastAsia"/>
          <w:b/>
          <w:bCs/>
          <w:lang w:eastAsia="zh-CN"/>
        </w:rPr>
        <w:t>、</w:t>
      </w:r>
      <w:r>
        <w:rPr>
          <w:rFonts w:ascii="宋体" w:hAnsi="宋体" w:cs="宋体" w:hint="eastAsia"/>
          <w:b/>
          <w:bCs/>
        </w:rPr>
        <w:t>关于政府采购订单融资政策</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eastAsia="宋体" w:hAnsi="Times New Roman" w:cs="Times New Roman" w:hint="eastAsia"/>
          <w:b w:val="0"/>
          <w:bCs/>
          <w:kern w:val="2"/>
          <w:sz w:val="21"/>
          <w:szCs w:val="21"/>
          <w:lang w:val="en-US" w:eastAsia="zh-CN" w:bidi="ar-SA"/>
        </w:rPr>
      </w:pPr>
      <w:r>
        <w:rPr>
          <w:rFonts w:ascii="Times New Roman" w:eastAsia="宋体" w:hAnsi="Times New Roman" w:cs="Times New Roman" w:hint="eastAsia"/>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hint="eastAsia"/>
          <w:b/>
          <w:bCs/>
          <w:lang w:val="en-US" w:eastAsia="zh-CN"/>
        </w:rPr>
      </w:pPr>
      <w:r>
        <w:rPr>
          <w:rFonts w:ascii="宋体" w:hAnsi="宋体" w:cs="宋体" w:hint="eastAsia"/>
          <w:b/>
          <w:bCs/>
          <w:lang w:val="en-US" w:eastAsia="zh-CN"/>
        </w:rPr>
        <w:t>2</w:t>
      </w:r>
      <w:r>
        <w:rPr>
          <w:rFonts w:ascii="宋体" w:hAnsi="宋体" w:cs="宋体" w:hint="eastAsia"/>
          <w:b/>
          <w:bCs/>
          <w:lang w:eastAsia="zh-CN"/>
        </w:rPr>
        <w:t>、</w:t>
      </w:r>
      <w:r>
        <w:rPr>
          <w:rFonts w:ascii="宋体" w:hAnsi="宋体" w:cs="宋体" w:hint="eastAsia"/>
          <w:b/>
          <w:bCs/>
          <w:lang w:val="en-US" w:eastAsia="zh-CN"/>
        </w:rPr>
        <w:t>供应商账户信息</w:t>
      </w:r>
    </w:p>
    <w:p>
      <w:pPr>
        <w:ind w:left="420" w:firstLine="210" w:leftChars="20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eastAsia="宋体" w:hint="eastAsia"/>
          <w:szCs w:val="21"/>
          <w:lang w:eastAsia="zh-CN"/>
        </w:rPr>
        <w:t>；</w:t>
      </w:r>
      <w:r>
        <w:rPr>
          <w:rFonts w:hint="eastAsia"/>
          <w:szCs w:val="21"/>
        </w:rPr>
        <w:t xml:space="preserve">  </w:t>
      </w:r>
    </w:p>
    <w:p>
      <w:pPr>
        <w:ind w:left="420" w:firstLine="210" w:leftChars="20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eastAsia="宋体"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ascii="Times New Roman" w:eastAsia="宋体"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eastAsia="宋体" w:hint="eastAsia"/>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firstLine="210" w:leftChars="200" w:firstLineChars="100"/>
        <w:rPr>
          <w:rFonts w:hint="eastAsia"/>
          <w:szCs w:val="21"/>
          <w:u w:val="none"/>
          <w:lang w:eastAsia="zh-CN"/>
        </w:rPr>
      </w:pPr>
      <w:r>
        <w:rPr>
          <w:rFonts w:ascii="Times New Roman" w:eastAsia="宋体" w:hint="eastAsia"/>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hint="eastAsia"/>
          <w:szCs w:val="21"/>
          <w:u w:val="none"/>
        </w:rPr>
      </w:pPr>
      <w:r>
        <w:rPr>
          <w:rFonts w:ascii="宋体" w:hAnsi="宋体" w:eastAsiaTheme="minorEastAsia" w:hint="eastAsia"/>
          <w:b/>
          <w:bCs/>
          <w:color w:val="FF0000"/>
          <w:spacing w:val="-4"/>
          <w:kern w:val="0"/>
          <w:szCs w:val="21"/>
          <w:lang w:val="en-US" w:eastAsia="zh-CN"/>
        </w:rPr>
        <w:t>注：本项填写内容作为订单融资开展的参考信息，</w:t>
      </w:r>
      <w:r>
        <w:rPr>
          <w:rFonts w:ascii="宋体" w:hAnsi="宋体" w:eastAsiaTheme="minorEastAsia" w:hint="eastAsia"/>
          <w:b/>
          <w:bCs/>
          <w:color w:val="FF0000"/>
          <w:spacing w:val="-4"/>
          <w:kern w:val="0"/>
          <w:szCs w:val="21"/>
        </w:rPr>
        <w:t>不作为供应商资格性审查及符合性审查条件。</w:t>
      </w:r>
    </w:p>
    <w:p>
      <w:pPr>
        <w:widowControl/>
        <w:jc w:val="center"/>
        <w:rPr>
          <w:rFonts w:ascii="黑体" w:eastAsia="黑体" w:hAnsi="宋体"/>
          <w:kern w:val="0"/>
          <w:sz w:val="24"/>
          <w:szCs w:val="20"/>
        </w:rPr>
      </w:pPr>
      <w:r>
        <w:rPr>
          <w:rFonts w:ascii="黑体" w:eastAsia="黑体" w:hAnsi="宋体" w:hint="eastAsia"/>
          <w:kern w:val="0"/>
          <w:sz w:val="24"/>
          <w:szCs w:val="20"/>
        </w:rPr>
        <w:t>（</w:t>
      </w:r>
      <w:r>
        <w:rPr>
          <w:rFonts w:ascii="黑体" w:eastAsia="黑体" w:hAnsi="宋体" w:hint="eastAsia"/>
          <w:kern w:val="0"/>
          <w:sz w:val="24"/>
          <w:szCs w:val="20"/>
          <w:lang w:val="en-US" w:eastAsia="zh-CN"/>
        </w:rPr>
        <w:t>三</w:t>
      </w:r>
      <w:r>
        <w:rPr>
          <w:rFonts w:ascii="黑体" w:eastAsia="黑体" w:hAnsi="宋体" w:hint="eastAsia"/>
          <w:kern w:val="0"/>
          <w:sz w:val="24"/>
          <w:szCs w:val="20"/>
        </w:rPr>
        <w:t>）投标人认为需要加以说明的其他内容（格式自定）</w:t>
      </w:r>
    </w:p>
    <w:p>
      <w:pPr>
        <w:jc w:val="center"/>
        <w:rPr>
          <w:rFonts w:ascii="黑体" w:eastAsia="黑体" w:hAnsi="宋体"/>
          <w:bCs/>
          <w:kern w:val="0"/>
          <w:sz w:val="24"/>
        </w:rPr>
      </w:pPr>
    </w:p>
    <w:p>
      <w:pPr>
        <w:jc w:val="center"/>
        <w:rPr>
          <w:rFonts w:ascii="黑体" w:eastAsia="黑体" w:hAnsi="宋体"/>
          <w:bCs/>
          <w:kern w:val="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pPr>
      <w:r>
        <w:rPr>
          <w:rFonts w:hint="eastAsia"/>
        </w:rPr>
        <w:t>第五章  合同条款及格式</w:t>
      </w:r>
    </w:p>
    <w:p/>
    <w:p>
      <w:pPr>
        <w:jc w:val="center"/>
        <w:outlineLvl w:val="9"/>
      </w:pPr>
      <w:bookmarkStart w:id="87" w:name="_Toc3995"/>
      <w:r>
        <w:rPr>
          <w:rFonts w:hint="eastAsia"/>
          <w:b/>
          <w:sz w:val="24"/>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val="en-US" w:eastAsia="zh-CN" w:bidi="ar-SA"/>
        </w:rPr>
      </w:pPr>
    </w:p>
    <w:p>
      <w:pPr>
        <w:widowControl w:val="0"/>
        <w:spacing w:after="0"/>
        <w:jc w:val="center"/>
        <w:outlineLvl w:val="9"/>
        <w:rPr>
          <w:rFonts w:ascii="宋体" w:eastAsia="宋体" w:hAnsi="宋体" w:cs="宋体"/>
          <w:b/>
          <w:bCs/>
          <w:spacing w:val="-20"/>
          <w:kern w:val="44"/>
          <w:sz w:val="48"/>
          <w:szCs w:val="48"/>
          <w:lang w:val="en-US" w:eastAsia="zh-CN" w:bidi="ar-SA"/>
        </w:rPr>
      </w:pPr>
    </w:p>
    <w:p>
      <w:pPr>
        <w:pStyle w:val="BodyText"/>
        <w:outlineLvl w:val="9"/>
        <w:rPr>
          <w:lang w:val="en-US" w:eastAsia="zh-CN"/>
        </w:rPr>
      </w:pP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政府采购货物买卖合同</w:t>
      </w: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（试行）</w:t>
      </w: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spacing w:line="360" w:lineRule="auto"/>
        <w:ind w:left="420" w:leftChars="200"/>
        <w:outlineLvl w:val="9"/>
        <w:rPr>
          <w:rFonts w:eastAsia="宋体"/>
          <w:sz w:val="32"/>
          <w:szCs w:val="32"/>
        </w:rPr>
      </w:pPr>
      <w:r>
        <w:rPr>
          <w:rFonts w:ascii="宋体" w:eastAsia="宋体" w:hAnsi="宋体" w:cs="宋体" w:hint="eastAsia"/>
          <w:kern w:val="0"/>
          <w:sz w:val="32"/>
          <w:szCs w:val="32"/>
        </w:rPr>
        <w:t>项目名称：</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合同编号：</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甲    方：</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乙    方：</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签订时间：</w:t>
      </w:r>
      <w:r>
        <w:rPr>
          <w:rFonts w:eastAsia="宋体" w:hint="eastAsia"/>
          <w:sz w:val="32"/>
          <w:szCs w:val="32"/>
          <w:u w:val="single"/>
        </w:rPr>
        <w:t xml:space="preserve">      </w:t>
      </w:r>
      <w:r>
        <w:rPr>
          <w:rFonts w:eastAsia="宋体"/>
          <w:sz w:val="32"/>
          <w:szCs w:val="32"/>
          <w:u w:val="single"/>
        </w:rPr>
        <w:t xml:space="preserve">           </w:t>
      </w:r>
      <w:r>
        <w:rPr>
          <w:rFonts w:eastAsia="宋体" w:hint="eastAsia"/>
          <w:sz w:val="32"/>
          <w:szCs w:val="32"/>
          <w:u w:val="single"/>
        </w:rPr>
        <w:t xml:space="preserve">            </w:t>
      </w:r>
    </w:p>
    <w:p>
      <w:pPr>
        <w:outlineLvl w:val="9"/>
        <w:rPr>
          <w:rFonts w:eastAsia="宋体"/>
        </w:rPr>
      </w:pPr>
    </w:p>
    <w:p>
      <w:pPr>
        <w:outlineLvl w:val="9"/>
        <w:rPr>
          <w:rFonts w:eastAsia="黑体"/>
          <w:sz w:val="44"/>
          <w:szCs w:val="44"/>
        </w:rPr>
      </w:pPr>
      <w:r>
        <w:rPr>
          <w:rFonts w:eastAsia="黑体"/>
          <w:sz w:val="44"/>
          <w:szCs w:val="44"/>
        </w:rPr>
        <w:br w:type="page"/>
      </w:r>
    </w:p>
    <w:p>
      <w:pPr>
        <w:outlineLvl w:val="9"/>
        <w:rPr>
          <w:rFonts w:eastAsia="黑体"/>
          <w:sz w:val="44"/>
          <w:szCs w:val="44"/>
        </w:rPr>
      </w:pPr>
    </w:p>
    <w:p>
      <w:pPr>
        <w:outlineLvl w:val="9"/>
        <w:rPr>
          <w:rFonts w:eastAsia="黑体"/>
          <w:sz w:val="44"/>
          <w:szCs w:val="44"/>
        </w:rPr>
      </w:pPr>
    </w:p>
    <w:p>
      <w:pPr>
        <w:jc w:val="center"/>
        <w:outlineLvl w:val="9"/>
        <w:rPr>
          <w:rFonts w:eastAsia="黑体" w:hint="eastAsia"/>
          <w:sz w:val="44"/>
          <w:szCs w:val="44"/>
          <w:lang w:eastAsia="zh-CN"/>
        </w:rPr>
      </w:pPr>
      <w:r>
        <w:rPr>
          <w:rFonts w:eastAsia="黑体" w:hint="eastAsia"/>
          <w:sz w:val="44"/>
          <w:szCs w:val="44"/>
          <w:lang w:eastAsia="zh-CN"/>
        </w:rPr>
        <w:t>使</w:t>
      </w:r>
      <w:r>
        <w:rPr>
          <w:rFonts w:eastAsia="黑体" w:hint="eastAsia"/>
          <w:sz w:val="44"/>
          <w:szCs w:val="44"/>
          <w:lang w:val="en-US" w:eastAsia="zh-CN"/>
        </w:rPr>
        <w:t xml:space="preserve"> </w:t>
      </w:r>
      <w:r>
        <w:rPr>
          <w:rFonts w:eastAsia="黑体" w:hint="eastAsia"/>
          <w:sz w:val="44"/>
          <w:szCs w:val="44"/>
          <w:lang w:eastAsia="zh-CN"/>
        </w:rPr>
        <w:t>用</w:t>
      </w:r>
      <w:r>
        <w:rPr>
          <w:rFonts w:eastAsia="黑体" w:hint="eastAsia"/>
          <w:sz w:val="44"/>
          <w:szCs w:val="44"/>
          <w:lang w:val="en-US" w:eastAsia="zh-CN"/>
        </w:rPr>
        <w:t xml:space="preserve"> </w:t>
      </w:r>
      <w:r>
        <w:rPr>
          <w:rFonts w:eastAsia="黑体" w:hint="eastAsia"/>
          <w:sz w:val="44"/>
          <w:szCs w:val="44"/>
          <w:lang w:eastAsia="zh-CN"/>
        </w:rPr>
        <w:t>说</w:t>
      </w:r>
      <w:r>
        <w:rPr>
          <w:rFonts w:eastAsia="黑体" w:hint="eastAsia"/>
          <w:sz w:val="44"/>
          <w:szCs w:val="44"/>
          <w:lang w:val="en-US" w:eastAsia="zh-CN"/>
        </w:rPr>
        <w:t xml:space="preserve"> </w:t>
      </w:r>
      <w:r>
        <w:rPr>
          <w:rFonts w:eastAsia="黑体" w:hint="eastAsia"/>
          <w:sz w:val="44"/>
          <w:szCs w:val="44"/>
          <w:lang w:eastAsia="zh-CN"/>
        </w:rPr>
        <w:t>明</w:t>
      </w:r>
    </w:p>
    <w:p>
      <w:pPr>
        <w:ind w:firstLine="420" w:firstLineChars="200"/>
        <w:outlineLvl w:val="9"/>
        <w:rPr>
          <w:rFonts w:ascii="仿宋_GB2312" w:eastAsia="仿宋_GB2312" w:hAnsi="仿宋_GB2312" w:cs="仿宋_GB2312" w:hint="eastAsia"/>
          <w:sz w:val="32"/>
          <w:szCs w:val="32"/>
          <w:lang w:val="en-US" w:eastAsia="zh-CN"/>
        </w:rPr>
      </w:pPr>
    </w:p>
    <w:p>
      <w:pPr>
        <w:numPr>
          <w:ilvl w:val="0"/>
          <w:numId w:val="0"/>
        </w:num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1.本合同标准文本适用于购买现成货物的采购项目，不包括需要供应商定制开发、创新研发的货物采购项目。</w:t>
      </w:r>
    </w:p>
    <w:p>
      <w:pPr>
        <w:numPr>
          <w:ilvl w:val="0"/>
          <w:numId w:val="0"/>
        </w:numPr>
        <w:ind w:firstLine="420" w:firstLineChars="200"/>
        <w:outlineLvl w:val="9"/>
        <w:rPr>
          <w:rFonts w:eastAsia="黑体" w:hint="default"/>
          <w:sz w:val="44"/>
          <w:szCs w:val="44"/>
          <w:lang w:val="en-US" w:eastAsia="zh-CN"/>
        </w:rPr>
      </w:pPr>
      <w:r>
        <w:rPr>
          <w:rFonts w:ascii="仿宋_GB2312" w:eastAsia="仿宋_GB2312" w:hAnsi="仿宋_GB2312" w:cs="仿宋_GB2312" w:hint="eastAsia"/>
          <w:sz w:val="32"/>
          <w:szCs w:val="32"/>
          <w:lang w:val="en-US" w:eastAsia="zh-CN"/>
        </w:rPr>
        <w:t>2.本合同标准文本为政府采购货物买卖合同编制提供参考，可以结合采购项目具体情况，对文本作必要的调整修订后使用。</w:t>
      </w:r>
    </w:p>
    <w:p>
      <w:p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3.本合同标准文本各条款中，如涉及填写多家供应商、制造商，多种采购标的、分包主要内容等信息的，可根据采购项目具体情况添加信息项。</w:t>
      </w:r>
    </w:p>
    <w:p>
      <w:pPr>
        <w:ind w:firstLine="420" w:firstLineChars="200"/>
        <w:jc w:val="both"/>
        <w:outlineLvl w:val="9"/>
        <w:rPr>
          <w:rFonts w:eastAsia="黑体"/>
          <w:sz w:val="44"/>
          <w:szCs w:val="44"/>
        </w:rPr>
        <w:sectPr>
          <w:headerReference w:type="default" r:id="rId8"/>
          <w:footerReference w:type="default" r:id="rId9"/>
          <w:pgSz w:w="11906" w:h="16838"/>
          <w:pgMar w:top="1440" w:right="1800" w:bottom="1440" w:left="1800" w:header="851" w:footer="992" w:gutter="0"/>
          <w:pgBorders>
            <w:top w:val="nil"/>
            <w:left w:val="nil"/>
            <w:bottom w:val="nil"/>
            <w:right w:val="nil"/>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cs="Times New Roman" w:hint="eastAsia"/>
          <w:b/>
          <w:bCs/>
          <w:kern w:val="2"/>
          <w:sz w:val="28"/>
          <w:szCs w:val="28"/>
          <w:lang w:val="en-US" w:eastAsia="zh-CN" w:bidi="ar-SA"/>
        </w:rPr>
      </w:pPr>
      <w:bookmarkEnd w:id="87"/>
      <w:bookmarkStart w:id="88" w:name="_Toc22209"/>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r>
        <w:rPr>
          <w:rFonts w:ascii="黑体" w:eastAsia="黑体" w:hAnsi="黑体" w:cs="Times New Roman" w:hint="eastAsia"/>
          <w:b w:val="0"/>
          <w:bCs w:val="0"/>
          <w:kern w:val="2"/>
          <w:sz w:val="28"/>
          <w:szCs w:val="28"/>
          <w:lang w:val="en-US" w:eastAsia="zh-CN" w:bidi="ar-SA"/>
        </w:rPr>
        <w:t xml:space="preserve">第一节 </w:t>
      </w:r>
      <w:r>
        <w:rPr>
          <w:rFonts w:ascii="黑体" w:eastAsia="黑体" w:hAnsi="华文中宋" w:cs="Times New Roman" w:hint="eastAsia"/>
          <w:b w:val="0"/>
          <w:bCs w:val="0"/>
          <w:kern w:val="2"/>
          <w:sz w:val="28"/>
          <w:szCs w:val="28"/>
          <w:lang w:val="en-US" w:eastAsia="zh-CN" w:bidi="ar-SA"/>
        </w:rPr>
        <w:t>政府采购合同协议书</w:t>
      </w:r>
      <w:bookmarkEnd w:id="88"/>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甲方（全称）：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或采购</w:t>
      </w:r>
      <w:r>
        <w:rPr>
          <w:rFonts w:ascii="宋体" w:eastAsia="宋体" w:hAnsi="宋体" w:hint="eastAsia"/>
          <w:szCs w:val="21"/>
          <w:lang w:val="en-US" w:eastAsia="zh-CN"/>
        </w:rPr>
        <w:tab/>
      </w:r>
      <w:r>
        <w:rPr>
          <w:rFonts w:ascii="宋体" w:eastAsia="宋体" w:hAnsi="宋体" w:hint="eastAsia"/>
          <w:szCs w:val="21"/>
          <w:lang w:val="en-US" w:eastAsia="zh-CN"/>
        </w:rPr>
        <w:t xml:space="preserve">                                   </w:t>
      </w:r>
      <w:r>
        <w:rPr>
          <w:rFonts w:ascii="宋体" w:eastAsia="宋体" w:hAnsi="宋体" w:hint="eastAsia"/>
          <w:szCs w:val="21"/>
        </w:rPr>
        <w:t>文件约定的合同甲方）</w:t>
      </w: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乙方</w:t>
      </w:r>
      <w:r>
        <w:rPr>
          <w:rFonts w:ascii="宋体" w:eastAsia="宋体" w:hAnsi="宋体" w:hint="eastAsia"/>
          <w:szCs w:val="21"/>
          <w:lang w:val="en-US" w:eastAsia="zh-CN"/>
        </w:rPr>
        <w:t>1</w:t>
      </w:r>
      <w:r>
        <w:rPr>
          <w:rFonts w:ascii="宋体" w:eastAsia="宋体" w:hAnsi="宋体" w:hint="eastAsia"/>
          <w:szCs w:val="21"/>
        </w:rPr>
        <w:t>（全称）：</w:t>
      </w:r>
      <w:r>
        <w:rPr>
          <w:rFonts w:ascii="宋体" w:eastAsia="宋体" w:hAnsi="宋体" w:hint="eastAsia"/>
          <w:szCs w:val="21"/>
          <w:u w:val="single"/>
        </w:rPr>
        <w:t xml:space="preserve">                       </w:t>
      </w:r>
      <w:r>
        <w:rPr>
          <w:rFonts w:ascii="宋体" w:eastAsia="宋体" w:hAnsi="宋体" w:hint="eastAsia"/>
          <w:szCs w:val="21"/>
        </w:rPr>
        <w:t>（供应商）</w:t>
      </w:r>
    </w:p>
    <w:p>
      <w:pPr>
        <w:adjustRightInd w:val="0"/>
        <w:snapToGrid w:val="0"/>
        <w:spacing w:before="0" w:beforeLines="0" w:line="400" w:lineRule="exact"/>
        <w:outlineLvl w:val="9"/>
        <w:rPr>
          <w:rFonts w:ascii="宋体" w:eastAsia="宋体" w:hAnsi="宋体" w:hint="eastAsia"/>
          <w:szCs w:val="21"/>
        </w:rPr>
      </w:pPr>
      <w:r>
        <w:rPr>
          <w:rFonts w:ascii="宋体" w:eastAsia="宋体" w:hAnsi="宋体" w:hint="eastAsia"/>
          <w:szCs w:val="21"/>
        </w:rPr>
        <w:t>乙方2（全称）：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adjustRightInd w:val="0"/>
        <w:snapToGrid w:val="0"/>
        <w:spacing w:before="0" w:beforeLines="0" w:line="400" w:lineRule="exact"/>
        <w:outlineLvl w:val="9"/>
        <w:rPr>
          <w:rFonts w:ascii="宋体" w:eastAsia="宋体" w:hAnsi="宋体" w:hint="eastAsia"/>
          <w:szCs w:val="21"/>
        </w:rPr>
      </w:pPr>
      <w:r>
        <w:rPr>
          <w:rFonts w:eastAsia="宋体" w:hint="eastAsia"/>
          <w:lang w:eastAsia="zh-CN"/>
        </w:rPr>
        <w:t>乙方</w:t>
      </w:r>
      <w:r>
        <w:rPr>
          <w:rFonts w:ascii="宋体" w:eastAsia="宋体" w:hAnsi="宋体" w:hint="eastAsia"/>
          <w:szCs w:val="21"/>
          <w:lang w:val="en-US" w:eastAsia="zh-CN"/>
        </w:rPr>
        <w:t>3</w:t>
      </w:r>
      <w:r>
        <w:rPr>
          <w:rFonts w:eastAsia="宋体" w:hint="eastAsia"/>
          <w:lang w:val="en-US" w:eastAsia="zh-CN"/>
        </w:rPr>
        <w:t>（全称）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spacing w:beforeLines="0" w:line="400" w:lineRule="exact"/>
        <w:outlineLvl w:val="9"/>
        <w:rPr>
          <w:rFonts w:eastAsia="宋体" w:hint="default"/>
          <w:lang w:val="en-US" w:eastAsia="zh-CN"/>
        </w:rPr>
      </w:pP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依据《中华人民共和国民法典》《中华人民共和国政府采购法》《深圳经济特区政府采购条例》等有关的法律法规，以及</w:t>
      </w:r>
      <w:r>
        <w:rPr>
          <w:rFonts w:ascii="宋体" w:eastAsia="宋体" w:hAnsi="宋体" w:cs="Times New Roman" w:hint="eastAsia"/>
          <w:i w:val="0"/>
          <w:iCs w:val="0"/>
          <w:kern w:val="2"/>
          <w:sz w:val="21"/>
          <w:szCs w:val="21"/>
          <w:u w:val="none"/>
          <w:lang w:val="en-US" w:eastAsia="zh-CN" w:bidi="ar-SA"/>
        </w:rPr>
        <w:t>本采购项目</w:t>
      </w:r>
      <w:r>
        <w:rPr>
          <w:rFonts w:ascii="宋体" w:eastAsia="宋体" w:hAnsi="宋体" w:cs="Times New Roman" w:hint="eastAsia"/>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项目信息</w:t>
      </w:r>
    </w:p>
    <w:p>
      <w:pPr>
        <w:widowControl w:val="0"/>
        <w:numPr>
          <w:ilvl w:val="0"/>
          <w:numId w:val="10"/>
        </w:numPr>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u w:val="single"/>
          <w:lang w:val="en-US" w:eastAsia="zh-CN" w:bidi="ar-SA"/>
        </w:rPr>
      </w:pPr>
      <w:r>
        <w:rPr>
          <w:rFonts w:ascii="宋体" w:eastAsia="宋体" w:hAnsi="宋体" w:cs="Times New Roman" w:hint="eastAsia"/>
          <w:kern w:val="2"/>
          <w:sz w:val="21"/>
          <w:szCs w:val="21"/>
          <w:lang w:val="en-US" w:eastAsia="zh-CN" w:bidi="ar-SA"/>
        </w:rPr>
        <w:t>采购项目名称：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p>
    <w:p>
      <w:pPr>
        <w:widowControl w:val="0"/>
        <w:numPr>
          <w:ilvl w:val="255"/>
          <w:numId w:val="0"/>
        </w:numPr>
        <w:tabs>
          <w:tab w:val="left" w:pos="999"/>
        </w:tabs>
        <w:adjustRightInd w:val="0"/>
        <w:snapToGrid w:val="0"/>
        <w:spacing w:before="0" w:beforeLines="0" w:after="0" w:line="400" w:lineRule="exact"/>
        <w:ind w:left="0" w:firstLine="0" w:leftChars="0" w:firstLineChars="0"/>
        <w:jc w:val="both"/>
        <w:outlineLvl w:val="9"/>
        <w:rPr>
          <w:rFonts w:ascii="宋体" w:eastAsia="宋体" w:hAnsi="宋体" w:cs="Times New Roman" w:hint="default"/>
          <w:kern w:val="2"/>
          <w:sz w:val="21"/>
          <w:szCs w:val="21"/>
          <w:u w:val="none"/>
          <w:lang w:val="en-US" w:eastAsia="zh-CN" w:bidi="ar-SA"/>
        </w:rPr>
      </w:pPr>
      <w:r>
        <w:rPr>
          <w:rFonts w:ascii="宋体" w:eastAsia="宋体" w:hAnsi="宋体" w:cs="Times New Roman" w:hint="eastAsia"/>
          <w:kern w:val="2"/>
          <w:sz w:val="21"/>
          <w:szCs w:val="21"/>
          <w:u w:val="none"/>
          <w:lang w:val="en-US" w:eastAsia="zh-CN" w:bidi="ar-SA"/>
        </w:rPr>
        <w:t xml:space="preserve">         采购项目编号：</w:t>
      </w:r>
      <w:r>
        <w:rPr>
          <w:rFonts w:ascii="宋体" w:eastAsia="宋体" w:hAnsi="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（2）采购计划编号：</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hint="eastAsia"/>
          <w:kern w:val="2"/>
          <w:sz w:val="21"/>
          <w:szCs w:val="21"/>
          <w:u w:val="single"/>
          <w:lang w:val="en-US" w:eastAsia="zh-CN" w:bidi="ar-SA"/>
        </w:rPr>
        <w:t xml:space="preserve">                </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kern w:val="2"/>
          <w:sz w:val="21"/>
          <w:szCs w:val="21"/>
          <w:lang w:val="en-US" w:eastAsia="zh-CN" w:bidi="ar-SA"/>
        </w:rPr>
        <w:t xml:space="preserve"> </w:t>
      </w:r>
    </w:p>
    <w:p>
      <w:pPr>
        <w:adjustRightInd w:val="0"/>
        <w:snapToGrid w:val="0"/>
        <w:spacing w:before="0" w:beforeLines="0" w:line="400" w:lineRule="exact"/>
        <w:ind w:firstLine="420" w:firstLineChars="200"/>
        <w:outlineLvl w:val="9"/>
        <w:rPr>
          <w:rFonts w:ascii="宋体" w:eastAsia="宋体" w:hAnsi="宋体" w:hint="eastAsia"/>
          <w:szCs w:val="21"/>
        </w:rPr>
      </w:pPr>
      <w:r>
        <w:rPr>
          <w:rFonts w:ascii="宋体" w:eastAsia="宋体" w:hAnsi="宋体" w:hint="eastAsia"/>
          <w:szCs w:val="21"/>
        </w:rPr>
        <w:t>（3）项目内容：</w:t>
      </w:r>
    </w:p>
    <w:p>
      <w:pPr>
        <w:adjustRightInd w:val="0"/>
        <w:snapToGrid w:val="0"/>
        <w:spacing w:before="0" w:beforeLines="0" w:line="400" w:lineRule="exact"/>
        <w:ind w:firstLine="420" w:firstLineChars="20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w:t>
      </w:r>
      <w:r>
        <w:rPr>
          <w:rFonts w:ascii="宋体" w:eastAsia="宋体" w:hAnsi="宋体" w:hint="eastAsia"/>
          <w:szCs w:val="21"/>
          <w:lang w:eastAsia="zh-CN"/>
        </w:rPr>
        <w:t>采购标的及数量</w:t>
      </w:r>
      <w:r>
        <w:rPr>
          <w:rFonts w:ascii="宋体" w:eastAsia="宋体" w:hAnsi="宋体" w:hint="eastAsia"/>
          <w:szCs w:val="21"/>
          <w:lang w:val="en-US" w:eastAsia="zh-CN"/>
        </w:rPr>
        <w:t>（台/套</w:t>
      </w:r>
      <w:r>
        <w:rPr>
          <w:rFonts w:ascii="宋体" w:eastAsia="宋体" w:hAnsi="宋体" w:hint="default"/>
          <w:szCs w:val="21"/>
          <w:lang w:eastAsia="zh-CN"/>
        </w:rPr>
        <w:t>/</w:t>
      </w:r>
      <w:r>
        <w:rPr>
          <w:rFonts w:ascii="宋体" w:eastAsia="宋体" w:hAnsi="宋体" w:hint="eastAsia"/>
          <w:szCs w:val="21"/>
          <w:lang w:eastAsia="zh-CN"/>
        </w:rPr>
        <w:t>个</w:t>
      </w:r>
      <w:r>
        <w:rPr>
          <w:rFonts w:ascii="宋体" w:eastAsia="宋体" w:hAnsi="宋体" w:hint="default"/>
          <w:szCs w:val="21"/>
          <w:lang w:eastAsia="zh-CN"/>
        </w:rPr>
        <w:t>/</w:t>
      </w:r>
      <w:r>
        <w:rPr>
          <w:rFonts w:ascii="宋体" w:eastAsia="宋体" w:hAnsi="宋体" w:hint="eastAsia"/>
          <w:szCs w:val="21"/>
          <w:lang w:eastAsia="zh-CN"/>
        </w:rPr>
        <w:t>架</w:t>
      </w:r>
      <w:r>
        <w:rPr>
          <w:rFonts w:ascii="宋体" w:eastAsia="宋体" w:hAnsi="宋体" w:hint="default"/>
          <w:szCs w:val="21"/>
          <w:lang w:eastAsia="zh-CN"/>
        </w:rPr>
        <w:t>/</w:t>
      </w:r>
      <w:r>
        <w:rPr>
          <w:rFonts w:ascii="宋体" w:eastAsia="宋体" w:hAnsi="宋体" w:hint="eastAsia"/>
          <w:szCs w:val="21"/>
          <w:lang w:eastAsia="zh-CN"/>
        </w:rPr>
        <w:t>组等</w:t>
      </w:r>
      <w:r>
        <w:rPr>
          <w:rFonts w:ascii="宋体" w:eastAsia="宋体" w:hAnsi="宋体" w:hint="eastAsia"/>
          <w:szCs w:val="21"/>
          <w:lang w:val="en-US" w:eastAsia="zh-CN"/>
        </w:rPr>
        <w:t>）</w:t>
      </w:r>
      <w:r>
        <w:rPr>
          <w:rFonts w:ascii="宋体" w:eastAsia="宋体" w:hAnsi="宋体" w:hint="eastAsia"/>
          <w:szCs w:val="21"/>
          <w:lang w:eastAsia="zh-CN"/>
        </w:rPr>
        <w:t>：</w:t>
      </w:r>
      <w:r>
        <w:rPr>
          <w:rFonts w:ascii="宋体" w:eastAsia="宋体" w:hAnsi="宋体" w:hint="eastAsia"/>
          <w:szCs w:val="21"/>
          <w:u w:val="single"/>
          <w:lang w:val="en-US" w:eastAsia="zh-CN"/>
        </w:rPr>
        <w:t xml:space="preserve">                       </w:t>
      </w:r>
      <w:r>
        <w:rPr>
          <w:rFonts w:ascii="宋体" w:eastAsia="宋体" w:hAnsi="宋体" w:hint="eastAsia"/>
          <w:szCs w:val="21"/>
          <w:u w:val="none"/>
          <w:lang w:val="en-US" w:eastAsia="zh-CN"/>
        </w:rPr>
        <w:t xml:space="preserve">            </w:t>
      </w:r>
      <w:r>
        <w:rPr>
          <w:rFonts w:ascii="宋体" w:eastAsia="宋体" w:hAnsi="宋体" w:hint="eastAsia"/>
          <w:szCs w:val="21"/>
          <w:u w:val="single"/>
          <w:lang w:val="en-US" w:eastAsia="zh-CN"/>
        </w:rPr>
        <w:t xml:space="preserve">                  </w:t>
      </w:r>
      <w:r>
        <w:rPr>
          <w:rFonts w:ascii="宋体" w:eastAsia="宋体" w:hAnsi="宋体" w:hint="eastAsia"/>
          <w:szCs w:val="21"/>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default"/>
          <w:szCs w:val="21"/>
          <w:lang w:eastAsia="zh-CN"/>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none"/>
          <w:lang w:eastAsia="zh-CN"/>
        </w:rPr>
        <w:t xml:space="preserve">     </w:t>
      </w:r>
      <w:r>
        <w:rPr>
          <w:rFonts w:ascii="宋体" w:eastAsia="宋体" w:hAnsi="宋体" w:cs="宋体" w:hint="eastAsia"/>
          <w:szCs w:val="21"/>
          <w:lang w:val="en-US" w:eastAsia="zh-CN"/>
        </w:rPr>
        <w:t>规格型号：</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p>
    <w:p>
      <w:pPr>
        <w:adjustRightInd w:val="0"/>
        <w:snapToGrid w:val="0"/>
        <w:spacing w:before="0" w:beforeLines="0" w:line="400" w:lineRule="exact"/>
        <w:ind w:firstLine="945" w:firstLineChars="450"/>
        <w:outlineLvl w:val="9"/>
        <w:rPr>
          <w:rFonts w:ascii="宋体" w:eastAsia="宋体" w:hAnsi="宋体"/>
          <w:szCs w:val="21"/>
          <w:highlight w:val="none"/>
          <w:u w:val="single"/>
        </w:rPr>
      </w:pPr>
      <w:r>
        <w:rPr>
          <w:rFonts w:ascii="宋体" w:eastAsia="宋体" w:hAnsi="宋体" w:hint="eastAsia"/>
          <w:szCs w:val="21"/>
          <w:highlight w:val="none"/>
          <w:u w:val="none"/>
          <w:lang w:val="en-US" w:eastAsia="zh-CN"/>
        </w:rPr>
        <w:t>采购标的的技术要求、商务要求具体见附件。</w:t>
      </w:r>
    </w:p>
    <w:p>
      <w:pPr>
        <w:numPr>
          <w:ilvl w:val="255"/>
          <w:numId w:val="0"/>
        </w:numPr>
        <w:adjustRightInd w:val="0"/>
        <w:snapToGrid w:val="0"/>
        <w:spacing w:before="0" w:beforeLines="0" w:line="400" w:lineRule="exact"/>
        <w:ind w:firstLine="945" w:firstLineChars="450"/>
        <w:outlineLvl w:val="9"/>
        <w:rPr>
          <w:rFonts w:ascii="宋体" w:eastAsia="宋体" w:hAnsi="宋体" w:cs="宋体" w:hint="eastAsia"/>
          <w:szCs w:val="21"/>
          <w:lang w:val="en-US" w:eastAsia="zh-CN"/>
        </w:rPr>
      </w:pPr>
      <w:r>
        <w:rPr>
          <w:rFonts w:ascii="汉仪书宋二S" w:eastAsia="汉仪书宋二S" w:hAnsi="汉仪书宋二S" w:cs="汉仪书宋二S" w:hint="eastAsia"/>
          <w:szCs w:val="21"/>
          <w:lang w:val="en-US" w:eastAsia="zh-CN"/>
        </w:rPr>
        <w:t>①</w:t>
      </w:r>
      <w:r>
        <w:rPr>
          <w:rFonts w:ascii="宋体" w:eastAsia="宋体" w:hAnsi="宋体" w:cs="宋体" w:hint="eastAsia"/>
          <w:szCs w:val="21"/>
          <w:lang w:val="en-US" w:eastAsia="zh-CN"/>
        </w:rPr>
        <w:t>涉及信息类产品，请填写该产品关键部件的品牌、型号：</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kern w:val="0"/>
          <w:szCs w:val="21"/>
          <w:u w:val="single"/>
          <w:lang w:val="en-US" w:eastAsia="zh-CN"/>
        </w:rPr>
      </w:pPr>
      <w:r>
        <w:rPr>
          <w:rFonts w:ascii="宋体" w:eastAsia="宋体" w:hAnsi="宋体" w:cs="宋体" w:hint="eastAsia"/>
          <w:szCs w:val="21"/>
          <w:lang w:val="en-US" w:eastAsia="zh-CN"/>
        </w:rPr>
        <w:t xml:space="preserve">     标的名称：</w:t>
      </w:r>
      <w:r>
        <w:rPr>
          <w:rFonts w:ascii="宋体" w:eastAsia="宋体" w:hAnsi="宋体" w:cs="宋体" w:hint="eastAsia"/>
          <w:kern w:val="0"/>
          <w:szCs w:val="21"/>
          <w:u w:val="single"/>
          <w:lang w:val="en-US" w:eastAsia="zh-CN"/>
        </w:rPr>
        <w:t xml:space="preserve">      </w:t>
      </w:r>
      <w:r>
        <w:rPr>
          <w:rFonts w:ascii="宋体" w:eastAsia="宋体" w:hAnsi="宋体" w:cs="宋体" w:hint="default"/>
          <w:kern w:val="0"/>
          <w:szCs w:val="21"/>
          <w:u w:val="single"/>
          <w:lang w:eastAsia="zh-CN"/>
        </w:rPr>
        <w:t xml:space="preserve">               </w:t>
      </w:r>
      <w:r>
        <w:rPr>
          <w:rFonts w:ascii="宋体" w:eastAsia="宋体" w:hAnsi="宋体" w:cs="宋体" w:hint="eastAsia"/>
          <w:kern w:val="0"/>
          <w:szCs w:val="21"/>
          <w:u w:val="single"/>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 xml:space="preserve">     关键部件：</w:t>
      </w:r>
      <w:r>
        <w:rPr>
          <w:rFonts w:ascii="宋体" w:eastAsia="宋体" w:hAnsi="宋体" w:cs="宋体" w:hint="eastAsia"/>
          <w:kern w:val="0"/>
          <w:szCs w:val="21"/>
          <w:u w:val="single"/>
          <w:lang w:val="en-US" w:eastAsia="zh-CN"/>
        </w:rPr>
        <w:t xml:space="preserve">          </w:t>
      </w:r>
      <w:r>
        <w:rPr>
          <w:rFonts w:ascii="宋体" w:eastAsia="宋体" w:hAnsi="宋体" w:cs="宋体" w:hint="eastAsia"/>
          <w:kern w:val="0"/>
          <w:szCs w:val="21"/>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w:t>
      </w:r>
      <w:r>
        <w:rPr>
          <w:rFonts w:ascii="宋体" w:eastAsia="宋体" w:hAnsi="宋体" w:cs="宋体" w:hint="eastAsia"/>
          <w:szCs w:val="21"/>
          <w:lang w:val="en-US" w:eastAsia="zh-CN"/>
        </w:rPr>
        <w:t>型号：</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宋体" w:eastAsia="宋体" w:hAnsi="宋体" w:cs="宋体" w:hint="eastAsia"/>
          <w:kern w:val="2"/>
          <w:sz w:val="21"/>
          <w:szCs w:val="21"/>
          <w:lang w:val="en-US" w:eastAsia="zh-CN" w:bidi="ar-SA"/>
        </w:rPr>
        <w:t>关键部件</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关键部件：</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汉仪书宋二S" w:eastAsia="汉仪书宋二S" w:hAnsi="汉仪书宋二S" w:cs="汉仪书宋二S" w:hint="eastAsia"/>
          <w:sz w:val="21"/>
          <w:szCs w:val="21"/>
          <w:lang w:val="en-US" w:eastAsia="zh-CN" w:bidi="ar-SA"/>
        </w:rPr>
        <w:t>②</w:t>
      </w:r>
      <w:r>
        <w:rPr>
          <w:rFonts w:ascii="宋体" w:eastAsia="宋体" w:hAnsi="宋体" w:cs="宋体" w:hint="eastAsia"/>
          <w:sz w:val="21"/>
          <w:szCs w:val="21"/>
          <w:lang w:val="en-US" w:eastAsia="zh-CN" w:bidi="ar-SA"/>
        </w:rPr>
        <w:t>涉及车辆采购，请填写是否属于新能源汽车：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是，《政府采购品目分类目录》底级品目名称</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数量：</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金额：</w:t>
      </w:r>
      <w:r>
        <w:rPr>
          <w:rFonts w:ascii="宋体" w:eastAsia="宋体" w:hAnsi="宋体" w:cs="宋体" w:hint="eastAsia"/>
          <w:sz w:val="21"/>
          <w:szCs w:val="21"/>
          <w:u w:val="single"/>
          <w:lang w:val="en-US" w:eastAsia="zh-CN" w:bidi="ar-SA"/>
        </w:rPr>
        <w:t xml:space="preserve">     </w:t>
      </w:r>
      <w:r>
        <w:rPr>
          <w:rFonts w:ascii="宋体" w:eastAsia="宋体" w:hAnsi="宋体" w:cs="宋体" w:hint="eastAsia"/>
          <w:iCs w:val="0"/>
          <w:sz w:val="21"/>
          <w:szCs w:val="21"/>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否</w:t>
      </w:r>
    </w:p>
    <w:p>
      <w:pPr>
        <w:numPr>
          <w:ilvl w:val="255"/>
          <w:numId w:val="0"/>
        </w:numPr>
        <w:autoSpaceDE w:val="0"/>
        <w:autoSpaceDN w:val="0"/>
        <w:adjustRightInd w:val="0"/>
        <w:snapToGrid w:val="0"/>
        <w:spacing w:before="0" w:beforeLines="0" w:line="400" w:lineRule="exact"/>
        <w:ind w:left="0"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宋体" w:eastAsia="宋体" w:hAnsi="宋体" w:cs="宋体" w:hint="default"/>
          <w:iCs w:val="0"/>
          <w:sz w:val="21"/>
          <w:szCs w:val="21"/>
          <w:lang w:eastAsia="zh-CN" w:bidi="ar-SA"/>
        </w:rPr>
        <w:t>4</w:t>
      </w:r>
      <w:r>
        <w:rPr>
          <w:rFonts w:ascii="宋体" w:eastAsia="宋体" w:hAnsi="宋体" w:cs="宋体" w:hint="eastAsia"/>
          <w:iCs w:val="0"/>
          <w:sz w:val="21"/>
          <w:szCs w:val="21"/>
          <w:lang w:val="en-US" w:eastAsia="zh-CN" w:bidi="ar-SA"/>
        </w:rPr>
        <w:t>）政府采购组织形式：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集中采购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自行采购</w:t>
      </w:r>
    </w:p>
    <w:p>
      <w:pPr>
        <w:numPr>
          <w:ilvl w:val="255"/>
          <w:numId w:val="0"/>
        </w:numPr>
        <w:autoSpaceDE w:val="0"/>
        <w:autoSpaceDN w:val="0"/>
        <w:adjustRightInd w:val="0"/>
        <w:snapToGrid w:val="0"/>
        <w:spacing w:before="0" w:beforeLines="0" w:line="400" w:lineRule="exact"/>
        <w:ind w:left="210" w:firstLine="210" w:leftChars="100" w:firstLineChars="100"/>
        <w:outlineLvl w:val="9"/>
        <w:rPr>
          <w:rFonts w:ascii="宋体" w:eastAsia="宋体" w:hAnsi="宋体" w:cs="宋体" w:hint="eastAsia"/>
          <w:iCs w:val="0"/>
          <w:sz w:val="21"/>
          <w:szCs w:val="21"/>
          <w:u w:val="single"/>
          <w:lang w:val="en-US" w:eastAsia="zh-CN" w:bidi="ar-SA"/>
        </w:rPr>
      </w:pPr>
      <w:r>
        <w:rPr>
          <w:rFonts w:ascii="宋体" w:eastAsia="宋体" w:hAnsi="宋体" w:cs="宋体" w:hint="eastAsia"/>
          <w:iCs w:val="0"/>
          <w:sz w:val="21"/>
          <w:szCs w:val="21"/>
          <w:lang w:val="en-US" w:eastAsia="zh-CN" w:bidi="ar-SA"/>
        </w:rPr>
        <w:t>（</w:t>
      </w:r>
      <w:r>
        <w:rPr>
          <w:rFonts w:ascii="宋体" w:eastAsia="宋体" w:hAnsi="宋体" w:cs="宋体" w:hint="default"/>
          <w:iCs w:val="0"/>
          <w:sz w:val="21"/>
          <w:szCs w:val="21"/>
          <w:lang w:eastAsia="zh-CN" w:bidi="ar-SA"/>
        </w:rPr>
        <w:t>5</w:t>
      </w:r>
      <w:r>
        <w:rPr>
          <w:rFonts w:ascii="宋体" w:eastAsia="宋体" w:hAnsi="宋体" w:cs="宋体" w:hint="eastAsia"/>
          <w:iCs w:val="0"/>
          <w:sz w:val="21"/>
          <w:szCs w:val="21"/>
          <w:lang w:val="en-US" w:eastAsia="zh-CN" w:bidi="ar-SA"/>
        </w:rPr>
        <w:t>）政府采购方式：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公开招标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竞争性谈判</w:t>
      </w:r>
      <w:r>
        <w:rPr>
          <w:rFonts w:ascii="宋体" w:eastAsia="华文楷体" w:hAnsi="宋体" w:cs="宋体" w:hint="eastAsia"/>
          <w:sz w:val="22"/>
          <w:szCs w:val="21"/>
          <w:u w:val="none"/>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单一来源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竞价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框架协议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其他：</w:t>
      </w:r>
      <w:r>
        <w:rPr>
          <w:rFonts w:ascii="宋体" w:eastAsia="宋体" w:hAnsi="宋体" w:cs="宋体" w:hint="eastAsia"/>
          <w:iCs w:val="0"/>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left="0" w:firstLine="420" w:firstLineChars="0"/>
        <w:outlineLvl w:val="9"/>
        <w:rPr>
          <w:rFonts w:ascii="宋体" w:eastAsia="宋体" w:hAnsi="宋体" w:cs="宋体" w:hint="default"/>
          <w:iCs w:val="0"/>
          <w:sz w:val="21"/>
          <w:szCs w:val="21"/>
          <w:u w:val="none"/>
          <w:lang w:val="en-US" w:eastAsia="zh-CN" w:bidi="ar-SA"/>
        </w:rPr>
      </w:pPr>
      <w:r>
        <w:rPr>
          <w:rFonts w:ascii="宋体" w:eastAsia="宋体" w:hAnsi="宋体" w:cs="宋体" w:hint="eastAsia"/>
          <w:iCs w:val="0"/>
          <w:sz w:val="21"/>
          <w:szCs w:val="21"/>
          <w:u w:val="none"/>
          <w:lang w:val="en-US" w:eastAsia="zh-CN" w:bidi="ar-SA"/>
        </w:rPr>
        <w:t>（注：在框架协议采购的第二阶段，可选择使用该合同文本）</w:t>
      </w:r>
    </w:p>
    <w:p>
      <w:pPr>
        <w:numPr>
          <w:ilvl w:val="255"/>
          <w:numId w:val="0"/>
        </w:numPr>
        <w:autoSpaceDE w:val="0"/>
        <w:autoSpaceDN w:val="0"/>
        <w:adjustRightInd w:val="0"/>
        <w:snapToGrid w:val="0"/>
        <w:spacing w:before="0" w:beforeLines="0" w:line="400" w:lineRule="exact"/>
        <w:ind w:firstLine="210" w:firstLineChars="100"/>
        <w:outlineLvl w:val="9"/>
        <w:rPr>
          <w:rFonts w:ascii="宋体" w:eastAsia="宋体" w:hAnsi="宋体" w:cs="Times New Roman" w:hint="eastAsia"/>
          <w:w w:val="100"/>
          <w:kern w:val="2"/>
          <w:sz w:val="21"/>
          <w:szCs w:val="21"/>
          <w:lang w:val="en-US" w:eastAsia="zh-CN" w:bidi="ar-SA"/>
        </w:rPr>
      </w:pPr>
      <w:r>
        <w:rPr>
          <w:rFonts w:ascii="宋体" w:eastAsia="华文楷体" w:hAnsi="宋体" w:cs="华文楷体" w:hint="eastAsia"/>
          <w:sz w:val="22"/>
          <w:szCs w:val="21"/>
          <w:lang w:val="en-US" w:eastAsia="zh-CN" w:bidi="ar-SA"/>
        </w:rPr>
        <w:t xml:space="preserve"> （</w:t>
      </w:r>
      <w:r>
        <w:rPr>
          <w:rFonts w:ascii="宋体" w:eastAsia="华文楷体" w:hAnsi="宋体" w:cs="华文楷体" w:hint="default"/>
          <w:sz w:val="22"/>
          <w:szCs w:val="21"/>
          <w:lang w:eastAsia="zh-CN" w:bidi="ar-SA"/>
        </w:rPr>
        <w:t>6</w:t>
      </w:r>
      <w:r>
        <w:rPr>
          <w:rFonts w:ascii="宋体" w:eastAsia="华文楷体" w:hAnsi="宋体" w:cs="华文楷体" w:hint="eastAsia"/>
          <w:sz w:val="22"/>
          <w:szCs w:val="21"/>
          <w:lang w:val="en-US" w:eastAsia="zh-CN" w:bidi="ar-SA"/>
        </w:rPr>
        <w:t>）</w:t>
      </w:r>
      <w:r>
        <w:rPr>
          <w:rFonts w:ascii="宋体" w:eastAsia="宋体" w:hAnsi="宋体" w:cs="Times New Roman" w:hint="eastAsia"/>
          <w:w w:val="100"/>
          <w:kern w:val="2"/>
          <w:sz w:val="21"/>
          <w:szCs w:val="21"/>
          <w:lang w:val="en-US" w:eastAsia="zh-CN" w:bidi="ar-SA"/>
        </w:rPr>
        <w:t>中标（成交）采购标的制造商是否为中小企业：</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 xml:space="preserve">是      </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否</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hint="eastAsia"/>
          <w:iCs/>
          <w:szCs w:val="21"/>
        </w:rPr>
      </w:pPr>
      <w:r>
        <w:rPr>
          <w:rFonts w:ascii="宋体" w:eastAsia="宋体" w:hAnsi="宋体" w:hint="eastAsia"/>
          <w:w w:val="100"/>
          <w:szCs w:val="21"/>
          <w:lang w:val="en-US" w:eastAsia="zh-CN"/>
        </w:rPr>
        <w:t xml:space="preserve">         本合同</w:t>
      </w:r>
      <w:r>
        <w:rPr>
          <w:rFonts w:ascii="宋体" w:eastAsia="宋体" w:hAnsi="宋体" w:hint="eastAsia"/>
          <w:w w:val="100"/>
          <w:szCs w:val="21"/>
        </w:rPr>
        <w:t>是否</w:t>
      </w:r>
      <w:r>
        <w:rPr>
          <w:rFonts w:ascii="宋体" w:eastAsia="宋体" w:hAnsi="宋体" w:hint="eastAsia"/>
          <w:w w:val="100"/>
          <w:szCs w:val="21"/>
          <w:lang w:eastAsia="zh-CN"/>
        </w:rPr>
        <w:t>为专门面向</w:t>
      </w:r>
      <w:r>
        <w:rPr>
          <w:rFonts w:ascii="宋体" w:eastAsia="宋体" w:hAnsi="宋体" w:hint="eastAsia"/>
          <w:w w:val="100"/>
          <w:szCs w:val="21"/>
        </w:rPr>
        <w:t>中小企业</w:t>
      </w:r>
      <w:r>
        <w:rPr>
          <w:rFonts w:ascii="宋体" w:eastAsia="宋体" w:hAnsi="宋体" w:hint="eastAsia"/>
          <w:w w:val="100"/>
          <w:szCs w:val="21"/>
          <w:lang w:eastAsia="zh-CN"/>
        </w:rPr>
        <w:t>的采</w:t>
      </w:r>
      <w:r>
        <w:rPr>
          <w:rFonts w:ascii="宋体" w:eastAsia="宋体" w:hAnsi="宋体" w:hint="eastAsia"/>
          <w:w w:val="100"/>
          <w:szCs w:val="21"/>
          <w:shd w:val="clear" w:color="auto" w:fill="auto"/>
          <w:lang w:eastAsia="zh-CN"/>
        </w:rPr>
        <w:t>购</w:t>
      </w:r>
      <w:r>
        <w:rPr>
          <w:rFonts w:ascii="宋体" w:eastAsia="宋体" w:hAnsi="宋体" w:hint="eastAsia"/>
          <w:w w:val="100"/>
          <w:szCs w:val="21"/>
          <w:shd w:val="clear" w:color="auto" w:fill="auto"/>
        </w:rPr>
        <w:t>合同</w:t>
      </w:r>
      <w:r>
        <w:rPr>
          <w:rFonts w:ascii="宋体" w:eastAsia="宋体" w:hAnsi="宋体" w:hint="eastAsia"/>
          <w:w w:val="100"/>
          <w:szCs w:val="21"/>
          <w:shd w:val="clear" w:color="auto" w:fill="auto"/>
          <w:lang w:eastAsia="zh-CN"/>
        </w:rPr>
        <w:t>（中小企业预留合同）</w:t>
      </w:r>
      <w:r>
        <w:rPr>
          <w:rFonts w:ascii="宋体" w:eastAsia="宋体" w:hAnsi="宋体" w:hint="eastAsia"/>
          <w:szCs w:val="21"/>
          <w:shd w:val="clear" w:color="auto" w:fill="auto"/>
        </w:rPr>
        <w:t>：</w:t>
      </w:r>
      <w:r>
        <w:rPr>
          <w:rFonts w:ascii="Wingdings" w:eastAsia="宋体" w:hAnsi="Wingdings" w:hint="eastAsia"/>
          <w:iCs/>
          <w:szCs w:val="21"/>
        </w:rPr>
        <w:t>¨</w:t>
      </w:r>
      <w:r>
        <w:rPr>
          <w:rFonts w:ascii="宋体" w:eastAsia="宋体" w:hAnsi="宋体" w:hint="eastAsia"/>
          <w:iCs/>
          <w:szCs w:val="21"/>
        </w:rPr>
        <w:t xml:space="preserve">是 </w:t>
      </w:r>
      <w:r>
        <w:rPr>
          <w:rFonts w:ascii="宋体" w:eastAsia="宋体" w:hAnsi="宋体" w:hint="eastAsia"/>
          <w:iCs/>
          <w:szCs w:val="21"/>
          <w:lang w:val="en-US" w:eastAsia="zh-CN"/>
        </w:rPr>
        <w:t xml:space="preserve">  </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若本项目不专门面向中小企业采购，是否给予小微企业评审优惠：</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中标（成交）采购标的制造商是否为残疾人福利性单位：</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0"/>
          <w:numId w:val="0"/>
        </w:numPr>
        <w:snapToGrid w:val="0"/>
        <w:spacing w:beforeLines="0" w:line="400" w:lineRule="exact"/>
        <w:ind w:firstLine="0" w:firstLineChars="0"/>
        <w:outlineLvl w:val="9"/>
        <w:rPr>
          <w:rFonts w:eastAsia="宋体" w:hint="default"/>
          <w:lang w:val="en-US" w:eastAsia="zh-CN"/>
        </w:rPr>
      </w:pPr>
      <w:r>
        <w:rPr>
          <w:rFonts w:eastAsia="宋体" w:hint="eastAsia"/>
          <w:lang w:val="en-US" w:eastAsia="zh-CN"/>
        </w:rPr>
        <w:t xml:space="preserve">         中标（成交）采购标的制造商是否为监狱企业：</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default"/>
          <w:szCs w:val="21"/>
          <w:lang w:eastAsia="zh-CN"/>
        </w:rPr>
        <w:t>7</w:t>
      </w:r>
      <w:r>
        <w:rPr>
          <w:rFonts w:ascii="宋体" w:eastAsia="宋体" w:hAnsi="宋体" w:hint="eastAsia"/>
          <w:szCs w:val="21"/>
        </w:rPr>
        <w:t>）合同是否分包：</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840" w:firstLineChars="40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分包主要内容：</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840" w:firstLineChars="400"/>
        <w:outlineLvl w:val="9"/>
        <w:rPr>
          <w:rFonts w:ascii="宋体" w:eastAsia="宋体" w:hAnsi="宋体" w:hint="eastAsia"/>
          <w:szCs w:val="21"/>
          <w:highlight w:val="none"/>
        </w:rPr>
      </w:pPr>
      <w:r>
        <w:rPr>
          <w:rFonts w:ascii="宋体" w:eastAsia="宋体" w:hAnsi="宋体" w:hint="eastAsia"/>
          <w:szCs w:val="21"/>
          <w:u w:val="none"/>
          <w:lang w:val="en-US" w:eastAsia="zh-CN"/>
        </w:rPr>
        <w:t xml:space="preserve"> </w:t>
      </w:r>
      <w:r>
        <w:rPr>
          <w:rFonts w:ascii="宋体" w:eastAsia="宋体" w:hAnsi="宋体" w:hint="eastAsia"/>
          <w:szCs w:val="21"/>
        </w:rPr>
        <w:t>分包</w:t>
      </w:r>
      <w:r>
        <w:rPr>
          <w:rFonts w:ascii="宋体" w:eastAsia="宋体" w:hAnsi="宋体" w:hint="eastAsia"/>
          <w:szCs w:val="21"/>
          <w:highlight w:val="none"/>
        </w:rPr>
        <w:t>供应商</w:t>
      </w:r>
      <w:r>
        <w:rPr>
          <w:rFonts w:ascii="宋体" w:eastAsia="宋体" w:hAnsi="宋体" w:hint="eastAsia"/>
          <w:szCs w:val="21"/>
          <w:highlight w:val="none"/>
          <w:lang w:eastAsia="zh-CN"/>
        </w:rPr>
        <w:t>/制造商</w:t>
      </w:r>
      <w:r>
        <w:rPr>
          <w:rFonts w:ascii="宋体" w:eastAsia="宋体" w:hAnsi="宋体" w:hint="eastAsia"/>
          <w:szCs w:val="21"/>
          <w:highlight w:val="none"/>
        </w:rPr>
        <w:t>名称</w:t>
      </w:r>
      <w:r>
        <w:rPr>
          <w:rFonts w:ascii="宋体" w:eastAsia="宋体" w:hAnsi="宋体" w:hint="eastAsia"/>
          <w:szCs w:val="21"/>
          <w:highlight w:val="none"/>
          <w:lang w:eastAsia="zh-CN"/>
        </w:rPr>
        <w:t>（如供应商和制造商不同，请分别填写）</w:t>
      </w:r>
      <w:r>
        <w:rPr>
          <w:rFonts w:ascii="宋体" w:eastAsia="宋体" w:hAnsi="宋体" w:hint="eastAsia"/>
          <w:szCs w:val="21"/>
          <w:highlight w:val="none"/>
        </w:rPr>
        <w:t>：</w:t>
      </w:r>
    </w:p>
    <w:p>
      <w:pPr>
        <w:adjustRightInd w:val="0"/>
        <w:snapToGrid w:val="0"/>
        <w:spacing w:before="0" w:beforeLines="0" w:line="400" w:lineRule="exact"/>
        <w:ind w:firstLine="840" w:firstLineChars="400"/>
        <w:outlineLvl w:val="9"/>
        <w:rPr>
          <w:rFonts w:ascii="宋体" w:eastAsia="宋体" w:hAnsi="宋体"/>
          <w:szCs w:val="21"/>
          <w:highlight w:val="none"/>
          <w:u w:val="single"/>
        </w:rPr>
      </w:pPr>
      <w:r>
        <w:rPr>
          <w:rFonts w:ascii="宋体" w:eastAsia="宋体" w:hAnsi="宋体" w:hint="eastAsia"/>
          <w:szCs w:val="21"/>
          <w:highlight w:val="none"/>
          <w:u w:val="none"/>
        </w:rPr>
        <w:t xml:space="preserve"> </w:t>
      </w:r>
      <w:r>
        <w:rPr>
          <w:rFonts w:ascii="宋体" w:eastAsia="宋体" w:hAnsi="宋体" w:hint="eastAsia"/>
          <w:szCs w:val="21"/>
          <w:highlight w:val="none"/>
          <w:u w:val="single"/>
          <w:lang w:val="en-US" w:eastAsia="zh-CN"/>
        </w:rPr>
        <w:t xml:space="preserve">  </w:t>
      </w:r>
      <w:r>
        <w:rPr>
          <w:rFonts w:ascii="宋体" w:eastAsia="宋体" w:hAnsi="宋体" w:hint="eastAsia"/>
          <w:szCs w:val="21"/>
          <w:highlight w:val="none"/>
          <w:u w:val="single"/>
        </w:rPr>
        <w:t xml:space="preserve">                                 </w:t>
      </w:r>
      <w:r>
        <w:rPr>
          <w:rFonts w:ascii="宋体" w:eastAsia="宋体" w:hAnsi="宋体" w:hint="eastAsia"/>
          <w:szCs w:val="21"/>
          <w:highlight w:val="none"/>
          <w:u w:val="single"/>
          <w:lang w:val="en-US" w:eastAsia="zh-CN"/>
        </w:rPr>
        <w:t xml:space="preserve">                       </w:t>
      </w:r>
    </w:p>
    <w:p>
      <w:pPr>
        <w:adjustRightInd w:val="0"/>
        <w:snapToGrid w:val="0"/>
        <w:spacing w:before="0" w:beforeLines="0" w:line="400" w:lineRule="exact"/>
        <w:ind w:firstLine="840" w:firstLineChars="400"/>
        <w:outlineLvl w:val="9"/>
        <w:rPr>
          <w:rFonts w:ascii="宋体" w:eastAsia="宋体" w:hAnsi="宋体" w:hint="eastAsia"/>
          <w:szCs w:val="21"/>
        </w:rPr>
      </w:pPr>
      <w:r>
        <w:rPr>
          <w:rFonts w:ascii="宋体" w:eastAsia="宋体" w:hAnsi="宋体" w:hint="eastAsia"/>
          <w:szCs w:val="21"/>
          <w:highlight w:val="none"/>
          <w:lang w:val="en-US" w:eastAsia="zh-CN"/>
        </w:rPr>
        <w:t xml:space="preserve"> </w:t>
      </w:r>
      <w:r>
        <w:rPr>
          <w:rFonts w:ascii="宋体" w:eastAsia="宋体" w:hAnsi="宋体" w:hint="eastAsia"/>
          <w:szCs w:val="21"/>
          <w:highlight w:val="none"/>
        </w:rPr>
        <w:t>分包供应商</w:t>
      </w:r>
      <w:r>
        <w:rPr>
          <w:rFonts w:ascii="宋体" w:eastAsia="宋体" w:hAnsi="宋体" w:hint="eastAsia"/>
          <w:szCs w:val="21"/>
          <w:highlight w:val="none"/>
          <w:lang w:val="en-US" w:eastAsia="zh-CN"/>
        </w:rPr>
        <w:t>/</w:t>
      </w:r>
      <w:r>
        <w:rPr>
          <w:rFonts w:ascii="宋体" w:eastAsia="宋体" w:hAnsi="宋体" w:hint="eastAsia"/>
          <w:szCs w:val="21"/>
          <w:highlight w:val="none"/>
          <w:lang w:eastAsia="zh-CN"/>
        </w:rPr>
        <w:t>制造商</w:t>
      </w:r>
      <w:r>
        <w:rPr>
          <w:rFonts w:ascii="宋体" w:eastAsia="宋体" w:hAnsi="宋体" w:hint="eastAsia"/>
          <w:szCs w:val="21"/>
        </w:rPr>
        <w:t>类型</w:t>
      </w:r>
      <w:r>
        <w:rPr>
          <w:rFonts w:ascii="宋体" w:eastAsia="宋体" w:hAnsi="宋体" w:hint="eastAsia"/>
          <w:szCs w:val="21"/>
          <w:highlight w:val="none"/>
          <w:lang w:eastAsia="zh-CN"/>
        </w:rPr>
        <w:t>（如果供应商和制造商不同，只填写制造商类型）</w:t>
      </w:r>
      <w:r>
        <w:rPr>
          <w:rFonts w:ascii="宋体" w:eastAsia="宋体" w:hAnsi="宋体" w:hint="eastAsia"/>
          <w:szCs w:val="21"/>
        </w:rPr>
        <w:t>：</w:t>
      </w:r>
    </w:p>
    <w:p>
      <w:pPr>
        <w:adjustRightInd w:val="0"/>
        <w:snapToGrid w:val="0"/>
        <w:spacing w:beforeLines="0" w:line="400" w:lineRule="exact"/>
        <w:ind w:firstLine="840" w:firstLineChars="40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大型企业  </w:t>
      </w:r>
      <w:r>
        <w:rPr>
          <w:rFonts w:ascii="Wingdings" w:eastAsia="宋体" w:hAnsi="Wingdings" w:hint="eastAsia"/>
          <w:iCs/>
          <w:szCs w:val="21"/>
        </w:rPr>
        <w:t>¨</w:t>
      </w:r>
      <w:r>
        <w:rPr>
          <w:rFonts w:ascii="宋体" w:eastAsia="宋体" w:hAnsi="宋体" w:hint="eastAsia"/>
          <w:iCs/>
          <w:szCs w:val="21"/>
        </w:rPr>
        <w:t xml:space="preserve">中型企业  </w:t>
      </w:r>
      <w:r>
        <w:rPr>
          <w:rFonts w:ascii="Wingdings" w:eastAsia="宋体" w:hAnsi="Wingdings" w:hint="eastAsia"/>
          <w:iCs/>
          <w:szCs w:val="21"/>
        </w:rPr>
        <w:t>¨</w:t>
      </w:r>
      <w:r>
        <w:rPr>
          <w:rFonts w:ascii="宋体" w:eastAsia="宋体" w:hAnsi="宋体" w:hint="eastAsia"/>
          <w:iCs/>
          <w:szCs w:val="21"/>
        </w:rPr>
        <w:t>小微型企业</w:t>
      </w:r>
      <w:r>
        <w:rPr>
          <w:rFonts w:ascii="宋体" w:eastAsia="宋体" w:hAnsi="宋体" w:hint="eastAsia"/>
          <w:iCs/>
          <w:szCs w:val="21"/>
          <w:lang w:val="en-US" w:eastAsia="zh-CN"/>
        </w:rPr>
        <w:t xml:space="preserve">  </w:t>
      </w:r>
    </w:p>
    <w:p>
      <w:pPr>
        <w:adjustRightInd w:val="0"/>
        <w:snapToGrid w:val="0"/>
        <w:spacing w:beforeLines="0" w:line="400" w:lineRule="exact"/>
        <w:ind w:firstLine="840" w:firstLineChars="400"/>
        <w:outlineLvl w:val="9"/>
        <w:rPr>
          <w:rFonts w:eastAsia="华文楷体" w:hint="default"/>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残疾人福利性单位</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监狱</w:t>
      </w:r>
      <w:r>
        <w:rPr>
          <w:rFonts w:ascii="宋体" w:eastAsia="宋体" w:hAnsi="宋体" w:hint="eastAsia"/>
          <w:iCs/>
          <w:szCs w:val="21"/>
        </w:rPr>
        <w:t>企业</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cs="宋体" w:hint="eastAsia"/>
          <w:iCs/>
          <w:szCs w:val="21"/>
          <w:highlight w:val="none"/>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highlight w:val="none"/>
          <w:u w:val="none"/>
          <w:lang w:val="en-US" w:eastAsia="zh-CN"/>
        </w:rPr>
        <w:t>（</w:t>
      </w:r>
      <w:r>
        <w:rPr>
          <w:rFonts w:ascii="宋体" w:eastAsia="宋体" w:hAnsi="宋体" w:cs="宋体" w:hint="default"/>
          <w:szCs w:val="21"/>
          <w:highlight w:val="none"/>
          <w:u w:val="none"/>
          <w:lang w:eastAsia="zh-CN"/>
        </w:rPr>
        <w:t>8</w:t>
      </w:r>
      <w:r>
        <w:rPr>
          <w:rFonts w:ascii="宋体" w:eastAsia="宋体" w:hAnsi="宋体" w:cs="宋体" w:hint="eastAsia"/>
          <w:szCs w:val="21"/>
          <w:highlight w:val="none"/>
          <w:u w:val="none"/>
          <w:lang w:val="en-US" w:eastAsia="zh-CN"/>
        </w:rPr>
        <w:t>）中标（成交）供应商是否为外商投资企业：</w:t>
      </w:r>
      <w:r>
        <w:rPr>
          <w:rFonts w:ascii="Wingdings" w:eastAsia="宋体" w:hAnsi="Wingdings" w:cs="宋体" w:hint="eastAsia"/>
          <w:iCs/>
          <w:szCs w:val="21"/>
          <w:highlight w:val="none"/>
        </w:rPr>
        <w:t>¨</w:t>
      </w:r>
      <w:r>
        <w:rPr>
          <w:rFonts w:ascii="宋体" w:eastAsia="宋体" w:hAnsi="宋体" w:cs="宋体" w:hint="eastAsia"/>
          <w:iCs/>
          <w:szCs w:val="21"/>
          <w:highlight w:val="none"/>
        </w:rPr>
        <w:t xml:space="preserve">是       </w:t>
      </w:r>
      <w:r>
        <w:rPr>
          <w:rFonts w:ascii="Wingdings" w:eastAsia="宋体" w:hAnsi="Wingdings" w:cs="宋体" w:hint="eastAsia"/>
          <w:iCs/>
          <w:szCs w:val="21"/>
          <w:highlight w:val="none"/>
        </w:rPr>
        <w:t>¨</w:t>
      </w:r>
      <w:r>
        <w:rPr>
          <w:rFonts w:ascii="宋体" w:eastAsia="宋体" w:hAnsi="宋体" w:cs="宋体" w:hint="eastAsia"/>
          <w:iCs/>
          <w:szCs w:val="21"/>
          <w:highlight w:val="none"/>
        </w:rPr>
        <w:t>否</w:t>
      </w:r>
    </w:p>
    <w:p>
      <w:pPr>
        <w:tabs>
          <w:tab w:val="left" w:pos="1340"/>
        </w:tabs>
        <w:autoSpaceDE w:val="0"/>
        <w:autoSpaceDN w:val="0"/>
        <w:adjustRightInd w:val="0"/>
        <w:spacing w:beforeLines="0" w:line="400" w:lineRule="exact"/>
        <w:ind w:firstLine="420" w:firstLineChars="200"/>
        <w:outlineLvl w:val="9"/>
        <w:rPr>
          <w:rFonts w:ascii="宋体" w:eastAsia="宋体" w:hAnsi="宋体" w:cs="宋体" w:hint="eastAsia"/>
          <w:sz w:val="21"/>
          <w:szCs w:val="21"/>
          <w:highlight w:val="none"/>
          <w:u w:val="single"/>
          <w:lang w:val="en-US" w:eastAsia="zh-CN" w:bidi="ar-SA"/>
        </w:rPr>
      </w:pPr>
      <w:r>
        <w:rPr>
          <w:rFonts w:ascii="宋体" w:eastAsia="宋体" w:hAnsi="宋体" w:cs="宋体" w:hint="eastAsia"/>
          <w:sz w:val="21"/>
          <w:szCs w:val="21"/>
          <w:highlight w:val="none"/>
          <w:u w:val="none"/>
          <w:lang w:val="en-US" w:eastAsia="zh-CN" w:bidi="ar-SA"/>
        </w:rPr>
        <w:t xml:space="preserve">     外商投资企业类型：</w:t>
      </w:r>
      <w:r>
        <w:rPr>
          <w:rFonts w:ascii="Wingdings" w:eastAsia="宋体" w:hAnsi="Wingdings" w:cs="宋体" w:hint="eastAsia"/>
          <w:iCs/>
          <w:sz w:val="21"/>
          <w:szCs w:val="21"/>
          <w:highlight w:val="none"/>
          <w:lang w:val="en-US" w:eastAsia="zh-CN" w:bidi="ar-SA"/>
        </w:rPr>
        <w:t>¨</w:t>
      </w:r>
      <w:r>
        <w:rPr>
          <w:rFonts w:ascii="宋体" w:eastAsia="宋体" w:hAnsi="宋体" w:cs="宋体" w:hint="eastAsia"/>
          <w:sz w:val="21"/>
          <w:szCs w:val="21"/>
          <w:highlight w:val="none"/>
          <w:u w:val="none"/>
          <w:lang w:val="en-US" w:eastAsia="zh-CN" w:bidi="ar-SA"/>
        </w:rPr>
        <w:t xml:space="preserve">全部由外国投资者投资  </w:t>
      </w:r>
      <w:r>
        <w:rPr>
          <w:rFonts w:ascii="Wingdings" w:eastAsia="宋体" w:hAnsi="Wingdings" w:cs="宋体" w:hint="eastAsia"/>
          <w:iCs/>
          <w:sz w:val="21"/>
          <w:szCs w:val="21"/>
          <w:highlight w:val="none"/>
          <w:lang w:val="en-US" w:eastAsia="zh-CN" w:bidi="ar-SA"/>
        </w:rPr>
        <w:t>¨</w:t>
      </w:r>
      <w:r>
        <w:rPr>
          <w:rFonts w:ascii="宋体" w:eastAsia="宋体" w:hAnsi="宋体" w:cs="宋体" w:hint="eastAsia"/>
          <w:iCs/>
          <w:sz w:val="21"/>
          <w:szCs w:val="21"/>
          <w:highlight w:val="none"/>
          <w:lang w:val="en-US" w:eastAsia="zh-CN" w:bidi="ar-SA"/>
        </w:rPr>
        <w:t>部分由外国投资者投资</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b w:val="0"/>
          <w:bCs w:val="0"/>
          <w:sz w:val="21"/>
          <w:szCs w:val="21"/>
          <w:u w:val="none"/>
          <w:lang w:val="en-US" w:eastAsia="zh-CN"/>
        </w:rPr>
      </w:pPr>
      <w:r>
        <w:rPr>
          <w:rFonts w:ascii="宋体" w:eastAsia="宋体" w:hAnsi="宋体" w:cs="宋体" w:hint="eastAsia"/>
          <w:b w:val="0"/>
          <w:bCs w:val="0"/>
          <w:sz w:val="21"/>
          <w:szCs w:val="21"/>
          <w:u w:val="none"/>
          <w:lang w:val="en-US" w:eastAsia="zh-CN"/>
        </w:rPr>
        <w:t>（</w:t>
      </w:r>
      <w:r>
        <w:rPr>
          <w:rFonts w:ascii="宋体" w:eastAsia="宋体" w:hAnsi="宋体" w:cs="宋体" w:hint="default"/>
          <w:b w:val="0"/>
          <w:bCs w:val="0"/>
          <w:sz w:val="21"/>
          <w:szCs w:val="21"/>
          <w:u w:val="none"/>
          <w:lang w:eastAsia="zh-CN"/>
        </w:rPr>
        <w:t>9</w:t>
      </w:r>
      <w:r>
        <w:rPr>
          <w:rFonts w:ascii="宋体" w:eastAsia="宋体" w:hAnsi="宋体" w:cs="宋体" w:hint="eastAsia"/>
          <w:b w:val="0"/>
          <w:bCs w:val="0"/>
          <w:sz w:val="21"/>
          <w:szCs w:val="21"/>
          <w:u w:val="none"/>
          <w:lang w:val="en-US" w:eastAsia="zh-CN"/>
        </w:rPr>
        <w:t>）是否涉及进口产品：</w:t>
      </w:r>
    </w:p>
    <w:p>
      <w:pPr>
        <w:numPr>
          <w:ilvl w:val="255"/>
          <w:numId w:val="0"/>
        </w:numPr>
        <w:adjustRightInd w:val="0"/>
        <w:snapToGrid w:val="0"/>
        <w:spacing w:before="0" w:beforeLines="0" w:line="400" w:lineRule="exact"/>
        <w:ind w:firstLine="840" w:firstLineChars="400"/>
        <w:outlineLvl w:val="9"/>
        <w:rPr>
          <w:rFonts w:ascii="宋体" w:eastAsia="宋体" w:hAnsi="宋体" w:cs="宋体" w:hint="eastAsia"/>
          <w:szCs w:val="21"/>
          <w:u w:val="single"/>
          <w:lang w:val="en-US" w:eastAsia="zh-CN"/>
        </w:rPr>
      </w:pPr>
      <w:r>
        <w:rPr>
          <w:rFonts w:ascii="宋体" w:eastAsia="宋体" w:hAnsi="宋体" w:cs="宋体" w:hint="eastAsia"/>
          <w:iCs w:val="0"/>
          <w:szCs w:val="21"/>
          <w:lang w:val="en-US" w:eastAsia="zh-CN"/>
        </w:rPr>
        <w:t xml:space="preserve"> </w:t>
      </w:r>
      <w:r>
        <w:rPr>
          <w:rFonts w:ascii="Wingdings" w:eastAsia="宋体" w:hAnsi="Wingdings" w:cs="宋体" w:hint="eastAsia"/>
          <w:iCs w:val="0"/>
          <w:szCs w:val="21"/>
        </w:rPr>
        <w:t>¨</w:t>
      </w:r>
      <w:r>
        <w:rPr>
          <w:rFonts w:ascii="宋体" w:eastAsia="宋体" w:hAnsi="宋体" w:cs="宋体" w:hint="eastAsia"/>
          <w:iCs w:val="0"/>
          <w:szCs w:val="21"/>
        </w:rPr>
        <w:t>是</w:t>
      </w:r>
      <w:r>
        <w:rPr>
          <w:rFonts w:ascii="宋体" w:eastAsia="宋体" w:hAnsi="宋体" w:cs="宋体" w:hint="eastAsia"/>
          <w:iCs w:val="0"/>
          <w:szCs w:val="21"/>
          <w:lang w:eastAsia="zh-CN"/>
        </w:rPr>
        <w:t>，《政府采购品目分类目录》底级品目名称</w:t>
      </w:r>
      <w:r>
        <w:rPr>
          <w:rFonts w:ascii="宋体" w:eastAsia="宋体" w:hAnsi="宋体" w:cs="宋体" w:hint="eastAsia"/>
          <w:szCs w:val="21"/>
          <w:lang w:val="en-US" w:eastAsia="zh-CN"/>
        </w:rPr>
        <w:t>：</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金额：</w:t>
      </w:r>
      <w:r>
        <w:rPr>
          <w:rFonts w:ascii="宋体" w:eastAsia="宋体" w:hAnsi="宋体" w:cs="宋体" w:hint="eastAsia"/>
          <w:szCs w:val="21"/>
          <w:u w:val="single"/>
          <w:lang w:val="en-US" w:eastAsia="zh-CN"/>
        </w:rPr>
        <w:t xml:space="preserve">        </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rPr>
      </w:pPr>
      <w:r>
        <w:rPr>
          <w:rFonts w:ascii="宋体" w:eastAsia="宋体" w:hAnsi="宋体" w:cs="宋体" w:hint="eastAsia"/>
          <w:szCs w:val="21"/>
          <w:lang w:val="en-US" w:eastAsia="zh-CN"/>
        </w:rPr>
        <w:t xml:space="preserve">        国别：</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规格型号：</w:t>
      </w:r>
      <w:r>
        <w:rPr>
          <w:rFonts w:ascii="宋体" w:eastAsia="宋体" w:hAnsi="宋体" w:cs="宋体" w:hint="eastAsia"/>
          <w:szCs w:val="21"/>
          <w:u w:val="single"/>
          <w:lang w:val="en-US" w:eastAsia="zh-CN"/>
        </w:rPr>
        <w:t xml:space="preserve">        </w:t>
      </w:r>
      <w:r>
        <w:rPr>
          <w:rFonts w:ascii="宋体" w:eastAsia="宋体" w:hAnsi="宋体" w:hint="eastAsia"/>
          <w:iCs w:val="0"/>
          <w:szCs w:val="21"/>
        </w:rPr>
        <w:t xml:space="preserve">      </w:t>
      </w:r>
    </w:p>
    <w:p>
      <w:pPr>
        <w:adjustRightInd w:val="0"/>
        <w:snapToGrid w:val="0"/>
        <w:spacing w:before="0" w:beforeLines="0" w:line="400" w:lineRule="exact"/>
        <w:ind w:firstLine="840" w:firstLineChars="400"/>
        <w:outlineLvl w:val="9"/>
        <w:rPr>
          <w:rFonts w:ascii="宋体" w:eastAsia="宋体" w:hAnsi="宋体" w:hint="eastAsia"/>
          <w:szCs w:val="21"/>
          <w:u w:val="none"/>
          <w:lang w:val="en-US" w:eastAsia="zh-CN"/>
        </w:rPr>
      </w:pP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（1</w:t>
      </w:r>
      <w:r>
        <w:rPr>
          <w:rFonts w:ascii="宋体" w:eastAsia="宋体" w:hAnsi="宋体" w:hint="default"/>
          <w:b w:val="0"/>
          <w:bCs w:val="0"/>
          <w:sz w:val="21"/>
          <w:szCs w:val="21"/>
          <w:u w:val="none"/>
          <w:lang w:eastAsia="zh-CN"/>
        </w:rPr>
        <w:t>0</w:t>
      </w:r>
      <w:r>
        <w:rPr>
          <w:rFonts w:ascii="宋体" w:eastAsia="宋体" w:hAnsi="宋体" w:hint="eastAsia"/>
          <w:b w:val="0"/>
          <w:bCs w:val="0"/>
          <w:sz w:val="21"/>
          <w:szCs w:val="21"/>
          <w:u w:val="none"/>
          <w:lang w:val="en-US" w:eastAsia="zh-CN"/>
        </w:rPr>
        <w:t>）是否涉及节能产品：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，《节能产品政府采购品目清单》的底级品目名称：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是否涉及环境标志产品：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lang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，《环境标志产品政府采购品目清单》的底级品目名称：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Times New Roman" w:hint="eastAsia"/>
          <w:iCs w:val="0"/>
          <w:kern w:val="2"/>
          <w:sz w:val="21"/>
          <w:szCs w:val="21"/>
          <w:u w:val="none"/>
          <w:lang w:val="en-US" w:eastAsia="zh-CN" w:bidi="ar-SA"/>
        </w:rPr>
      </w:pPr>
      <w:r>
        <w:rPr>
          <w:rFonts w:ascii="宋体" w:eastAsia="华文楷体" w:hAnsi="宋体" w:cs="华文楷体" w:hint="eastAsia"/>
          <w:b w:val="0"/>
          <w:bCs w:val="0"/>
          <w:sz w:val="21"/>
          <w:szCs w:val="21"/>
          <w:u w:val="none"/>
          <w:lang w:val="en-US" w:eastAsia="zh-CN" w:bidi="ar-SA"/>
        </w:rPr>
        <w:t xml:space="preserve">          </w:t>
      </w:r>
      <w:r>
        <w:rPr>
          <w:rFonts w:ascii="宋体" w:eastAsia="宋体" w:hAnsi="宋体" w:cs="Times New Roman" w:hint="eastAsia"/>
          <w:b w:val="0"/>
          <w:bCs w:val="0"/>
          <w:kern w:val="2"/>
          <w:sz w:val="21"/>
          <w:szCs w:val="21"/>
          <w:u w:val="none"/>
          <w:lang w:val="en-US" w:eastAsia="zh-CN" w:bidi="ar-SA"/>
        </w:rPr>
        <w:t>是否涉及绿色产品：</w:t>
      </w:r>
      <w:r>
        <w:rPr>
          <w:rFonts w:ascii="宋体" w:eastAsia="宋体" w:hAnsi="宋体" w:cs="Times New Roman" w:hint="eastAsia"/>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outlineLvl w:val="9"/>
        <w:rPr>
          <w:rFonts w:ascii="宋体" w:eastAsia="宋体" w:hAnsi="宋体" w:cs="华文楷体" w:hint="eastAsia"/>
          <w:sz w:val="22"/>
          <w:szCs w:val="21"/>
          <w:u w:val="singl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是，绿色产品政府采购相关政策确定的底级品目名称：</w:t>
      </w:r>
      <w:r>
        <w:rPr>
          <w:rFonts w:ascii="宋体" w:eastAsia="宋体" w:hAnsi="宋体" w:cs="华文楷体" w:hint="eastAsia"/>
          <w:sz w:val="22"/>
          <w:szCs w:val="21"/>
          <w:u w:val="single"/>
          <w:lang w:val="en-US" w:eastAsia="zh-CN" w:bidi="ar-SA"/>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autoSpaceDE w:val="0"/>
        <w:autoSpaceDN w:val="0"/>
        <w:adjustRightInd w:val="0"/>
        <w:spacing w:beforeLines="0" w:line="400" w:lineRule="exact"/>
        <w:ind w:firstLine="420" w:firstLineChars="0"/>
        <w:outlineLvl w:val="9"/>
        <w:rPr>
          <w:rFonts w:ascii="宋体" w:eastAsia="华文楷体" w:hAnsi="宋体" w:cs="华文楷体" w:hint="eastAsia"/>
          <w:b w:val="0"/>
          <w:bCs w:val="0"/>
          <w:sz w:val="21"/>
          <w:szCs w:val="21"/>
          <w:u w:val="non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（1</w:t>
      </w:r>
      <w:r>
        <w:rPr>
          <w:rFonts w:ascii="宋体" w:eastAsia="宋体" w:hAnsi="宋体" w:hint="default"/>
          <w:szCs w:val="21"/>
          <w:lang w:eastAsia="zh-CN"/>
        </w:rPr>
        <w:t>1</w:t>
      </w:r>
      <w:r>
        <w:rPr>
          <w:rFonts w:ascii="宋体" w:eastAsia="宋体" w:hAnsi="宋体" w:hint="eastAsia"/>
          <w:szCs w:val="21"/>
          <w:lang w:val="en-US" w:eastAsia="zh-CN"/>
        </w:rPr>
        <w:t>）涉及商品包装和快递包装的，是否参考</w:t>
      </w:r>
      <w:r>
        <w:rPr>
          <w:rFonts w:ascii="宋体" w:eastAsia="宋体" w:hAnsi="宋体" w:hint="eastAsia"/>
          <w:szCs w:val="21"/>
        </w:rPr>
        <w:t>《商品包装政府采购需求标准（试行）》、《快递包装政府采购需求标准（试行）》</w:t>
      </w:r>
      <w:r>
        <w:rPr>
          <w:rFonts w:ascii="宋体" w:eastAsia="宋体" w:hAnsi="宋体" w:hint="eastAsia"/>
          <w:szCs w:val="21"/>
          <w:lang w:eastAsia="zh-CN"/>
        </w:rPr>
        <w:t>明确产品及相关快递服务的具体包装要求：</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lang w:val="en-US" w:eastAsia="zh-CN"/>
        </w:rPr>
      </w:pPr>
      <w:r>
        <w:rPr>
          <w:rFonts w:ascii="Wingdings" w:eastAsia="宋体" w:hAnsi="Wingdings" w:hint="eastAsia"/>
          <w:iCs w:val="0"/>
          <w:szCs w:val="21"/>
        </w:rPr>
        <w:t>¨</w:t>
      </w:r>
      <w:r>
        <w:rPr>
          <w:rFonts w:ascii="宋体" w:eastAsia="宋体" w:hAnsi="宋体" w:hint="eastAsia"/>
          <w:iCs w:val="0"/>
          <w:szCs w:val="21"/>
        </w:rPr>
        <w:t xml:space="preserve">是       </w:t>
      </w:r>
      <w:r>
        <w:rPr>
          <w:rFonts w:ascii="Wingdings" w:eastAsia="宋体" w:hAnsi="Wingdings" w:hint="eastAsia"/>
          <w:iCs w:val="0"/>
          <w:szCs w:val="21"/>
        </w:rPr>
        <w:t>¨</w:t>
      </w:r>
      <w:r>
        <w:rPr>
          <w:rFonts w:ascii="宋体" w:eastAsia="宋体" w:hAnsi="宋体" w:hint="eastAsia"/>
          <w:iCs w:val="0"/>
          <w:szCs w:val="21"/>
        </w:rPr>
        <w:t>否</w:t>
      </w: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不涉及</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highlight w:val="none"/>
        </w:rPr>
      </w:pPr>
      <w:r>
        <w:rPr>
          <w:rFonts w:ascii="宋体" w:eastAsia="宋体" w:hAnsi="宋体" w:hint="eastAsia"/>
          <w:b/>
          <w:szCs w:val="21"/>
          <w:highlight w:val="none"/>
        </w:rPr>
        <w:t>合同金额</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（1）合同金额小写：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left="0" w:firstLine="0" w:firstLineChars="0"/>
        <w:outlineLvl w:val="9"/>
        <w:rPr>
          <w:rFonts w:ascii="宋体" w:eastAsia="宋体" w:hAnsi="宋体"/>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szCs w:val="21"/>
        </w:rPr>
      </w:pPr>
      <w:r>
        <w:rPr>
          <w:rFonts w:ascii="宋体" w:eastAsia="宋体" w:hAnsi="宋体" w:hint="eastAsia"/>
          <w:szCs w:val="21"/>
          <w:lang w:val="en-US" w:eastAsia="zh-CN"/>
        </w:rPr>
        <w:t xml:space="preserve">         </w:t>
      </w:r>
      <w:r>
        <w:rPr>
          <w:rFonts w:ascii="宋体" w:eastAsia="宋体" w:hAnsi="宋体" w:hint="eastAsia"/>
          <w:szCs w:val="21"/>
        </w:rPr>
        <w:t>分包金额</w:t>
      </w:r>
      <w:r>
        <w:rPr>
          <w:rFonts w:ascii="宋体" w:eastAsia="宋体" w:hAnsi="宋体" w:hint="eastAsia"/>
          <w:szCs w:val="21"/>
          <w:lang w:eastAsia="zh-CN"/>
        </w:rPr>
        <w:t>（如有）</w:t>
      </w:r>
      <w:r>
        <w:rPr>
          <w:rFonts w:ascii="宋体" w:eastAsia="宋体" w:hAnsi="宋体" w:hint="eastAsia"/>
          <w:szCs w:val="21"/>
        </w:rPr>
        <w:t>小写：</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（注：固定单价合同应填写单价和最高限价）</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rPr>
      </w:pPr>
      <w:r>
        <w:rPr>
          <w:rFonts w:ascii="宋体" w:eastAsia="宋体" w:hAnsi="宋体" w:hint="eastAsia"/>
          <w:szCs w:val="21"/>
          <w:lang w:val="en-US" w:eastAsia="zh-CN"/>
        </w:rPr>
        <w:t xml:space="preserve">    </w:t>
      </w:r>
      <w:r>
        <w:rPr>
          <w:rFonts w:ascii="宋体" w:eastAsia="宋体" w:hAnsi="宋体" w:hint="eastAsia"/>
          <w:szCs w:val="21"/>
          <w:lang w:eastAsia="zh-CN"/>
        </w:rPr>
        <w:t>（</w:t>
      </w:r>
      <w:r>
        <w:rPr>
          <w:rFonts w:ascii="宋体" w:eastAsia="宋体" w:hAnsi="宋体" w:hint="eastAsia"/>
          <w:szCs w:val="21"/>
          <w:lang w:val="en-US" w:eastAsia="zh-CN"/>
        </w:rPr>
        <w:t>2</w:t>
      </w:r>
      <w:r>
        <w:rPr>
          <w:rFonts w:ascii="宋体" w:eastAsia="宋体" w:hAnsi="宋体" w:hint="eastAsia"/>
          <w:szCs w:val="21"/>
          <w:lang w:eastAsia="zh-CN"/>
        </w:rPr>
        <w:t>）</w:t>
      </w:r>
      <w:r>
        <w:rPr>
          <w:rFonts w:ascii="宋体" w:eastAsia="宋体" w:hAnsi="宋体" w:hint="eastAsia"/>
          <w:szCs w:val="21"/>
        </w:rPr>
        <w:t>合同定价方式</w:t>
      </w:r>
      <w:r>
        <w:rPr>
          <w:rFonts w:ascii="宋体" w:eastAsia="宋体" w:hAnsi="宋体" w:hint="eastAsia"/>
          <w:szCs w:val="21"/>
          <w:lang w:eastAsia="zh-CN"/>
        </w:rPr>
        <w:t>（采用组合定价方式的，可以勾选多项）</w:t>
      </w:r>
      <w:r>
        <w:rPr>
          <w:rFonts w:ascii="宋体" w:eastAsia="宋体" w:hAnsi="宋体" w:hint="eastAsia"/>
          <w:szCs w:val="21"/>
        </w:rPr>
        <w:t>：</w:t>
      </w:r>
    </w:p>
    <w:p>
      <w:pPr>
        <w:adjustRightInd w:val="0"/>
        <w:snapToGrid w:val="0"/>
        <w:spacing w:before="0" w:beforeLines="0" w:line="400" w:lineRule="exact"/>
        <w:ind w:firstLine="420" w:firstLineChars="200"/>
        <w:outlineLvl w:val="9"/>
        <w:rPr>
          <w:rFonts w:ascii="宋体" w:eastAsia="宋体" w:hAnsi="宋体" w:hint="eastAsia"/>
          <w:szCs w:val="21"/>
          <w:lang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固定总价 </w:t>
      </w:r>
      <w:r>
        <w:rPr>
          <w:rFonts w:ascii="Wingdings" w:eastAsia="宋体" w:hAnsi="Wingdings" w:hint="eastAsia"/>
          <w:iCs/>
          <w:szCs w:val="21"/>
        </w:rPr>
        <w:t>¨</w:t>
      </w:r>
      <w:r>
        <w:rPr>
          <w:rFonts w:ascii="宋体" w:eastAsia="宋体" w:hAnsi="宋体" w:hint="eastAsia"/>
          <w:iCs/>
          <w:szCs w:val="21"/>
        </w:rPr>
        <w:t>固定单价</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固定费率</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 xml:space="preserve">成本补偿 </w:t>
      </w:r>
      <w:r>
        <w:rPr>
          <w:rFonts w:ascii="Wingdings" w:eastAsia="宋体" w:hAnsi="Wingdings" w:hint="eastAsia"/>
          <w:iCs/>
          <w:szCs w:val="21"/>
        </w:rPr>
        <w:t>¨</w:t>
      </w:r>
      <w:r>
        <w:rPr>
          <w:rFonts w:ascii="宋体" w:eastAsia="宋体" w:hAnsi="宋体" w:hint="eastAsia"/>
          <w:iCs/>
          <w:szCs w:val="21"/>
        </w:rPr>
        <w:t>绩效激励</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r>
        <w:rPr>
          <w:rFonts w:ascii="宋体" w:eastAsia="宋体" w:hAnsi="宋体" w:hint="eastAsia"/>
          <w:szCs w:val="21"/>
          <w:u w:val="single"/>
        </w:rPr>
        <w:t xml:space="preserve">       </w:t>
      </w:r>
    </w:p>
    <w:p>
      <w:pPr>
        <w:widowControl w:val="0"/>
        <w:spacing w:beforeLines="0" w:line="400" w:lineRule="exact"/>
        <w:ind w:firstLine="420" w:firstLineChars="200"/>
        <w:jc w:val="both"/>
        <w:outlineLvl w:val="9"/>
        <w:rPr>
          <w:rFonts w:ascii="Times New Roman" w:eastAsia="宋体" w:hAnsi="Times New Roman" w:cs="Times New Roman"/>
          <w:kern w:val="2"/>
          <w:sz w:val="21"/>
          <w:szCs w:val="21"/>
          <w:lang w:val="en-US" w:eastAsia="zh-CN" w:bidi="ar-SA"/>
        </w:rPr>
      </w:pPr>
      <w:r>
        <w:rPr>
          <w:rFonts w:ascii="宋体" w:eastAsia="宋体" w:hAnsi="宋体" w:cs="Times New Roman" w:hint="eastAsia"/>
          <w:kern w:val="2"/>
          <w:sz w:val="21"/>
          <w:szCs w:val="21"/>
          <w:lang w:val="en-US" w:eastAsia="zh-CN" w:bidi="ar-SA"/>
        </w:rPr>
        <w:t>（3）付款方式（按项目实际勾选填写）：</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全额付款：</w:t>
      </w:r>
      <w:r>
        <w:rPr>
          <w:rFonts w:ascii="宋体" w:eastAsia="宋体" w:hAnsi="宋体" w:hint="eastAsia"/>
          <w:szCs w:val="21"/>
          <w:u w:val="single"/>
        </w:rPr>
        <w:t xml:space="preserve">     （应</w:t>
      </w:r>
      <w:r>
        <w:rPr>
          <w:rFonts w:ascii="宋体" w:eastAsia="宋体" w:hAnsi="宋体" w:hint="eastAsia"/>
          <w:szCs w:val="21"/>
          <w:u w:val="single"/>
          <w:lang w:eastAsia="zh-CN"/>
        </w:rPr>
        <w:t>明确</w:t>
      </w:r>
      <w:r>
        <w:rPr>
          <w:rFonts w:ascii="宋体" w:eastAsia="宋体" w:hAnsi="宋体" w:hint="eastAsia"/>
          <w:szCs w:val="21"/>
          <w:u w:val="single"/>
        </w:rPr>
        <w:t>一次性支付合同款项</w:t>
      </w:r>
      <w:r>
        <w:rPr>
          <w:rFonts w:ascii="宋体" w:eastAsia="宋体" w:hAnsi="宋体" w:hint="eastAsia"/>
          <w:szCs w:val="21"/>
          <w:u w:val="single"/>
          <w:lang w:eastAsia="zh-CN"/>
        </w:rPr>
        <w:t>的条件</w:t>
      </w:r>
      <w:r>
        <w:rPr>
          <w:rFonts w:ascii="宋体" w:eastAsia="宋体" w:hAnsi="宋体" w:hint="eastAsia"/>
          <w:szCs w:val="21"/>
          <w:u w:val="single"/>
        </w:rPr>
        <w:t xml:space="preserve">）                    </w:t>
      </w:r>
    </w:p>
    <w:p>
      <w:pPr>
        <w:snapToGrid w:val="0"/>
        <w:spacing w:beforeLines="0" w:line="400" w:lineRule="exact"/>
        <w:ind w:firstLine="630" w:firstLineChars="300"/>
        <w:outlineLvl w:val="9"/>
        <w:rPr>
          <w:rFonts w:eastAsia="宋体"/>
        </w:rPr>
      </w:pPr>
      <w:r>
        <w:rPr>
          <w:rFonts w:ascii="Wingdings" w:eastAsia="宋体" w:hAnsi="Wingdings" w:hint="eastAsia"/>
          <w:szCs w:val="21"/>
        </w:rPr>
        <w:t>¨</w:t>
      </w:r>
      <w:r>
        <w:rPr>
          <w:rFonts w:ascii="宋体" w:eastAsia="宋体" w:hAnsi="宋体" w:hint="eastAsia"/>
          <w:szCs w:val="21"/>
        </w:rPr>
        <w:t>分期付款：</w:t>
      </w:r>
      <w:r>
        <w:rPr>
          <w:rFonts w:ascii="宋体" w:eastAsia="宋体" w:hAnsi="宋体" w:hint="eastAsia"/>
          <w:szCs w:val="21"/>
          <w:u w:val="single"/>
        </w:rPr>
        <w:t xml:space="preserve">  （应明确分期支付合同款项的各期比例和支付条件</w:t>
      </w:r>
      <w:r>
        <w:rPr>
          <w:rFonts w:ascii="宋体" w:eastAsia="宋体" w:hAnsi="宋体" w:hint="eastAsia"/>
          <w:szCs w:val="21"/>
          <w:u w:val="single"/>
          <w:lang w:eastAsia="zh-CN"/>
        </w:rPr>
        <w:t>，各期支付条件应与分期履约验收情况挂钩</w:t>
      </w:r>
      <w:r>
        <w:rPr>
          <w:rFonts w:ascii="宋体" w:eastAsia="宋体" w:hAnsi="宋体" w:hint="eastAsia"/>
          <w:szCs w:val="21"/>
          <w:u w:val="single"/>
        </w:rPr>
        <w:t xml:space="preserve">） </w:t>
      </w:r>
      <w:r>
        <w:rPr>
          <w:rFonts w:ascii="宋体" w:eastAsia="宋体" w:hAnsi="宋体" w:hint="eastAsia"/>
          <w:szCs w:val="21"/>
          <w:u w:val="none"/>
          <w:lang w:eastAsia="zh-CN"/>
        </w:rPr>
        <w:t>，</w:t>
      </w:r>
      <w:r>
        <w:rPr>
          <w:rFonts w:ascii="宋体" w:eastAsia="宋体" w:hAnsi="宋体" w:hint="eastAsia"/>
          <w:szCs w:val="21"/>
          <w:lang w:eastAsia="zh-CN"/>
        </w:rPr>
        <w:t>其中涉及预付款的</w:t>
      </w:r>
      <w:r>
        <w:rPr>
          <w:rFonts w:ascii="宋体" w:eastAsia="宋体" w:hAnsi="宋体" w:hint="eastAsia"/>
          <w:szCs w:val="21"/>
        </w:rPr>
        <w:t>：</w:t>
      </w:r>
      <w:r>
        <w:rPr>
          <w:rFonts w:ascii="宋体" w:eastAsia="宋体" w:hAnsi="宋体" w:hint="eastAsia"/>
          <w:szCs w:val="21"/>
          <w:u w:val="single"/>
        </w:rPr>
        <w:t xml:space="preserve"> （应明确预付款的支付比例和支付条件） </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成本补偿：</w:t>
      </w:r>
      <w:r>
        <w:rPr>
          <w:rFonts w:ascii="宋体" w:eastAsia="宋体" w:hAnsi="宋体" w:hint="eastAsia"/>
          <w:szCs w:val="21"/>
          <w:u w:val="single"/>
        </w:rPr>
        <w:t xml:space="preserve">      （应明确按照成本补偿方式的支付方式和支付条件）   </w:t>
      </w:r>
    </w:p>
    <w:p>
      <w:pPr>
        <w:adjustRightInd w:val="0"/>
        <w:snapToGrid w:val="0"/>
        <w:spacing w:before="0" w:beforeLines="0" w:line="400" w:lineRule="exact"/>
        <w:ind w:firstLine="630" w:firstLineChars="300"/>
        <w:outlineLvl w:val="9"/>
        <w:rPr>
          <w:rFonts w:ascii="宋体" w:eastAsia="宋体" w:hAnsi="宋体"/>
          <w:szCs w:val="21"/>
        </w:rPr>
      </w:pPr>
      <w:r>
        <w:rPr>
          <w:rFonts w:ascii="Wingdings" w:eastAsia="宋体" w:hAnsi="Wingdings" w:hint="eastAsia"/>
          <w:szCs w:val="21"/>
        </w:rPr>
        <w:t>¨</w:t>
      </w:r>
      <w:r>
        <w:rPr>
          <w:rFonts w:ascii="宋体" w:eastAsia="宋体" w:hAnsi="宋体" w:hint="eastAsia"/>
          <w:szCs w:val="21"/>
        </w:rPr>
        <w:t>绩效激励：</w:t>
      </w:r>
      <w:r>
        <w:rPr>
          <w:rFonts w:ascii="宋体" w:eastAsia="宋体" w:hAnsi="宋体" w:hint="eastAsia"/>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0" w:firstLineChars="200"/>
        <w:outlineLvl w:val="9"/>
        <w:rPr>
          <w:rFonts w:ascii="宋体" w:eastAsia="宋体" w:hAnsi="宋体"/>
          <w:b/>
          <w:bCs w:val="0"/>
          <w:szCs w:val="21"/>
          <w:u w:val="single"/>
        </w:rPr>
      </w:pPr>
      <w:r>
        <w:rPr>
          <w:rFonts w:ascii="宋体" w:eastAsia="宋体" w:hAnsi="宋体" w:hint="eastAsia"/>
          <w:b/>
          <w:bCs w:val="0"/>
          <w:szCs w:val="21"/>
        </w:rPr>
        <w:t>合同履行</w:t>
      </w:r>
    </w:p>
    <w:p>
      <w:pPr>
        <w:adjustRightInd w:val="0"/>
        <w:snapToGrid w:val="0"/>
        <w:spacing w:before="0" w:beforeLines="0" w:line="400" w:lineRule="exact"/>
        <w:ind w:firstLine="420" w:firstLineChars="200"/>
        <w:outlineLvl w:val="9"/>
        <w:rPr>
          <w:rFonts w:ascii="宋体" w:eastAsia="宋体" w:hAnsi="宋体" w:cs="宋体" w:hint="eastAsia"/>
          <w:szCs w:val="21"/>
        </w:rPr>
      </w:pPr>
      <w:r>
        <w:rPr>
          <w:rFonts w:ascii="宋体" w:eastAsia="宋体" w:hAnsi="宋体" w:cs="宋体" w:hint="eastAsia"/>
          <w:szCs w:val="21"/>
        </w:rPr>
        <w:t>（1）起始日期：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日，完成日期：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szCs w:val="21"/>
        </w:rPr>
        <w:t>（2）</w:t>
      </w:r>
      <w:r>
        <w:rPr>
          <w:rFonts w:ascii="宋体" w:eastAsia="宋体" w:hAnsi="宋体" w:cs="宋体" w:hint="eastAsia"/>
          <w:szCs w:val="21"/>
          <w:lang w:eastAsia="zh-CN"/>
        </w:rPr>
        <w:t>履约</w:t>
      </w:r>
      <w:r>
        <w:rPr>
          <w:rFonts w:ascii="宋体" w:eastAsia="宋体" w:hAnsi="宋体" w:cs="宋体" w:hint="eastAsia"/>
          <w:szCs w:val="21"/>
        </w:rPr>
        <w:t>地点</w:t>
      </w:r>
      <w:r>
        <w:rPr>
          <w:rFonts w:ascii="宋体" w:eastAsia="宋体" w:hAnsi="宋体" w:cs="宋体" w:hint="eastAsia"/>
          <w:b w:val="0"/>
          <w:bCs/>
          <w:szCs w:val="21"/>
        </w:rPr>
        <w:t>：</w:t>
      </w:r>
      <w:r>
        <w:rPr>
          <w:rFonts w:ascii="宋体" w:eastAsia="宋体" w:hAnsi="宋体" w:cs="宋体" w:hint="eastAsia"/>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 w:val="21"/>
          <w:szCs w:val="21"/>
          <w:lang w:eastAsia="zh-CN"/>
        </w:rPr>
      </w:pPr>
      <w:r>
        <w:rPr>
          <w:rFonts w:ascii="宋体" w:eastAsia="宋体" w:hAnsi="宋体" w:cs="宋体" w:hint="eastAsia"/>
          <w:bCs/>
          <w:szCs w:val="21"/>
        </w:rPr>
        <w:t>（3）履约担保：</w:t>
      </w:r>
      <w:r>
        <w:rPr>
          <w:rFonts w:ascii="宋体" w:eastAsia="宋体" w:hAnsi="宋体" w:cs="宋体" w:hint="eastAsia"/>
          <w:sz w:val="21"/>
          <w:lang w:val="en-US" w:eastAsia="zh-CN"/>
        </w:rPr>
        <w:t>是否收取履约保证金：</w:t>
      </w:r>
      <w:r>
        <w:rPr>
          <w:rFonts w:ascii="Wingdings" w:eastAsia="宋体" w:hAnsi="Wingdings" w:cs="宋体" w:hint="eastAsia"/>
          <w:sz w:val="21"/>
          <w:szCs w:val="21"/>
        </w:rPr>
        <w:t>¨</w:t>
      </w:r>
      <w:r>
        <w:rPr>
          <w:rFonts w:ascii="宋体" w:eastAsia="宋体" w:hAnsi="宋体" w:cs="宋体" w:hint="eastAsia"/>
          <w:sz w:val="21"/>
          <w:szCs w:val="21"/>
          <w:lang w:eastAsia="zh-CN"/>
        </w:rPr>
        <w:t>是</w:t>
      </w:r>
      <w:r>
        <w:rPr>
          <w:rFonts w:ascii="宋体" w:eastAsia="宋体" w:hAnsi="宋体" w:cs="宋体" w:hint="eastAsia"/>
          <w:sz w:val="21"/>
          <w:szCs w:val="21"/>
          <w:lang w:val="en-US" w:eastAsia="zh-CN"/>
        </w:rPr>
        <w:t xml:space="preserve">    </w:t>
      </w:r>
      <w:r>
        <w:rPr>
          <w:rFonts w:ascii="Wingdings" w:eastAsia="宋体" w:hAnsi="Wingdings" w:cs="宋体" w:hint="eastAsia"/>
          <w:sz w:val="21"/>
          <w:szCs w:val="21"/>
        </w:rPr>
        <w:t>¨</w:t>
      </w:r>
      <w:r>
        <w:rPr>
          <w:rFonts w:ascii="宋体" w:eastAsia="宋体" w:hAnsi="宋体" w:cs="宋体" w:hint="eastAsia"/>
          <w:sz w:val="21"/>
          <w:szCs w:val="21"/>
          <w:lang w:eastAsia="zh-CN"/>
        </w:rPr>
        <w:t>否</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华文楷体" w:hAnsi="宋体" w:cs="宋体" w:hint="eastAsia"/>
          <w:bCs/>
          <w:sz w:val="22"/>
          <w:szCs w:val="21"/>
          <w:u w:val="none"/>
          <w:lang w:val="en-US" w:eastAsia="zh-CN" w:bidi="ar-SA"/>
        </w:rPr>
        <w:t xml:space="preserve">  </w:t>
      </w:r>
      <w:r>
        <w:rPr>
          <w:rFonts w:ascii="宋体" w:eastAsia="宋体" w:hAnsi="宋体" w:cs="宋体" w:hint="eastAsia"/>
          <w:sz w:val="21"/>
          <w:szCs w:val="21"/>
          <w:lang w:val="en-US" w:eastAsia="zh-CN" w:bidi="ar-SA"/>
        </w:rPr>
        <w:t xml:space="preserve">  收取履约保证金形式：</w:t>
      </w:r>
      <w:r>
        <w:rPr>
          <w:rFonts w:ascii="宋体" w:eastAsia="宋体" w:hAnsi="宋体" w:cs="宋体" w:hint="eastAsia"/>
          <w:bCs/>
          <w:sz w:val="21"/>
          <w:szCs w:val="21"/>
          <w:u w:val="single"/>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收取履约保证金金额：</w:t>
      </w:r>
      <w:r>
        <w:rPr>
          <w:rFonts w:ascii="宋体" w:eastAsia="宋体" w:hAnsi="宋体" w:cs="宋体" w:hint="eastAsia"/>
          <w:bCs/>
          <w:sz w:val="21"/>
          <w:szCs w:val="21"/>
          <w:u w:val="single"/>
          <w:lang w:val="en-US" w:eastAsia="zh-CN" w:bidi="ar-SA"/>
        </w:rPr>
        <w:t xml:space="preserve">                            </w:t>
      </w:r>
    </w:p>
    <w:p>
      <w:pPr>
        <w:snapToGrid w:val="0"/>
        <w:spacing w:beforeLines="0" w:line="400" w:lineRule="exact"/>
        <w:ind w:firstLine="420" w:firstLineChars="200"/>
        <w:outlineLvl w:val="9"/>
        <w:rPr>
          <w:rFonts w:ascii="宋体" w:eastAsia="宋体" w:hAnsi="宋体" w:cs="宋体" w:hint="eastAsia"/>
          <w:sz w:val="21"/>
          <w:lang w:val="en-US" w:eastAsia="zh-CN"/>
        </w:rPr>
      </w:pPr>
      <w:r>
        <w:rPr>
          <w:rFonts w:ascii="宋体" w:eastAsia="宋体" w:hAnsi="宋体" w:cs="宋体" w:hint="eastAsia"/>
          <w:bCs/>
          <w:szCs w:val="21"/>
          <w:u w:val="none"/>
          <w:lang w:val="en-US" w:eastAsia="zh-CN"/>
        </w:rPr>
        <w:t xml:space="preserve">    履约担保期限</w:t>
      </w:r>
      <w:r>
        <w:rPr>
          <w:rFonts w:ascii="宋体" w:eastAsia="宋体" w:hAnsi="宋体" w:cs="宋体" w:hint="eastAsia"/>
          <w:bCs/>
          <w:szCs w:val="21"/>
          <w:u w:val="none"/>
          <w:lang w:eastAsia="zh-CN"/>
        </w:rPr>
        <w:t>：</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val="en-US" w:eastAsia="zh-CN"/>
        </w:rPr>
        <w:t xml:space="preserve">                     </w:t>
      </w:r>
      <w:r>
        <w:rPr>
          <w:rFonts w:ascii="宋体" w:eastAsia="宋体" w:hAnsi="宋体" w:cs="宋体" w:hint="eastAsia"/>
          <w:bCs/>
          <w:sz w:val="21"/>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bCs/>
          <w:szCs w:val="21"/>
        </w:rPr>
      </w:pPr>
      <w:r>
        <w:rPr>
          <w:rFonts w:ascii="宋体" w:eastAsia="宋体" w:hAnsi="宋体" w:cs="宋体" w:hint="eastAsia"/>
          <w:bCs/>
          <w:szCs w:val="21"/>
        </w:rPr>
        <w:t>（4）分期履行要求：</w:t>
      </w:r>
      <w:r>
        <w:rPr>
          <w:rFonts w:ascii="宋体" w:eastAsia="宋体" w:hAnsi="宋体" w:cs="宋体" w:hint="eastAsia"/>
          <w:bCs/>
          <w:szCs w:val="21"/>
          <w:u w:val="single"/>
        </w:rPr>
        <w:t xml:space="preserve">                                                   </w:t>
      </w:r>
      <w:r>
        <w:rPr>
          <w:rFonts w:ascii="宋体" w:eastAsia="宋体" w:hAnsi="宋体" w:cs="宋体" w:hint="eastAsia"/>
          <w:bCs/>
          <w:szCs w:val="21"/>
          <w:u w:val="single"/>
          <w:lang w:val="en-US" w:eastAsia="zh-CN"/>
        </w:rPr>
        <w:t xml:space="preserve">    </w:t>
      </w:r>
      <w:r>
        <w:rPr>
          <w:rFonts w:ascii="宋体" w:eastAsia="宋体" w:hAnsi="宋体" w:cs="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bCs/>
          <w:szCs w:val="21"/>
        </w:rPr>
        <w:t>（5）</w:t>
      </w:r>
      <w:r>
        <w:rPr>
          <w:rFonts w:ascii="宋体" w:eastAsia="宋体" w:hAnsi="宋体" w:cs="宋体" w:hint="eastAsia"/>
          <w:bCs/>
          <w:szCs w:val="21"/>
          <w:lang w:eastAsia="zh-CN"/>
        </w:rPr>
        <w:t>风险处置措施和替代方案</w:t>
      </w:r>
      <w:r>
        <w:rPr>
          <w:rFonts w:ascii="宋体" w:eastAsia="宋体" w:hAnsi="宋体" w:cs="宋体" w:hint="eastAsia"/>
          <w:bCs/>
          <w:szCs w:val="21"/>
        </w:rPr>
        <w:t>：</w:t>
      </w:r>
      <w:r>
        <w:rPr>
          <w:rFonts w:ascii="宋体" w:eastAsia="宋体" w:hAnsi="宋体" w:cs="宋体" w:hint="eastAsia"/>
          <w:color w:val="0000FF"/>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合同验收</w:t>
      </w:r>
    </w:p>
    <w:p>
      <w:pPr>
        <w:numPr>
          <w:ilvl w:val="0"/>
          <w:numId w:val="11"/>
        </w:num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验收组织方式：</w:t>
      </w:r>
      <w:r>
        <w:rPr>
          <w:rFonts w:ascii="Wingdings" w:eastAsia="宋体" w:hAnsi="Wingdings" w:cs="宋体" w:hint="eastAsia"/>
          <w:sz w:val="21"/>
          <w:szCs w:val="21"/>
        </w:rPr>
        <w:t>¨</w:t>
      </w:r>
      <w:r>
        <w:rPr>
          <w:rFonts w:ascii="宋体" w:eastAsia="宋体" w:hAnsi="宋体" w:hint="eastAsia"/>
          <w:bCs/>
          <w:szCs w:val="21"/>
        </w:rPr>
        <w:t xml:space="preserve">自行组织 </w:t>
      </w:r>
      <w:r>
        <w:rPr>
          <w:rFonts w:ascii="Wingdings" w:eastAsia="宋体" w:hAnsi="Wingdings" w:cs="宋体" w:hint="eastAsia"/>
          <w:sz w:val="21"/>
          <w:szCs w:val="21"/>
        </w:rPr>
        <w:t>¨</w:t>
      </w:r>
      <w:r>
        <w:rPr>
          <w:rFonts w:ascii="宋体" w:eastAsia="宋体" w:hAnsi="宋体" w:hint="eastAsia"/>
          <w:bCs/>
          <w:szCs w:val="21"/>
        </w:rPr>
        <w:t>委托第三方组织</w:t>
      </w:r>
    </w:p>
    <w:p>
      <w:pPr>
        <w:numPr>
          <w:ilvl w:val="0"/>
          <w:numId w:val="0"/>
        </w:numPr>
        <w:adjustRightInd w:val="0"/>
        <w:snapToGrid w:val="0"/>
        <w:spacing w:before="0" w:beforeLines="0" w:line="400" w:lineRule="exact"/>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验收主体：</w:t>
      </w:r>
      <w:r>
        <w:rPr>
          <w:rFonts w:ascii="宋体" w:eastAsia="宋体" w:hAnsi="宋体" w:hint="eastAsia"/>
          <w:bCs/>
          <w:szCs w:val="21"/>
          <w:u w:val="single"/>
        </w:rPr>
        <w:t xml:space="preserve">                  </w:t>
      </w:r>
    </w:p>
    <w:p>
      <w:pPr>
        <w:adjustRightInd w:val="0"/>
        <w:snapToGrid w:val="0"/>
        <w:spacing w:before="0" w:beforeLines="0" w:line="400" w:lineRule="exact"/>
        <w:ind w:firstLine="0" w:firstLineChars="0"/>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是否邀请本项目的其他供应商</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是否邀请专家</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是否邀请服务对象</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是否邀请第三方检测机构</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rPr>
      </w:pPr>
      <w:r>
        <w:rPr>
          <w:rFonts w:ascii="宋体" w:eastAsia="宋体" w:hAnsi="宋体" w:hint="eastAsia"/>
          <w:bCs/>
          <w:szCs w:val="21"/>
          <w:lang w:eastAsia="zh-CN"/>
        </w:rPr>
        <w:t>是否进行抽查检测：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，抽查比例：</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r>
        <w:rPr>
          <w:rFonts w:ascii="宋体" w:eastAsia="宋体" w:hAnsi="宋体" w:hint="eastAsia"/>
          <w:bCs/>
          <w:szCs w:val="21"/>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lang w:eastAsia="zh-CN"/>
        </w:rPr>
      </w:pPr>
      <w:r>
        <w:rPr>
          <w:rFonts w:ascii="宋体" w:eastAsia="宋体" w:hAnsi="宋体" w:hint="eastAsia"/>
          <w:bCs/>
          <w:szCs w:val="21"/>
          <w:lang w:val="en-US" w:eastAsia="zh-CN"/>
        </w:rPr>
        <w:t>是否存在破坏性检测：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w:t>
      </w:r>
      <w:r>
        <w:rPr>
          <w:rFonts w:ascii="宋体" w:eastAsia="宋体" w:hAnsi="宋体" w:hint="eastAsia"/>
          <w:bCs/>
          <w:szCs w:val="21"/>
          <w:u w:val="single"/>
          <w:lang w:eastAsia="zh-CN"/>
        </w:rPr>
        <w:t>（应明确对被破坏的检测产品的处理方式）</w:t>
      </w:r>
    </w:p>
    <w:p>
      <w:pPr>
        <w:adjustRightInd w:val="0"/>
        <w:snapToGrid w:val="0"/>
        <w:spacing w:before="0" w:beforeLines="0" w:line="400" w:lineRule="exact"/>
        <w:ind w:firstLine="840" w:firstLineChars="400"/>
        <w:outlineLvl w:val="9"/>
        <w:rPr>
          <w:rFonts w:ascii="宋体" w:eastAsia="宋体" w:hAnsi="宋体" w:hint="eastAsia"/>
          <w:bCs/>
          <w:szCs w:val="21"/>
          <w:lang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rPr>
      </w:pPr>
      <w:r>
        <w:rPr>
          <w:rFonts w:ascii="宋体" w:eastAsia="宋体" w:hAnsi="宋体" w:hint="eastAsia"/>
          <w:bCs/>
          <w:szCs w:val="21"/>
        </w:rPr>
        <w:t>验收组织的其他事项：</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（2）履约验收时间：</w:t>
      </w:r>
      <w:r>
        <w:rPr>
          <w:rFonts w:ascii="宋体" w:eastAsia="宋体" w:hAnsi="宋体" w:hint="eastAsia"/>
          <w:bCs/>
          <w:szCs w:val="21"/>
          <w:u w:val="single"/>
        </w:rPr>
        <w:t>（计划于何时验收/供应商提出验收申请之日起   日内组织验收）</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（3）履约验收方式：</w:t>
      </w:r>
      <w:r>
        <w:rPr>
          <w:rFonts w:ascii="Wingdings" w:eastAsia="宋体" w:hAnsi="Wingdings" w:cs="宋体" w:hint="eastAsia"/>
          <w:sz w:val="21"/>
          <w:szCs w:val="21"/>
        </w:rPr>
        <w:t>¨</w:t>
      </w:r>
      <w:r>
        <w:rPr>
          <w:rFonts w:ascii="宋体" w:eastAsia="宋体" w:hAnsi="宋体" w:hint="eastAsia"/>
          <w:bCs/>
          <w:szCs w:val="21"/>
        </w:rPr>
        <w:t xml:space="preserve">一次性验收         </w:t>
      </w:r>
    </w:p>
    <w:p>
      <w:pPr>
        <w:adjustRightInd w:val="0"/>
        <w:snapToGrid w:val="0"/>
        <w:spacing w:before="0" w:beforeLines="0" w:line="400" w:lineRule="exact"/>
        <w:ind w:firstLine="0" w:firstLineChars="0"/>
        <w:outlineLvl w:val="9"/>
        <w:rPr>
          <w:rFonts w:ascii="宋体" w:eastAsia="宋体" w:hAnsi="宋体" w:hint="eastAsia"/>
          <w:bCs/>
          <w:szCs w:val="21"/>
          <w:lang w:val="en-US"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分期/分项验收</w:t>
      </w:r>
      <w:r>
        <w:rPr>
          <w:rFonts w:ascii="宋体" w:eastAsia="宋体" w:hAnsi="宋体" w:hint="eastAsia"/>
          <w:bCs/>
          <w:szCs w:val="21"/>
          <w:lang w:eastAsia="zh-CN"/>
        </w:rPr>
        <w:t>：</w:t>
      </w:r>
      <w:r>
        <w:rPr>
          <w:rFonts w:ascii="宋体" w:eastAsia="宋体" w:hAnsi="宋体" w:hint="eastAsia"/>
          <w:bCs/>
          <w:szCs w:val="21"/>
          <w:u w:val="single"/>
        </w:rPr>
        <w:t xml:space="preserve"> </w:t>
      </w:r>
      <w:r>
        <w:rPr>
          <w:rFonts w:ascii="宋体" w:eastAsia="宋体" w:hAnsi="宋体" w:hint="eastAsia"/>
          <w:bCs/>
          <w:szCs w:val="21"/>
          <w:u w:val="single"/>
          <w:lang w:eastAsia="zh-CN"/>
        </w:rPr>
        <w:t>（应明确分期</w:t>
      </w:r>
      <w:r>
        <w:rPr>
          <w:rFonts w:ascii="宋体" w:eastAsia="宋体" w:hAnsi="宋体" w:hint="default"/>
          <w:bCs/>
          <w:szCs w:val="21"/>
          <w:u w:val="single"/>
          <w:lang w:eastAsia="zh-CN"/>
        </w:rPr>
        <w:t>/</w:t>
      </w:r>
      <w:r>
        <w:rPr>
          <w:rFonts w:ascii="宋体" w:eastAsia="宋体" w:hAnsi="宋体" w:hint="eastAsia"/>
          <w:bCs/>
          <w:szCs w:val="21"/>
          <w:u w:val="single"/>
          <w:lang w:eastAsia="zh-CN"/>
        </w:rPr>
        <w:t>分项验收的工作安排）</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bCs/>
          <w:szCs w:val="21"/>
        </w:rPr>
      </w:pPr>
      <w:r>
        <w:rPr>
          <w:rFonts w:ascii="宋体" w:eastAsia="宋体" w:hAnsi="宋体" w:hint="eastAsia"/>
          <w:bCs/>
          <w:szCs w:val="21"/>
        </w:rPr>
        <w:t>（4）履约验收程序：</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bCs/>
          <w:szCs w:val="21"/>
          <w:u w:val="single"/>
        </w:rPr>
      </w:pPr>
      <w:r>
        <w:rPr>
          <w:rFonts w:ascii="宋体" w:eastAsia="宋体" w:hAnsi="宋体" w:hint="eastAsia"/>
          <w:bCs/>
          <w:szCs w:val="21"/>
        </w:rPr>
        <w:t>（5）履约验收的内容：</w:t>
      </w:r>
      <w:r>
        <w:rPr>
          <w:rFonts w:ascii="宋体" w:eastAsia="宋体" w:hAnsi="宋体" w:hint="eastAsia"/>
          <w:bCs/>
          <w:szCs w:val="21"/>
          <w:u w:val="single"/>
        </w:rPr>
        <w:t xml:space="preserve"> </w:t>
      </w:r>
      <w:r>
        <w:rPr>
          <w:rFonts w:ascii="宋体" w:eastAsia="宋体" w:hAnsi="宋体" w:hint="eastAsia"/>
          <w:bCs/>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（6）履约验收标准：</w:t>
      </w:r>
      <w:r>
        <w:rPr>
          <w:rFonts w:ascii="宋体" w:eastAsia="宋体" w:hAnsi="宋体" w:hint="eastAsia"/>
          <w:bCs/>
          <w:szCs w:val="21"/>
          <w:u w:val="single"/>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bCs/>
          <w:sz w:val="21"/>
          <w:szCs w:val="21"/>
          <w:u w:val="none"/>
          <w:lang w:val="en-US" w:eastAsia="zh-CN" w:bidi="ar-SA"/>
        </w:rPr>
        <w:t>（7）是否以采购活动中供应商提供的样品作为参考：</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 xml:space="preserve">是  </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否</w:t>
      </w:r>
    </w:p>
    <w:p>
      <w:pPr>
        <w:adjustRightInd w:val="0"/>
        <w:snapToGrid w:val="0"/>
        <w:spacing w:before="0" w:beforeLines="0" w:line="400" w:lineRule="exact"/>
        <w:ind w:firstLine="420" w:firstLineChars="200"/>
        <w:outlineLvl w:val="9"/>
        <w:rPr>
          <w:rFonts w:ascii="宋体" w:eastAsia="宋体" w:hAnsi="宋体" w:cs="宋体" w:hint="eastAsia"/>
          <w:bCs/>
          <w:szCs w:val="21"/>
          <w:u w:val="single"/>
        </w:rPr>
      </w:pPr>
      <w:r>
        <w:rPr>
          <w:rFonts w:ascii="宋体" w:eastAsia="宋体" w:hAnsi="宋体" w:cs="宋体" w:hint="eastAsia"/>
          <w:bCs/>
          <w:szCs w:val="21"/>
        </w:rPr>
        <w:t>（8）履约验收其他事项：</w:t>
      </w:r>
      <w:r>
        <w:rPr>
          <w:rFonts w:ascii="宋体" w:eastAsia="宋体" w:hAnsi="宋体" w:cs="宋体" w:hint="eastAsia"/>
          <w:bCs/>
          <w:szCs w:val="21"/>
          <w:u w:val="single"/>
        </w:rPr>
        <w:t xml:space="preserve">      </w:t>
      </w:r>
      <w:r>
        <w:rPr>
          <w:rFonts w:ascii="宋体" w:eastAsia="宋体" w:hAnsi="宋体" w:cs="宋体" w:hint="eastAsia"/>
          <w:bCs/>
          <w:i w:val="0"/>
          <w:iCs w:val="0"/>
          <w:szCs w:val="21"/>
          <w:u w:val="single"/>
        </w:rPr>
        <w:t>（产权过户登记等）</w:t>
      </w:r>
      <w:r>
        <w:rPr>
          <w:rFonts w:ascii="宋体" w:eastAsia="宋体" w:hAnsi="宋体" w:cs="宋体" w:hint="eastAsia"/>
          <w:bCs/>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组成合同的文件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outlineLvl w:val="9"/>
        <w:rPr>
          <w:rFonts w:ascii="宋体" w:eastAsia="宋体" w:hAnsi="宋体" w:hint="eastAsia"/>
          <w:color w:val="auto"/>
          <w:szCs w:val="21"/>
          <w:lang w:eastAsia="zh-CN"/>
        </w:rPr>
      </w:pPr>
      <w:r>
        <w:rPr>
          <w:rFonts w:ascii="宋体" w:eastAsia="宋体" w:hAnsi="宋体" w:hint="eastAsia"/>
          <w:color w:val="auto"/>
          <w:szCs w:val="21"/>
        </w:rPr>
        <w:t>（1）</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2</w:t>
      </w:r>
      <w:r>
        <w:rPr>
          <w:rFonts w:ascii="宋体" w:eastAsia="宋体" w:hAnsi="宋体" w:hint="eastAsia"/>
          <w:szCs w:val="21"/>
        </w:rPr>
        <w:t>）政府采购合同专用条款</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3</w:t>
      </w:r>
      <w:r>
        <w:rPr>
          <w:rFonts w:ascii="宋体" w:eastAsia="宋体" w:hAnsi="宋体" w:hint="eastAsia"/>
          <w:szCs w:val="21"/>
        </w:rPr>
        <w:t>）政府采购合同通用条款</w:t>
      </w:r>
    </w:p>
    <w:p>
      <w:pPr>
        <w:adjustRightInd w:val="0"/>
        <w:snapToGrid w:val="0"/>
        <w:spacing w:before="0" w:beforeLines="0" w:line="400" w:lineRule="exact"/>
        <w:ind w:firstLine="420" w:firstLineChars="200"/>
        <w:outlineLvl w:val="9"/>
        <w:rPr>
          <w:rFonts w:ascii="宋体" w:eastAsia="宋体" w:hAnsi="宋体"/>
          <w:color w:val="auto"/>
          <w:szCs w:val="21"/>
        </w:rPr>
      </w:pPr>
      <w:r>
        <w:rPr>
          <w:rFonts w:ascii="宋体" w:eastAsia="宋体" w:hAnsi="宋体" w:hint="eastAsia"/>
          <w:color w:val="auto"/>
          <w:szCs w:val="21"/>
        </w:rPr>
        <w:t>（</w:t>
      </w:r>
      <w:r>
        <w:rPr>
          <w:rFonts w:ascii="宋体" w:eastAsia="宋体" w:hAnsi="宋体" w:hint="eastAsia"/>
          <w:color w:val="auto"/>
          <w:szCs w:val="21"/>
          <w:lang w:val="en-US" w:eastAsia="zh-CN"/>
        </w:rPr>
        <w:t>4</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5</w:t>
      </w:r>
      <w:r>
        <w:rPr>
          <w:rFonts w:ascii="宋体" w:eastAsia="宋体" w:hAnsi="宋体" w:hint="eastAsia"/>
          <w:szCs w:val="21"/>
        </w:rPr>
        <w:t>）投标（响应）文件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（6）采购文件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（7）有关技术文件，图纸</w:t>
      </w:r>
    </w:p>
    <w:p>
      <w:pPr>
        <w:autoSpaceDE w:val="0"/>
        <w:autoSpaceDN w:val="0"/>
        <w:adjustRightInd w:val="0"/>
        <w:spacing w:beforeLines="0" w:line="400" w:lineRule="exact"/>
        <w:ind w:firstLine="420" w:firstLineChars="200"/>
        <w:outlineLvl w:val="9"/>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lang w:val="en-US" w:eastAsia="zh-CN" w:bidi="ar-SA"/>
        </w:rPr>
        <w:t>（8）</w:t>
      </w:r>
      <w:r>
        <w:rPr>
          <w:rFonts w:ascii="宋体" w:eastAsia="宋体" w:hAnsi="宋体" w:cs="宋体" w:hint="eastAsia"/>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合同生效</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本合同自</w:t>
      </w:r>
      <w:r>
        <w:rPr>
          <w:rFonts w:ascii="宋体" w:eastAsia="宋体" w:hAnsi="宋体" w:hint="eastAsia"/>
          <w:szCs w:val="21"/>
          <w:u w:val="single"/>
        </w:rPr>
        <w:t xml:space="preserve">                             </w:t>
      </w:r>
      <w:r>
        <w:rPr>
          <w:rFonts w:ascii="宋体" w:eastAsia="宋体" w:hAnsi="宋体" w:hint="eastAsia"/>
          <w:szCs w:val="21"/>
        </w:rPr>
        <w:t>生效。</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合同份数</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本合同一式</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甲方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乙方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份，均具有同等法律效力。</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合同订立时间：</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合同订立地点：</w:t>
      </w:r>
      <w:r>
        <w:rPr>
          <w:rFonts w:ascii="宋体" w:eastAsia="宋体" w:hAnsi="宋体" w:hint="eastAsia"/>
          <w:szCs w:val="21"/>
          <w:u w:val="single"/>
        </w:rPr>
        <w:t xml:space="preserve">                           </w:t>
      </w:r>
    </w:p>
    <w:p>
      <w:pPr>
        <w:adjustRightInd w:val="0"/>
        <w:snapToGrid w:val="0"/>
        <w:spacing w:before="0" w:beforeLines="0" w:line="400" w:lineRule="exact"/>
        <w:ind w:firstLine="420" w:firstLineChars="200"/>
        <w:outlineLvl w:val="9"/>
        <w:rPr>
          <w:rFonts w:eastAsia="宋体"/>
        </w:rPr>
      </w:pPr>
      <w:r>
        <w:rPr>
          <w:rFonts w:ascii="宋体" w:eastAsia="宋体" w:hAnsi="宋体" w:hint="eastAsia"/>
          <w:szCs w:val="21"/>
        </w:rPr>
        <w:t>附件：具体标</w:t>
      </w:r>
      <w:r>
        <w:rPr>
          <w:rFonts w:ascii="宋体" w:eastAsia="宋体" w:hAnsi="宋体" w:hint="eastAsia"/>
          <w:szCs w:val="21"/>
          <w:lang w:eastAsia="zh-CN"/>
        </w:rPr>
        <w:t>的及其</w:t>
      </w:r>
      <w:r>
        <w:rPr>
          <w:rFonts w:ascii="宋体" w:eastAsia="宋体" w:hAnsi="宋体" w:hint="eastAsia"/>
          <w:szCs w:val="21"/>
          <w:highlight w:val="none"/>
          <w:u w:val="none"/>
          <w:lang w:val="en-US" w:eastAsia="zh-CN"/>
        </w:rPr>
        <w:t>技术要求和商务要求</w:t>
      </w:r>
      <w:r>
        <w:rPr>
          <w:rFonts w:ascii="宋体" w:eastAsia="宋体" w:hAnsi="宋体" w:hint="eastAsia"/>
          <w:szCs w:val="21"/>
        </w:rPr>
        <w:t>、联合协议、分包</w:t>
      </w:r>
      <w:r>
        <w:rPr>
          <w:rFonts w:ascii="宋体" w:eastAsia="宋体" w:hAnsi="宋体" w:hint="eastAsia"/>
          <w:szCs w:val="21"/>
          <w:lang w:eastAsia="zh-CN"/>
        </w:rPr>
        <w:t>意向</w:t>
      </w:r>
      <w:r>
        <w:rPr>
          <w:rFonts w:ascii="宋体" w:eastAsia="宋体" w:hAnsi="宋体" w:hint="eastAsia"/>
          <w:szCs w:val="21"/>
        </w:rPr>
        <w:t>协议等。</w:t>
      </w:r>
    </w:p>
    <w:p>
      <w:pPr>
        <w:outlineLvl w:val="9"/>
        <w:rPr>
          <w:rFonts w:eastAsia="宋体" w:hint="eastAsia"/>
        </w:rPr>
      </w:pPr>
      <w:r>
        <w:rPr>
          <w:rFonts w:eastAsia="宋体" w:hint="eastAsia"/>
        </w:rPr>
        <w:br w:type="page"/>
      </w:r>
    </w:p>
    <w:p>
      <w:pPr>
        <w:widowControl w:val="0"/>
        <w:ind w:firstLine="420" w:firstLineChars="200"/>
        <w:jc w:val="both"/>
        <w:outlineLvl w:val="9"/>
        <w:rPr>
          <w:rFonts w:ascii="Times New Roman" w:eastAsia="宋体" w:hAnsi="Times New Roman" w:cs="Times New Roman" w:hint="eastAsia"/>
          <w:kern w:val="2"/>
          <w:sz w:val="21"/>
          <w:szCs w:val="21"/>
          <w:lang w:val="en-US" w:eastAsia="zh-CN" w:bidi="ar-SA"/>
        </w:rPr>
      </w:pPr>
    </w:p>
    <w:tbl>
      <w:tblPr>
        <w:tblStyle w:val="TableNormal"/>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891"/>
        <w:gridCol w:w="2412"/>
        <w:gridCol w:w="1979"/>
        <w:gridCol w:w="2116"/>
      </w:tblGrid>
      <w:tr>
        <w:tblPrEx>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adjustRightInd w:val="0"/>
              <w:snapToGrid w:val="0"/>
              <w:spacing w:line="300" w:lineRule="exact"/>
              <w:jc w:val="center"/>
              <w:outlineLvl w:val="9"/>
              <w:rPr>
                <w:rFonts w:eastAsia="宋体"/>
              </w:rPr>
            </w:pPr>
            <w:r>
              <w:rPr>
                <w:rFonts w:eastAsia="宋体"/>
                <w:szCs w:val="21"/>
              </w:rPr>
              <w:t>甲方</w:t>
            </w:r>
            <w:r>
              <w:rPr>
                <w:rFonts w:eastAsia="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w:t>
            </w:r>
            <w:r>
              <w:rPr>
                <w:rFonts w:eastAsia="宋体" w:hint="eastAsia"/>
                <w:szCs w:val="21"/>
              </w:rPr>
              <w:t>采购文件约定的合同甲方）</w:t>
            </w:r>
          </w:p>
        </w:tc>
        <w:tc>
          <w:tcPr>
            <w:tcW w:w="4095" w:type="dxa"/>
            <w:gridSpan w:val="2"/>
            <w:tcBorders>
              <w:left w:val="single" w:sz="2" w:space="0" w:color="auto"/>
              <w:bottom w:val="single" w:sz="2" w:space="0" w:color="auto"/>
            </w:tcBorders>
            <w:vAlign w:val="center"/>
          </w:tcPr>
          <w:p>
            <w:pPr>
              <w:adjustRightInd w:val="0"/>
              <w:snapToGrid w:val="0"/>
              <w:spacing w:line="300" w:lineRule="exact"/>
              <w:jc w:val="center"/>
              <w:outlineLvl w:val="9"/>
              <w:rPr>
                <w:rFonts w:eastAsia="宋体"/>
              </w:rPr>
            </w:pPr>
            <w:r>
              <w:rPr>
                <w:rFonts w:eastAsia="宋体"/>
                <w:szCs w:val="21"/>
              </w:rPr>
              <w:t>乙方</w:t>
            </w:r>
            <w:r>
              <w:rPr>
                <w:rFonts w:eastAsia="宋体" w:hint="eastAsia"/>
                <w:szCs w:val="21"/>
              </w:rPr>
              <w:t>（供应商）</w:t>
            </w:r>
          </w:p>
        </w:tc>
      </w:tr>
      <w:tr>
        <w:tblPrEx>
          <w:tblW w:w="8398" w:type="dxa"/>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ind w:firstLine="101" w:firstLineChars="48"/>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412" w:type="dxa"/>
            <w:vMerge w:val="restart"/>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vMerge/>
            <w:tcBorders>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lang w:eastAsia="zh-CN"/>
              </w:rPr>
              <w:t>通信地址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开户名称</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开户银行</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银行账号</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outlineLvl w:val="9"/>
              <w:rPr>
                <w:rFonts w:ascii="Times New Roman" w:eastAsia="宋体" w:hAnsi="Times New Roman" w:cs="Times New Roman"/>
                <w:spacing w:val="20"/>
                <w:kern w:val="2"/>
                <w:sz w:val="21"/>
                <w:szCs w:val="21"/>
                <w:lang w:val="en-US" w:eastAsia="zh-CN" w:bidi="ar-SA"/>
              </w:rPr>
            </w:pPr>
            <w:r>
              <w:rPr>
                <w:rFonts w:ascii="宋体" w:eastAsia="宋体" w:hAnsi="宋体" w:cs="Times New Roman" w:hint="eastAsia"/>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9"/>
        <w:rPr>
          <w:rFonts w:ascii="黑体" w:eastAsia="黑体" w:hAnsi="黑体" w:cs="Times New Roman"/>
          <w:b/>
          <w:bCs/>
          <w:kern w:val="2"/>
          <w:sz w:val="28"/>
          <w:szCs w:val="28"/>
          <w:lang w:val="en-US" w:eastAsia="zh-CN" w:bidi="ar-SA"/>
        </w:rPr>
      </w:pPr>
      <w:r>
        <w:rPr>
          <w:rFonts w:ascii="宋体" w:eastAsia="宋体" w:hAnsi="宋体" w:cs="Times New Roman"/>
          <w:b/>
          <w:bCs/>
          <w:kern w:val="2"/>
          <w:sz w:val="21"/>
          <w:szCs w:val="21"/>
          <w:u w:val="single"/>
          <w:lang w:val="en-US" w:eastAsia="zh-CN" w:bidi="ar-SA"/>
        </w:rPr>
        <w:br w:type="page"/>
      </w:r>
      <w:bookmarkStart w:id="89" w:name="_Toc27624"/>
      <w:r>
        <w:rPr>
          <w:rFonts w:ascii="黑体" w:eastAsia="黑体" w:hAnsi="黑体" w:cs="Times New Roman" w:hint="eastAsia"/>
          <w:b w:val="0"/>
          <w:bCs w:val="0"/>
          <w:kern w:val="2"/>
          <w:sz w:val="28"/>
          <w:szCs w:val="28"/>
          <w:lang w:val="en-US" w:eastAsia="zh-CN" w:bidi="ar-SA"/>
        </w:rPr>
        <w:t>第二节 政府采购合同通用条款</w:t>
      </w:r>
      <w:bookmarkEnd w:id="89"/>
    </w:p>
    <w:p>
      <w:pPr>
        <w:tabs>
          <w:tab w:val="left" w:pos="8820"/>
          <w:tab w:val="left" w:pos="9345"/>
          <w:tab w:val="left" w:pos="9765"/>
        </w:tabs>
        <w:adjustRightInd w:val="0"/>
        <w:snapToGrid w:val="0"/>
        <w:spacing w:before="0" w:line="400" w:lineRule="exact"/>
        <w:jc w:val="left"/>
        <w:outlineLvl w:val="9"/>
        <w:rPr>
          <w:rFonts w:ascii="宋体" w:eastAsia="宋体" w:hAnsi="宋体"/>
          <w:b/>
          <w:bCs/>
          <w:sz w:val="24"/>
        </w:rPr>
      </w:pPr>
      <w:r>
        <w:rPr>
          <w:rFonts w:ascii="宋体" w:eastAsia="宋体" w:hAnsi="宋体" w:hint="eastAsia"/>
          <w:b/>
          <w:sz w:val="24"/>
        </w:rPr>
        <w:t>1.</w:t>
      </w:r>
      <w:r>
        <w:rPr>
          <w:rFonts w:ascii="宋体" w:eastAsia="宋体" w:hAnsi="宋体" w:hint="eastAsia"/>
          <w:b/>
          <w:sz w:val="24"/>
          <w:lang w:val="en-US" w:eastAsia="zh-CN"/>
        </w:rPr>
        <w:t xml:space="preserve"> </w:t>
      </w:r>
      <w:r>
        <w:rPr>
          <w:rFonts w:ascii="宋体" w:eastAsia="宋体" w:hAnsi="宋体" w:hint="eastAsia"/>
          <w:b/>
          <w:bCs/>
          <w:sz w:val="24"/>
        </w:rPr>
        <w:t>定义</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1.1合同当事人</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（1）采购人（以下称甲方）是指使用财政性资金，通过政府采购方式向供应商购买货物</w:t>
      </w:r>
      <w:r>
        <w:rPr>
          <w:rFonts w:ascii="宋体" w:eastAsia="宋体" w:hAnsi="宋体" w:hint="eastAsia"/>
          <w:color w:val="auto"/>
          <w:szCs w:val="21"/>
          <w:highlight w:val="none"/>
          <w:lang w:val="en-US" w:eastAsia="zh-CN"/>
        </w:rPr>
        <w:t>及其相关服务的</w:t>
      </w:r>
      <w:r>
        <w:rPr>
          <w:rFonts w:ascii="宋体" w:eastAsia="宋体" w:hAnsi="宋体" w:hint="eastAsia"/>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（2）供应商（以下称</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方）是指参加政府采购活动并且中标（成交），向采购人提供</w:t>
      </w:r>
      <w:r>
        <w:rPr>
          <w:rFonts w:ascii="宋体" w:eastAsia="宋体" w:hAnsi="宋体" w:hint="eastAsia"/>
          <w:color w:val="auto"/>
          <w:szCs w:val="21"/>
          <w:highlight w:val="none"/>
          <w:lang w:val="en-US" w:eastAsia="zh-CN"/>
        </w:rPr>
        <w:t>合同约定的货物及其相关服务的法人、非法人组织或者自然人</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（3）其他合同主体是指除采购人和供应商以外，</w:t>
      </w:r>
      <w:r>
        <w:rPr>
          <w:rFonts w:ascii="宋体" w:eastAsia="宋体" w:hAnsi="宋体" w:cs="宋体" w:hint="eastAsia"/>
          <w:bCs/>
          <w:color w:val="000000"/>
          <w:szCs w:val="21"/>
        </w:rPr>
        <w:t>依法参与合同缔结或履行，享有权利、承担义务的合同当事人</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1.2本合同下列术语应解释为：</w:t>
      </w:r>
    </w:p>
    <w:p>
      <w:pPr>
        <w:adjustRightInd w:val="0"/>
        <w:snapToGrid w:val="0"/>
        <w:spacing w:before="0" w:beforeLines="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（1）“合同”系指</w:t>
      </w:r>
      <w:r>
        <w:rPr>
          <w:rFonts w:ascii="宋体" w:eastAsia="宋体" w:hAnsi="宋体" w:cs="宋体" w:hint="eastAsia"/>
          <w:bCs/>
          <w:color w:val="000000"/>
          <w:szCs w:val="21"/>
        </w:rPr>
        <w:t>合同当事人意思表示达成一致的任何协议，包括签署的</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r>
        <w:rPr>
          <w:rFonts w:ascii="宋体" w:eastAsia="宋体" w:hAnsi="宋体" w:hint="eastAsia"/>
          <w:szCs w:val="21"/>
        </w:rPr>
        <w:t>政府采购合同专用条款</w:t>
      </w:r>
      <w:r>
        <w:rPr>
          <w:rFonts w:ascii="宋体" w:eastAsia="宋体" w:hAnsi="宋体" w:hint="eastAsia"/>
          <w:szCs w:val="21"/>
          <w:lang w:eastAsia="zh-CN"/>
        </w:rPr>
        <w:t>，</w:t>
      </w:r>
      <w:r>
        <w:rPr>
          <w:rFonts w:ascii="宋体" w:eastAsia="宋体" w:hAnsi="宋体" w:hint="eastAsia"/>
          <w:szCs w:val="21"/>
        </w:rPr>
        <w:t>政府采购合同通用条款</w:t>
      </w:r>
      <w:r>
        <w:rPr>
          <w:rFonts w:ascii="宋体" w:eastAsia="宋体" w:hAnsi="宋体" w:hint="eastAsia"/>
          <w:szCs w:val="21"/>
          <w:lang w:eastAsia="zh-CN"/>
        </w:rPr>
        <w:t>，</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r>
        <w:rPr>
          <w:rFonts w:ascii="宋体" w:eastAsia="宋体" w:hAnsi="宋体" w:hint="eastAsia"/>
          <w:color w:val="auto"/>
          <w:szCs w:val="21"/>
          <w:lang w:eastAsia="zh-CN"/>
        </w:rPr>
        <w:t>，</w:t>
      </w:r>
      <w:r>
        <w:rPr>
          <w:rFonts w:ascii="宋体" w:eastAsia="宋体" w:hAnsi="宋体" w:hint="eastAsia"/>
          <w:szCs w:val="21"/>
        </w:rPr>
        <w:t>投标（响应）文件</w:t>
      </w:r>
      <w:r>
        <w:rPr>
          <w:rFonts w:ascii="宋体" w:eastAsia="宋体" w:hAnsi="宋体" w:hint="eastAsia"/>
          <w:szCs w:val="21"/>
          <w:lang w:eastAsia="zh-CN"/>
        </w:rPr>
        <w:t>，</w:t>
      </w:r>
      <w:r>
        <w:rPr>
          <w:rFonts w:ascii="宋体" w:eastAsia="宋体" w:hAnsi="宋体" w:hint="eastAsia"/>
          <w:szCs w:val="21"/>
        </w:rPr>
        <w:t>采购文件</w:t>
      </w:r>
      <w:r>
        <w:rPr>
          <w:rFonts w:ascii="宋体" w:eastAsia="宋体" w:hAnsi="宋体" w:hint="eastAsia"/>
          <w:szCs w:val="21"/>
          <w:lang w:eastAsia="zh-CN"/>
        </w:rPr>
        <w:t>，</w:t>
      </w:r>
      <w:r>
        <w:rPr>
          <w:rFonts w:ascii="宋体" w:eastAsia="宋体" w:hAnsi="宋体" w:hint="eastAsia"/>
          <w:szCs w:val="21"/>
        </w:rPr>
        <w:t>有关技术文件</w:t>
      </w:r>
      <w:r>
        <w:rPr>
          <w:rFonts w:ascii="宋体" w:eastAsia="宋体" w:hAnsi="宋体" w:hint="eastAsia"/>
          <w:szCs w:val="21"/>
          <w:lang w:eastAsia="zh-CN"/>
        </w:rPr>
        <w:t>和</w:t>
      </w:r>
      <w:r>
        <w:rPr>
          <w:rFonts w:ascii="宋体" w:eastAsia="宋体" w:hAnsi="宋体" w:hint="eastAsia"/>
          <w:szCs w:val="21"/>
        </w:rPr>
        <w:t>图纸</w:t>
      </w:r>
      <w:r>
        <w:rPr>
          <w:rFonts w:ascii="宋体" w:eastAsia="宋体" w:hAnsi="宋体" w:hint="eastAsia"/>
          <w:szCs w:val="21"/>
          <w:lang w:eastAsia="zh-CN"/>
        </w:rPr>
        <w:t>，以及</w:t>
      </w:r>
      <w:r>
        <w:rPr>
          <w:rFonts w:ascii="宋体" w:eastAsia="宋体" w:hAnsi="宋体" w:cs="宋体" w:hint="eastAsia"/>
          <w:bCs w:val="0"/>
          <w:color w:val="000000"/>
          <w:kern w:val="2"/>
          <w:sz w:val="21"/>
          <w:szCs w:val="21"/>
          <w:highlight w:val="none"/>
          <w:lang w:eastAsia="zh-CN"/>
        </w:rPr>
        <w:t>国家法律、行政法规和规章制度规定或合同约定的作为合同组成部分的其他文件</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）“合同价</w:t>
      </w:r>
      <w:r>
        <w:rPr>
          <w:rFonts w:ascii="宋体" w:eastAsia="宋体" w:hAnsi="宋体" w:hint="eastAsia"/>
          <w:color w:val="auto"/>
          <w:szCs w:val="21"/>
          <w:highlight w:val="none"/>
          <w:lang w:val="en-US" w:eastAsia="zh-CN"/>
        </w:rPr>
        <w:t>款</w:t>
      </w:r>
      <w:r>
        <w:rPr>
          <w:rFonts w:ascii="宋体" w:eastAsia="宋体" w:hAnsi="宋体" w:hint="eastAsia"/>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hint="eastAsia"/>
          <w:color w:val="000000"/>
          <w:szCs w:val="21"/>
          <w:highlight w:val="none"/>
          <w:lang w:eastAsia="zh-CN"/>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）“货物”系指乙方根据本合同规定须向甲方提供的各种形态和种类的物品，包括原材料、设备、产品（</w:t>
      </w:r>
      <w:r>
        <w:rPr>
          <w:rFonts w:ascii="宋体" w:eastAsia="宋体" w:hAnsi="宋体" w:hint="eastAsia"/>
          <w:color w:val="000000"/>
          <w:szCs w:val="21"/>
          <w:highlight w:val="none"/>
        </w:rPr>
        <w:t>包括软件）及相关的其备品备件、工具、手册及</w:t>
      </w:r>
      <w:r>
        <w:rPr>
          <w:rFonts w:ascii="宋体" w:eastAsia="宋体" w:hAnsi="宋体" w:hint="default"/>
          <w:color w:val="000000"/>
          <w:szCs w:val="21"/>
          <w:highlight w:val="none"/>
        </w:rPr>
        <w:t>其他</w:t>
      </w:r>
      <w:r>
        <w:rPr>
          <w:rFonts w:ascii="宋体" w:eastAsia="宋体" w:hAnsi="宋体" w:hint="eastAsia"/>
          <w:color w:val="000000"/>
          <w:szCs w:val="21"/>
          <w:highlight w:val="none"/>
        </w:rPr>
        <w:t>技术资料和材料</w:t>
      </w:r>
      <w:r>
        <w:rPr>
          <w:rFonts w:ascii="宋体" w:eastAsia="宋体" w:hAnsi="宋体" w:hint="eastAsia"/>
          <w:color w:val="000000"/>
          <w:szCs w:val="21"/>
          <w:highlight w:val="none"/>
          <w:lang w:eastAsia="zh-CN"/>
        </w:rPr>
        <w:t>等</w:t>
      </w:r>
      <w:r>
        <w:rPr>
          <w:rFonts w:ascii="宋体" w:eastAsia="宋体" w:hAnsi="宋体" w:hint="eastAsia"/>
          <w:color w:val="000000"/>
          <w:szCs w:val="21"/>
          <w:highlight w:val="none"/>
        </w:rPr>
        <w:t>。</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4</w:t>
      </w:r>
      <w:r>
        <w:rPr>
          <w:rFonts w:ascii="宋体" w:eastAsia="宋体" w:hAnsi="宋体" w:hint="eastAsia"/>
          <w:color w:val="000000"/>
          <w:szCs w:val="21"/>
          <w:highlight w:val="none"/>
        </w:rPr>
        <w:t>）“</w:t>
      </w:r>
      <w:r>
        <w:rPr>
          <w:rFonts w:ascii="宋体" w:eastAsia="宋体" w:hAnsi="宋体" w:hint="eastAsia"/>
          <w:color w:val="auto"/>
          <w:szCs w:val="21"/>
          <w:highlight w:val="none"/>
          <w:lang w:val="en-US" w:eastAsia="zh-CN"/>
        </w:rPr>
        <w:t>相关</w:t>
      </w:r>
      <w:r>
        <w:rPr>
          <w:rFonts w:ascii="宋体" w:eastAsia="宋体" w:hAnsi="宋体" w:hint="eastAsia"/>
          <w:color w:val="000000"/>
          <w:szCs w:val="21"/>
          <w:highlight w:val="none"/>
        </w:rPr>
        <w:t>服务”系指根据合同规定，乙方应提供的</w:t>
      </w:r>
      <w:r>
        <w:rPr>
          <w:rFonts w:ascii="宋体" w:eastAsia="宋体" w:hAnsi="宋体" w:hint="eastAsia"/>
          <w:color w:val="000000"/>
          <w:szCs w:val="21"/>
          <w:highlight w:val="none"/>
          <w:lang w:val="en-US" w:eastAsia="zh-CN"/>
        </w:rPr>
        <w:t>与货物有关的</w:t>
      </w:r>
      <w:r>
        <w:rPr>
          <w:rFonts w:ascii="宋体" w:eastAsia="宋体" w:hAnsi="宋体" w:hint="eastAsia"/>
          <w:color w:val="000000"/>
          <w:szCs w:val="21"/>
          <w:highlight w:val="none"/>
        </w:rPr>
        <w:t>技术、管理和</w:t>
      </w:r>
      <w:r>
        <w:rPr>
          <w:rFonts w:ascii="宋体" w:eastAsia="宋体" w:hAnsi="宋体" w:hint="default"/>
          <w:color w:val="000000"/>
          <w:szCs w:val="21"/>
          <w:highlight w:val="none"/>
        </w:rPr>
        <w:t>其他</w:t>
      </w:r>
      <w:r>
        <w:rPr>
          <w:rFonts w:ascii="宋体" w:eastAsia="宋体" w:hAnsi="宋体" w:hint="eastAsia"/>
          <w:color w:val="000000"/>
          <w:szCs w:val="21"/>
          <w:highlight w:val="none"/>
        </w:rPr>
        <w:t>服务，包括但不限于：管理和质量保证、运输、保险、检验、现场准备、安装、集成、调试、培训、维修、</w:t>
      </w:r>
      <w:r>
        <w:rPr>
          <w:rFonts w:ascii="宋体" w:eastAsia="宋体" w:hAnsi="宋体" w:hint="eastAsia"/>
          <w:color w:val="000000"/>
          <w:szCs w:val="21"/>
          <w:highlight w:val="none"/>
          <w:lang w:eastAsia="zh-CN"/>
        </w:rPr>
        <w:t>废弃处置、</w:t>
      </w:r>
      <w:r>
        <w:rPr>
          <w:rFonts w:ascii="宋体" w:eastAsia="宋体" w:hAnsi="宋体" w:hint="eastAsia"/>
          <w:color w:val="000000"/>
          <w:szCs w:val="21"/>
          <w:highlight w:val="none"/>
        </w:rPr>
        <w:t>技术支持等以及合同中规定乙方应承担的</w:t>
      </w:r>
      <w:r>
        <w:rPr>
          <w:rFonts w:ascii="宋体" w:eastAsia="宋体" w:hAnsi="宋体" w:hint="default"/>
          <w:color w:val="000000"/>
          <w:szCs w:val="21"/>
          <w:highlight w:val="none"/>
        </w:rPr>
        <w:t>其他</w:t>
      </w:r>
      <w:r>
        <w:rPr>
          <w:rFonts w:ascii="宋体" w:eastAsia="宋体" w:hAnsi="宋体" w:hint="eastAsia"/>
          <w:color w:val="000000"/>
          <w:szCs w:val="21"/>
          <w:highlight w:val="none"/>
        </w:rPr>
        <w:t>义务。</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5</w:t>
      </w:r>
      <w:r>
        <w:rPr>
          <w:rFonts w:ascii="宋体" w:eastAsia="宋体" w:hAnsi="宋体" w:hint="eastAsia"/>
          <w:color w:val="000000"/>
          <w:szCs w:val="21"/>
          <w:highlight w:val="none"/>
        </w:rPr>
        <w:t>）“分包”系指中标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供应商按采购文件、投标（响应）文件的规定，根据分包意向协议，将中标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hint="eastAsia"/>
          <w:color w:val="000000"/>
          <w:szCs w:val="21"/>
          <w:highlight w:val="none"/>
        </w:rPr>
        <w:t>）</w:t>
      </w:r>
      <w:r>
        <w:rPr>
          <w:rFonts w:ascii="宋体" w:eastAsia="宋体" w:hAnsi="宋体" w:hint="eastAsia"/>
          <w:szCs w:val="21"/>
        </w:rPr>
        <w:t>“联合体”系指</w:t>
      </w:r>
      <w:r>
        <w:rPr>
          <w:rFonts w:ascii="宋体" w:eastAsia="宋体" w:hAnsi="宋体" w:hint="eastAsia"/>
          <w:szCs w:val="21"/>
          <w:lang w:eastAsia="zh-CN"/>
        </w:rPr>
        <w:t>由</w:t>
      </w:r>
      <w:r>
        <w:rPr>
          <w:rFonts w:ascii="宋体" w:eastAsia="宋体" w:hAnsi="宋体" w:hint="eastAsia"/>
          <w:szCs w:val="21"/>
        </w:rPr>
        <w:t>两个以上的自然人、法人或者</w:t>
      </w:r>
      <w:r>
        <w:rPr>
          <w:rFonts w:ascii="宋体" w:eastAsia="宋体" w:hAnsi="宋体" w:hint="eastAsia"/>
          <w:szCs w:val="21"/>
          <w:lang w:val="en-US" w:eastAsia="zh-CN"/>
        </w:rPr>
        <w:t>非法人</w:t>
      </w:r>
      <w:r>
        <w:rPr>
          <w:rFonts w:ascii="宋体" w:eastAsia="宋体" w:hAnsi="宋体" w:hint="eastAsia"/>
          <w:szCs w:val="21"/>
        </w:rPr>
        <w:t>组织组成，</w:t>
      </w:r>
      <w:r>
        <w:rPr>
          <w:rFonts w:ascii="宋体" w:eastAsia="宋体" w:hAnsi="宋体" w:hint="eastAsia"/>
          <w:szCs w:val="21"/>
          <w:lang w:eastAsia="zh-CN"/>
        </w:rPr>
        <w:t>以一个供应商的身份共同参加政府采购的主体</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szCs w:val="21"/>
          <w:highlight w:val="none"/>
          <w:lang w:eastAsia="zh-CN"/>
        </w:rPr>
        <w:t>甲方</w:t>
      </w:r>
      <w:r>
        <w:rPr>
          <w:rFonts w:ascii="宋体" w:eastAsia="宋体" w:hAnsi="宋体" w:hint="eastAsia"/>
          <w:color w:val="000000"/>
          <w:szCs w:val="21"/>
          <w:highlight w:val="none"/>
        </w:rPr>
        <w:t>承担连带责任。联合体具体要求见【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7</w:t>
      </w:r>
      <w:r>
        <w:rPr>
          <w:rFonts w:ascii="宋体" w:eastAsia="宋体" w:hAnsi="宋体" w:hint="eastAsia"/>
          <w:color w:val="000000"/>
          <w:szCs w:val="21"/>
          <w:highlight w:val="none"/>
        </w:rPr>
        <w:t>）其他术语解释，见【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numPr>
          <w:ilvl w:val="0"/>
          <w:numId w:val="12"/>
        </w:num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color w:val="000000"/>
          <w:sz w:val="24"/>
          <w:highlight w:val="none"/>
        </w:rPr>
        <w:t>合同标的及金额</w:t>
      </w:r>
    </w:p>
    <w:p>
      <w:pPr>
        <w:autoSpaceDE w:val="0"/>
        <w:autoSpaceDN w:val="0"/>
        <w:adjustRightInd w:val="0"/>
        <w:snapToGrid w:val="0"/>
        <w:spacing w:before="0" w:line="400" w:lineRule="exact"/>
        <w:ind w:firstLine="420" w:firstLineChars="200"/>
        <w:jc w:val="left"/>
        <w:outlineLvl w:val="9"/>
        <w:rPr>
          <w:rFonts w:ascii="宋体" w:eastAsia="宋体" w:hAnsi="宋体"/>
          <w:b/>
          <w:bCs/>
          <w:i/>
          <w:iCs/>
          <w:color w:val="000000"/>
          <w:szCs w:val="21"/>
          <w:highlight w:val="none"/>
        </w:rPr>
      </w:pPr>
      <w:r>
        <w:rPr>
          <w:rFonts w:ascii="宋体" w:eastAsia="宋体" w:hAnsi="宋体" w:hint="eastAsia"/>
          <w:color w:val="000000"/>
          <w:szCs w:val="21"/>
          <w:highlight w:val="none"/>
          <w:lang w:eastAsia="zh-CN"/>
        </w:rPr>
        <w:t>2</w:t>
      </w:r>
      <w:r>
        <w:rPr>
          <w:rFonts w:ascii="宋体" w:eastAsia="宋体" w:hAnsi="宋体" w:hint="eastAsia"/>
          <w:color w:val="000000"/>
          <w:szCs w:val="21"/>
          <w:highlight w:val="none"/>
        </w:rPr>
        <w:t>.1 合同标的及金额应与中标（成交）结果一致。乙方为履行本合同而发生的所有费用均应包含在合同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中，甲方不再另行支付</w:t>
      </w:r>
      <w:r>
        <w:rPr>
          <w:rFonts w:ascii="宋体" w:eastAsia="宋体" w:hAnsi="宋体" w:hint="default"/>
          <w:color w:val="000000"/>
          <w:szCs w:val="21"/>
          <w:highlight w:val="none"/>
        </w:rPr>
        <w:t>其他</w:t>
      </w:r>
      <w:r>
        <w:rPr>
          <w:rFonts w:ascii="宋体" w:eastAsia="宋体" w:hAnsi="宋体" w:hint="eastAsia"/>
          <w:color w:val="000000"/>
          <w:szCs w:val="21"/>
          <w:highlight w:val="none"/>
        </w:rPr>
        <w:t>任何费用。</w:t>
      </w:r>
    </w:p>
    <w:p>
      <w:pPr>
        <w:adjustRightInd w:val="0"/>
        <w:snapToGrid w:val="0"/>
        <w:spacing w:before="0" w:line="400" w:lineRule="exact"/>
        <w:jc w:val="left"/>
        <w:outlineLvl w:val="9"/>
        <w:rPr>
          <w:rFonts w:ascii="宋体" w:eastAsia="宋体" w:hAnsi="宋体"/>
          <w:b/>
          <w:color w:val="000000"/>
          <w:sz w:val="24"/>
          <w:highlight w:val="none"/>
        </w:rPr>
      </w:pPr>
      <w:r>
        <w:rPr>
          <w:rFonts w:ascii="宋体" w:eastAsia="宋体" w:hAnsi="宋体" w:hint="eastAsia"/>
          <w:b/>
          <w:color w:val="000000"/>
          <w:sz w:val="24"/>
          <w:highlight w:val="none"/>
          <w:lang w:eastAsia="zh-CN"/>
        </w:rPr>
        <w:t>3</w:t>
      </w:r>
      <w:r>
        <w:rPr>
          <w:rFonts w:ascii="宋体" w:eastAsia="宋体" w:hAnsi="宋体" w:hint="eastAsia"/>
          <w:b/>
          <w:color w:val="000000"/>
          <w:sz w:val="24"/>
          <w:highlight w:val="none"/>
          <w:lang w:val="en-US" w:eastAsia="zh-CN"/>
        </w:rPr>
        <w:t xml:space="preserve">. </w:t>
      </w:r>
      <w:r>
        <w:rPr>
          <w:rFonts w:ascii="宋体" w:eastAsia="宋体" w:hAnsi="宋体" w:hint="eastAsia"/>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3</w:t>
      </w:r>
      <w:r>
        <w:rPr>
          <w:rFonts w:ascii="宋体" w:eastAsia="宋体" w:hAnsi="宋体" w:hint="eastAsia"/>
          <w:color w:val="000000"/>
          <w:szCs w:val="21"/>
          <w:highlight w:val="none"/>
        </w:rPr>
        <w:t xml:space="preserve">.1 </w:t>
      </w:r>
      <w:r>
        <w:rPr>
          <w:rFonts w:ascii="宋体" w:eastAsia="宋体" w:hAnsi="宋体" w:cs="宋体" w:hint="eastAsia"/>
          <w:szCs w:val="21"/>
        </w:rPr>
        <w:t>乙方应当在约定的时间、地点</w:t>
      </w:r>
      <w:r>
        <w:rPr>
          <w:rFonts w:ascii="宋体" w:eastAsia="宋体" w:hAnsi="宋体" w:cs="宋体" w:hint="eastAsia"/>
          <w:szCs w:val="21"/>
          <w:lang w:eastAsia="zh-CN"/>
        </w:rPr>
        <w:t>，按照约定</w:t>
      </w:r>
      <w:r>
        <w:rPr>
          <w:rFonts w:ascii="宋体" w:eastAsia="宋体" w:hAnsi="宋体" w:cs="宋体" w:hint="eastAsia"/>
          <w:szCs w:val="21"/>
        </w:rPr>
        <w:t>方式履行合同。</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4</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甲方的权利和义务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.1</w:t>
      </w:r>
      <w:r>
        <w:rPr>
          <w:rFonts w:ascii="宋体" w:eastAsia="宋体" w:hAnsi="宋体"/>
          <w:color w:val="000000"/>
          <w:szCs w:val="21"/>
          <w:highlight w:val="none"/>
        </w:rPr>
        <w:t xml:space="preserve"> 签署合同后，甲方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r>
        <w:rPr>
          <w:rFonts w:ascii="宋体" w:eastAsia="宋体" w:hAnsi="宋体" w:hint="eastAsia"/>
          <w:color w:val="000000"/>
          <w:szCs w:val="21"/>
          <w:highlight w:val="none"/>
        </w:rPr>
        <w:t>甲方有权对乙方的履约行为进行检查，并</w:t>
      </w:r>
      <w:r>
        <w:rPr>
          <w:rFonts w:ascii="宋体" w:eastAsia="宋体" w:hAnsi="宋体"/>
          <w:color w:val="000000"/>
          <w:szCs w:val="21"/>
          <w:highlight w:val="none"/>
        </w:rPr>
        <w:t>及时确认乙方提交的事项</w:t>
      </w:r>
      <w:r>
        <w:rPr>
          <w:rFonts w:ascii="宋体" w:eastAsia="宋体" w:hAnsi="宋体" w:hint="eastAsia"/>
          <w:color w:val="000000"/>
          <w:szCs w:val="21"/>
          <w:highlight w:val="none"/>
        </w:rPr>
        <w:t>。甲方应当</w:t>
      </w:r>
      <w:r>
        <w:rPr>
          <w:rFonts w:ascii="宋体" w:eastAsia="宋体" w:hAnsi="宋体"/>
          <w:color w:val="000000"/>
          <w:szCs w:val="21"/>
          <w:highlight w:val="none"/>
        </w:rPr>
        <w:t>配合乙方完成</w:t>
      </w:r>
      <w:r>
        <w:rPr>
          <w:rFonts w:ascii="宋体" w:eastAsia="宋体" w:hAnsi="宋体" w:hint="eastAsia"/>
          <w:color w:val="000000"/>
          <w:szCs w:val="21"/>
          <w:highlight w:val="none"/>
        </w:rPr>
        <w:t>相关项目</w:t>
      </w:r>
      <w:r>
        <w:rPr>
          <w:rFonts w:ascii="宋体" w:eastAsia="宋体" w:hAnsi="宋体"/>
          <w:color w:val="000000"/>
          <w:szCs w:val="21"/>
          <w:highlight w:val="none"/>
        </w:rPr>
        <w:t>实施工作。</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 xml:space="preserve">.2 </w:t>
      </w:r>
      <w:r>
        <w:rPr>
          <w:rFonts w:ascii="宋体" w:eastAsia="宋体" w:hAnsi="宋体"/>
          <w:color w:val="000000"/>
          <w:szCs w:val="21"/>
          <w:highlight w:val="none"/>
        </w:rPr>
        <w:t>甲方有权要求乙方按时提交各阶段有关</w:t>
      </w:r>
      <w:r>
        <w:rPr>
          <w:rFonts w:ascii="宋体" w:eastAsia="宋体" w:hAnsi="宋体" w:hint="eastAsia"/>
          <w:color w:val="000000"/>
          <w:szCs w:val="21"/>
          <w:highlight w:val="none"/>
        </w:rPr>
        <w:t>安排计划</w:t>
      </w:r>
      <w:r>
        <w:rPr>
          <w:rFonts w:ascii="宋体" w:eastAsia="宋体" w:hAnsi="宋体"/>
          <w:color w:val="000000"/>
          <w:szCs w:val="21"/>
          <w:highlight w:val="none"/>
        </w:rPr>
        <w:t>，并有权</w:t>
      </w:r>
      <w:r>
        <w:rPr>
          <w:rFonts w:ascii="宋体" w:eastAsia="宋体" w:hAnsi="宋体" w:hint="eastAsia"/>
          <w:color w:val="000000"/>
          <w:szCs w:val="21"/>
          <w:highlight w:val="none"/>
        </w:rPr>
        <w:t>定期核对乙方提供货物数量、规格、质量等内容。甲方</w:t>
      </w:r>
      <w:r>
        <w:rPr>
          <w:rFonts w:ascii="宋体" w:eastAsia="宋体" w:hAnsi="宋体"/>
          <w:color w:val="000000"/>
          <w:szCs w:val="21"/>
          <w:highlight w:val="none"/>
        </w:rPr>
        <w:t>有权督促乙方工作并要求乙方</w:t>
      </w:r>
      <w:r>
        <w:rPr>
          <w:rFonts w:ascii="宋体" w:eastAsia="宋体" w:hAnsi="宋体" w:hint="eastAsia"/>
          <w:color w:val="000000"/>
          <w:szCs w:val="21"/>
          <w:highlight w:val="none"/>
        </w:rPr>
        <w:t>更</w:t>
      </w:r>
      <w:r>
        <w:rPr>
          <w:rFonts w:ascii="宋体" w:eastAsia="宋体" w:hAnsi="宋体"/>
          <w:color w:val="000000"/>
          <w:szCs w:val="21"/>
          <w:highlight w:val="none"/>
        </w:rPr>
        <w:t>换不符合要求的</w:t>
      </w:r>
      <w:r>
        <w:rPr>
          <w:rFonts w:ascii="宋体" w:eastAsia="宋体" w:hAnsi="宋体" w:hint="eastAsia"/>
          <w:color w:val="000000"/>
          <w:szCs w:val="21"/>
          <w:highlight w:val="none"/>
        </w:rPr>
        <w:t>货物</w:t>
      </w:r>
      <w:r>
        <w:rPr>
          <w:rFonts w:ascii="宋体" w:eastAsia="宋体" w:hAnsi="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color w:val="000000"/>
          <w:szCs w:val="21"/>
          <w:highlight w:val="none"/>
        </w:rPr>
        <w:t>3</w:t>
      </w:r>
      <w:r>
        <w:rPr>
          <w:rFonts w:ascii="宋体" w:eastAsia="宋体" w:hAnsi="宋体" w:hint="eastAsia"/>
          <w:color w:val="000000"/>
          <w:szCs w:val="21"/>
          <w:highlight w:val="none"/>
        </w:rPr>
        <w:t xml:space="preserve"> </w:t>
      </w:r>
      <w:r>
        <w:rPr>
          <w:rFonts w:ascii="宋体" w:eastAsia="宋体" w:hAnsi="宋体"/>
          <w:color w:val="000000"/>
          <w:szCs w:val="21"/>
          <w:highlight w:val="none"/>
        </w:rPr>
        <w:t>甲方</w:t>
      </w:r>
      <w:r>
        <w:rPr>
          <w:rFonts w:ascii="宋体" w:eastAsia="宋体" w:hAnsi="宋体" w:hint="eastAsia"/>
          <w:color w:val="000000"/>
          <w:szCs w:val="21"/>
          <w:highlight w:val="none"/>
        </w:rPr>
        <w:t>有权要求乙方对缺陷部分予以修复，并按合同约定享有货物保修及其他合同约定的权利。</w:t>
      </w:r>
    </w:p>
    <w:p>
      <w:pPr>
        <w:snapToGrid w:val="0"/>
        <w:spacing w:line="400" w:lineRule="exact"/>
        <w:ind w:firstLine="420" w:firstLineChars="200"/>
        <w:outlineLvl w:val="9"/>
        <w:rPr>
          <w:rFonts w:eastAsia="华文楷体" w:hint="eastAsia"/>
          <w:lang w:val="en-US" w:eastAsia="zh-CN"/>
        </w:rPr>
      </w:pPr>
      <w:r>
        <w:rPr>
          <w:rFonts w:ascii="宋体" w:eastAsia="宋体" w:hAnsi="宋体" w:hint="default"/>
          <w:color w:val="000000"/>
          <w:szCs w:val="21"/>
          <w:highlight w:val="none"/>
          <w:lang w:val="en-US" w:eastAsia="zh-CN"/>
        </w:rPr>
        <w:t>4.4 甲方应当按照合同约定及时对交付的货物进行验收</w:t>
      </w:r>
      <w:r>
        <w:rPr>
          <w:rFonts w:ascii="宋体" w:eastAsia="宋体" w:hAnsi="宋体" w:hint="eastAsia"/>
          <w:color w:val="000000"/>
          <w:szCs w:val="21"/>
          <w:highlight w:val="none"/>
          <w:lang w:val="en-US" w:eastAsia="zh-CN"/>
        </w:rPr>
        <w:t>，</w:t>
      </w:r>
      <w:r>
        <w:rPr>
          <w:rFonts w:ascii="宋体" w:eastAsia="宋体" w:hAnsi="宋体" w:cs="宋体" w:hint="eastAsia"/>
          <w:b w:val="0"/>
          <w:bCs w:val="0"/>
          <w:szCs w:val="21"/>
          <w:highlight w:val="none"/>
          <w:lang w:eastAsia="zh-CN"/>
        </w:rPr>
        <w:t>未</w:t>
      </w:r>
      <w:r>
        <w:rPr>
          <w:rFonts w:ascii="宋体" w:eastAsia="宋体" w:hAnsi="宋体" w:hint="eastAsia"/>
          <w:color w:val="000000"/>
          <w:szCs w:val="21"/>
          <w:highlight w:val="none"/>
          <w:lang w:val="en-US" w:eastAsia="zh-CN"/>
        </w:rPr>
        <w:t>在</w:t>
      </w:r>
      <w:r>
        <w:rPr>
          <w:rFonts w:ascii="宋体" w:eastAsia="宋体" w:hAnsi="宋体" w:cs="宋体" w:hint="eastAsia"/>
          <w:b/>
          <w:bCs/>
          <w:szCs w:val="21"/>
          <w:highlight w:val="none"/>
        </w:rPr>
        <w:t>【政府采购合同专用条款】</w:t>
      </w:r>
      <w:r>
        <w:rPr>
          <w:rFonts w:ascii="宋体" w:eastAsia="宋体" w:hAnsi="宋体" w:cs="宋体" w:hint="eastAsia"/>
          <w:b w:val="0"/>
          <w:bCs w:val="0"/>
          <w:szCs w:val="21"/>
          <w:highlight w:val="none"/>
          <w:lang w:eastAsia="zh-CN"/>
        </w:rPr>
        <w:t>约定的期限内对乙方履约提出任何异议或者向乙方作出任何说明的，</w:t>
      </w:r>
      <w:r>
        <w:rPr>
          <w:rFonts w:ascii="宋体" w:eastAsia="宋体" w:hAnsi="宋体" w:hint="eastAsia"/>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default"/>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default"/>
          <w:color w:val="000000"/>
          <w:szCs w:val="21"/>
          <w:highlight w:val="none"/>
          <w:lang w:val="en-US" w:eastAsia="zh-CN"/>
        </w:rPr>
        <w:t>5</w:t>
      </w:r>
      <w:r>
        <w:rPr>
          <w:rFonts w:ascii="宋体" w:eastAsia="宋体" w:hAnsi="宋体"/>
          <w:color w:val="000000"/>
          <w:szCs w:val="21"/>
          <w:highlight w:val="none"/>
        </w:rPr>
        <w:t xml:space="preserve"> </w:t>
      </w:r>
      <w:r>
        <w:rPr>
          <w:rFonts w:ascii="宋体" w:eastAsia="宋体" w:hAnsi="宋体" w:hint="eastAsia"/>
          <w:color w:val="000000"/>
          <w:szCs w:val="21"/>
          <w:highlight w:val="none"/>
        </w:rPr>
        <w:t>甲方应当根据合同约定</w:t>
      </w:r>
      <w:r>
        <w:rPr>
          <w:rFonts w:ascii="宋体" w:eastAsia="宋体" w:hAnsi="宋体" w:hint="eastAsia"/>
          <w:color w:val="000000"/>
          <w:szCs w:val="21"/>
          <w:highlight w:val="none"/>
          <w:lang w:eastAsia="zh-CN"/>
        </w:rPr>
        <w:t>及</w:t>
      </w:r>
      <w:r>
        <w:rPr>
          <w:rFonts w:ascii="宋体" w:eastAsia="宋体" w:hAnsi="宋体" w:hint="eastAsia"/>
          <w:color w:val="000000"/>
          <w:szCs w:val="21"/>
          <w:highlight w:val="none"/>
        </w:rPr>
        <w:t>时向乙方支付</w:t>
      </w:r>
      <w:r>
        <w:rPr>
          <w:rFonts w:ascii="宋体" w:eastAsia="宋体" w:hAnsi="宋体" w:hint="eastAsia"/>
          <w:color w:val="000000"/>
          <w:szCs w:val="21"/>
          <w:highlight w:val="none"/>
          <w:lang w:eastAsia="zh-CN"/>
        </w:rPr>
        <w:t>合同价款</w:t>
      </w:r>
      <w:r>
        <w:rPr>
          <w:rFonts w:ascii="宋体" w:eastAsia="宋体" w:hAnsi="宋体" w:hint="default"/>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color w:val="000000"/>
          <w:szCs w:val="21"/>
          <w:highlight w:val="none"/>
        </w:rPr>
        <w:t xml:space="preserve"> </w:t>
      </w:r>
      <w:r>
        <w:rPr>
          <w:rFonts w:ascii="宋体" w:eastAsia="宋体" w:hAnsi="宋体" w:hint="eastAsia"/>
          <w:color w:val="000000"/>
          <w:szCs w:val="21"/>
          <w:highlight w:val="none"/>
        </w:rPr>
        <w:t>国家法律法规规定</w:t>
      </w:r>
      <w:r>
        <w:rPr>
          <w:rFonts w:ascii="宋体" w:eastAsia="宋体" w:hAnsi="宋体" w:hint="eastAsia"/>
          <w:color w:val="000000"/>
          <w:szCs w:val="21"/>
          <w:highlight w:val="none"/>
          <w:lang w:eastAsia="zh-CN"/>
        </w:rPr>
        <w:t>及</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lang w:eastAsia="zh-CN"/>
        </w:rPr>
        <w:t>约定应</w:t>
      </w:r>
      <w:r>
        <w:rPr>
          <w:rFonts w:ascii="宋体" w:eastAsia="宋体" w:hAnsi="宋体" w:hint="eastAsia"/>
          <w:color w:val="000000"/>
          <w:szCs w:val="21"/>
          <w:highlight w:val="none"/>
        </w:rPr>
        <w:t>由甲方承担的其他义务和责任。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5</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乙方的权利和义务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 xml:space="preserve">.1 </w:t>
      </w:r>
      <w:r>
        <w:rPr>
          <w:rFonts w:ascii="宋体" w:eastAsia="宋体" w:hAnsi="宋体"/>
          <w:color w:val="000000"/>
          <w:szCs w:val="21"/>
          <w:highlight w:val="none"/>
        </w:rPr>
        <w:t>签署合同后，乙方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w:t>
      </w:r>
      <w:r>
        <w:rPr>
          <w:rFonts w:ascii="宋体" w:eastAsia="宋体" w:hAnsi="宋体"/>
          <w:color w:val="000000"/>
          <w:szCs w:val="21"/>
          <w:highlight w:val="none"/>
        </w:rPr>
        <w:t>2 乙方应按照合同要求</w:t>
      </w:r>
      <w:r>
        <w:rPr>
          <w:rFonts w:ascii="宋体" w:eastAsia="宋体" w:hAnsi="宋体" w:hint="eastAsia"/>
          <w:color w:val="000000"/>
          <w:szCs w:val="21"/>
          <w:highlight w:val="none"/>
        </w:rPr>
        <w:t>履约</w:t>
      </w:r>
      <w:r>
        <w:rPr>
          <w:rFonts w:ascii="宋体" w:eastAsia="宋体" w:hAnsi="宋体"/>
          <w:color w:val="000000"/>
          <w:szCs w:val="21"/>
          <w:highlight w:val="none"/>
        </w:rPr>
        <w:t>，充分合理安排，确保</w:t>
      </w:r>
      <w:r>
        <w:rPr>
          <w:rFonts w:ascii="宋体" w:eastAsia="宋体" w:hAnsi="宋体" w:hint="eastAsia"/>
          <w:color w:val="000000"/>
          <w:szCs w:val="21"/>
          <w:highlight w:val="none"/>
        </w:rPr>
        <w:t>提供的货物</w:t>
      </w:r>
      <w:r>
        <w:rPr>
          <w:rFonts w:ascii="宋体" w:eastAsia="宋体" w:hAnsi="宋体" w:hint="eastAsia"/>
          <w:color w:val="000000"/>
          <w:szCs w:val="21"/>
          <w:highlight w:val="none"/>
          <w:lang w:eastAsia="zh-CN"/>
        </w:rPr>
        <w:t>及相关</w:t>
      </w:r>
      <w:r>
        <w:rPr>
          <w:rFonts w:ascii="宋体" w:eastAsia="宋体" w:hAnsi="宋体" w:hint="eastAsia"/>
          <w:color w:val="000000"/>
          <w:szCs w:val="21"/>
          <w:highlight w:val="none"/>
        </w:rPr>
        <w:t>服务符合合同</w:t>
      </w:r>
      <w:r>
        <w:rPr>
          <w:rFonts w:ascii="宋体" w:eastAsia="宋体" w:hAnsi="宋体" w:hint="eastAsia"/>
          <w:color w:val="000000"/>
          <w:szCs w:val="21"/>
          <w:highlight w:val="none"/>
          <w:lang w:eastAsia="zh-CN"/>
        </w:rPr>
        <w:t>有关</w:t>
      </w:r>
      <w:r>
        <w:rPr>
          <w:rFonts w:ascii="宋体" w:eastAsia="宋体" w:hAnsi="宋体"/>
          <w:color w:val="000000"/>
          <w:szCs w:val="21"/>
          <w:highlight w:val="none"/>
        </w:rPr>
        <w:t>要求</w:t>
      </w:r>
      <w:r>
        <w:rPr>
          <w:rFonts w:ascii="宋体" w:eastAsia="宋体" w:hAnsi="宋体" w:hint="eastAsia"/>
          <w:color w:val="000000"/>
          <w:szCs w:val="21"/>
          <w:highlight w:val="none"/>
        </w:rPr>
        <w:t>。接受项目行业管理部门及政府有关部门的指导，配合甲方的履约检查</w:t>
      </w:r>
      <w:r>
        <w:rPr>
          <w:rFonts w:ascii="宋体" w:eastAsia="宋体" w:hAnsi="宋体" w:hint="eastAsia"/>
          <w:color w:val="000000"/>
          <w:szCs w:val="21"/>
          <w:highlight w:val="none"/>
          <w:lang w:eastAsia="zh-CN"/>
        </w:rPr>
        <w:t>及验收</w:t>
      </w:r>
      <w:r>
        <w:rPr>
          <w:rFonts w:ascii="宋体" w:eastAsia="宋体" w:hAnsi="宋体" w:hint="eastAsia"/>
          <w:color w:val="000000"/>
          <w:szCs w:val="21"/>
          <w:highlight w:val="none"/>
        </w:rPr>
        <w:t>，并</w:t>
      </w:r>
      <w:r>
        <w:rPr>
          <w:rFonts w:ascii="宋体" w:eastAsia="宋体" w:hAnsi="宋体"/>
          <w:color w:val="000000"/>
          <w:szCs w:val="21"/>
          <w:highlight w:val="none"/>
        </w:rPr>
        <w:t>负责项目实施过程中的所有协调工作。</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3</w:t>
      </w:r>
      <w:r>
        <w:rPr>
          <w:rFonts w:ascii="宋体" w:eastAsia="宋体" w:hAnsi="宋体" w:cs="Times New Roman" w:hint="eastAsia"/>
          <w:color w:val="000000"/>
          <w:kern w:val="2"/>
          <w:sz w:val="21"/>
          <w:szCs w:val="21"/>
          <w:highlight w:val="none"/>
          <w:lang w:val="en-US" w:eastAsia="zh-CN" w:bidi="ar-SA"/>
        </w:rPr>
        <w:t>乙方有权</w:t>
      </w:r>
      <w:r>
        <w:rPr>
          <w:rFonts w:ascii="宋体" w:eastAsia="宋体" w:hAnsi="宋体" w:cs="宋体" w:hint="eastAsia"/>
          <w:color w:val="000000"/>
          <w:kern w:val="2"/>
          <w:sz w:val="21"/>
          <w:szCs w:val="21"/>
          <w:highlight w:val="none"/>
          <w:lang w:val="en-US" w:eastAsia="zh-CN" w:bidi="ar-SA"/>
        </w:rPr>
        <w:t>根据合同约定向甲方收取合同价款。</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4</w:t>
      </w:r>
      <w:r>
        <w:rPr>
          <w:rFonts w:ascii="宋体" w:eastAsia="宋体" w:hAnsi="宋体" w:cs="宋体" w:hint="eastAsia"/>
          <w:color w:val="000000"/>
          <w:kern w:val="2"/>
          <w:sz w:val="21"/>
          <w:szCs w:val="21"/>
          <w:highlight w:val="none"/>
          <w:lang w:val="en-US" w:eastAsia="zh-CN" w:bidi="ar-SA"/>
        </w:rPr>
        <w:t>国家法律法规规定</w:t>
      </w:r>
      <w:r>
        <w:rPr>
          <w:rFonts w:ascii="宋体" w:eastAsia="宋体" w:hAnsi="宋体" w:cs="Times New Roman" w:hint="eastAsia"/>
          <w:color w:val="000000"/>
          <w:kern w:val="2"/>
          <w:sz w:val="21"/>
          <w:szCs w:val="21"/>
          <w:highlight w:val="none"/>
          <w:lang w:val="en-US" w:eastAsia="zh-CN" w:bidi="ar-SA"/>
        </w:rPr>
        <w:t>及</w:t>
      </w:r>
      <w:r>
        <w:rPr>
          <w:rFonts w:ascii="宋体" w:eastAsia="宋体" w:hAnsi="宋体" w:cs="宋体" w:hint="eastAsia"/>
          <w:b/>
          <w:bCs/>
          <w:kern w:val="2"/>
          <w:sz w:val="21"/>
          <w:szCs w:val="21"/>
          <w:highlight w:val="none"/>
          <w:lang w:val="en-US" w:eastAsia="zh-CN" w:bidi="ar-SA"/>
        </w:rPr>
        <w:t>【政府采购合同专用条款】</w:t>
      </w:r>
      <w:r>
        <w:rPr>
          <w:rFonts w:ascii="宋体" w:eastAsia="宋体" w:hAnsi="宋体" w:cs="宋体" w:hint="eastAsia"/>
          <w:b w:val="0"/>
          <w:bCs w:val="0"/>
          <w:kern w:val="2"/>
          <w:sz w:val="21"/>
          <w:szCs w:val="21"/>
          <w:highlight w:val="none"/>
          <w:lang w:val="en-US" w:eastAsia="zh-CN" w:bidi="ar-SA"/>
        </w:rPr>
        <w:t>约定应</w:t>
      </w:r>
      <w:r>
        <w:rPr>
          <w:rFonts w:ascii="宋体" w:eastAsia="宋体" w:hAnsi="宋体" w:cs="宋体" w:hint="eastAsia"/>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outlineLvl w:val="9"/>
        <w:rPr>
          <w:rFonts w:ascii="宋体" w:eastAsia="宋体" w:hAnsi="宋体" w:hint="eastAsia"/>
          <w:b/>
          <w:bCs/>
          <w:color w:val="000000"/>
          <w:sz w:val="24"/>
          <w:highlight w:val="none"/>
        </w:rPr>
      </w:pPr>
      <w:r>
        <w:rPr>
          <w:rFonts w:ascii="宋体" w:eastAsia="宋体" w:hAnsi="宋体" w:hint="eastAsia"/>
          <w:b/>
          <w:bCs/>
          <w:color w:val="000000"/>
          <w:sz w:val="24"/>
          <w:highlight w:val="none"/>
        </w:rPr>
        <w:t>合同履</w:t>
      </w:r>
      <w:r>
        <w:rPr>
          <w:rFonts w:ascii="宋体" w:eastAsia="宋体" w:hAnsi="宋体" w:hint="eastAsia"/>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.1 甲乙双方应当按照</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outlineLvl w:val="9"/>
        <w:rPr>
          <w:rFonts w:eastAsia="宋体"/>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7</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货物包装、运输</w:t>
      </w:r>
      <w:r>
        <w:rPr>
          <w:rFonts w:ascii="宋体" w:eastAsia="宋体" w:hAnsi="宋体" w:hint="eastAsia"/>
          <w:b/>
          <w:bCs/>
          <w:color w:val="000000"/>
          <w:sz w:val="24"/>
          <w:highlight w:val="none"/>
          <w:lang w:eastAsia="zh-CN"/>
        </w:rPr>
        <w:t>、</w:t>
      </w:r>
      <w:r>
        <w:rPr>
          <w:rFonts w:ascii="宋体" w:eastAsia="宋体" w:hAnsi="宋体" w:hint="eastAsia"/>
          <w:b/>
          <w:bCs/>
          <w:color w:val="000000"/>
          <w:sz w:val="24"/>
          <w:highlight w:val="none"/>
        </w:rPr>
        <w:t>保险</w:t>
      </w:r>
      <w:r>
        <w:rPr>
          <w:rFonts w:ascii="宋体" w:eastAsia="宋体" w:hAnsi="宋体" w:hint="eastAsia"/>
          <w:b/>
          <w:bCs/>
          <w:color w:val="000000"/>
          <w:sz w:val="24"/>
          <w:highlight w:val="none"/>
          <w:lang w:eastAsia="zh-CN"/>
        </w:rPr>
        <w:t>和交付</w:t>
      </w:r>
      <w:r>
        <w:rPr>
          <w:rFonts w:ascii="宋体" w:eastAsia="宋体" w:hAnsi="宋体" w:hint="eastAsia"/>
          <w:b/>
          <w:bCs/>
          <w:color w:val="000000"/>
          <w:sz w:val="24"/>
          <w:highlight w:val="none"/>
        </w:rPr>
        <w:t>要求</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.1 本合同</w:t>
      </w:r>
      <w:r>
        <w:rPr>
          <w:rFonts w:ascii="宋体" w:eastAsia="宋体" w:hAnsi="宋体" w:hint="eastAsia"/>
          <w:bCs/>
          <w:color w:val="000000"/>
          <w:szCs w:val="21"/>
          <w:highlight w:val="none"/>
        </w:rPr>
        <w:t>涉及商品包装</w:t>
      </w:r>
      <w:r>
        <w:rPr>
          <w:rFonts w:ascii="宋体" w:eastAsia="宋体" w:hAnsi="宋体" w:hint="eastAsia"/>
          <w:bCs/>
          <w:color w:val="000000"/>
          <w:szCs w:val="21"/>
          <w:highlight w:val="none"/>
          <w:lang w:eastAsia="zh-CN"/>
        </w:rPr>
        <w:t>、</w:t>
      </w:r>
      <w:r>
        <w:rPr>
          <w:rFonts w:ascii="宋体" w:eastAsia="宋体" w:hAnsi="宋体" w:hint="eastAsia"/>
          <w:bCs/>
          <w:color w:val="000000"/>
          <w:szCs w:val="21"/>
          <w:highlight w:val="none"/>
        </w:rPr>
        <w:t>快递包装的，</w:t>
      </w:r>
      <w:r>
        <w:rPr>
          <w:rFonts w:ascii="宋体" w:eastAsia="宋体" w:hAnsi="宋体" w:hint="eastAsia"/>
          <w:color w:val="000000"/>
          <w:szCs w:val="21"/>
          <w:highlight w:val="none"/>
        </w:rPr>
        <w:t>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包装应适应远距离运输、防潮、防震、防锈和防野蛮装卸等要求，确保货物安全无损地运抵</w:t>
      </w:r>
      <w:r>
        <w:rPr>
          <w:rFonts w:ascii="宋体" w:eastAsia="宋体" w:hAnsi="宋体" w:hint="eastAsia"/>
          <w:b/>
          <w:color w:val="000000"/>
          <w:szCs w:val="21"/>
          <w:highlight w:val="none"/>
        </w:rPr>
        <w:t>【政府采购合同专用条款】</w:t>
      </w:r>
      <w:r>
        <w:rPr>
          <w:rFonts w:ascii="宋体" w:eastAsia="宋体" w:hAnsi="宋体" w:hint="eastAsia"/>
          <w:b w:val="0"/>
          <w:bCs/>
          <w:color w:val="000000"/>
          <w:szCs w:val="21"/>
          <w:highlight w:val="none"/>
          <w:lang w:eastAsia="zh-CN"/>
        </w:rPr>
        <w:t>约定的</w:t>
      </w:r>
      <w:r>
        <w:rPr>
          <w:rFonts w:ascii="宋体" w:eastAsia="宋体" w:hAnsi="宋体" w:hint="eastAsia"/>
          <w:color w:val="000000"/>
          <w:szCs w:val="21"/>
          <w:highlight w:val="none"/>
        </w:rPr>
        <w:t>指定现场。</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.2 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乙方负责办理将货物运抵本合同规定的交货地点</w:t>
      </w:r>
      <w:r>
        <w:rPr>
          <w:rFonts w:ascii="宋体" w:eastAsia="宋体" w:hAnsi="宋体" w:hint="eastAsia"/>
          <w:color w:val="000000"/>
          <w:szCs w:val="21"/>
          <w:highlight w:val="none"/>
          <w:lang w:eastAsia="zh-CN"/>
        </w:rPr>
        <w:t>，并装卸、交付至甲方</w:t>
      </w:r>
      <w:r>
        <w:rPr>
          <w:rFonts w:ascii="宋体" w:eastAsia="宋体" w:hAnsi="宋体" w:hint="eastAsia"/>
          <w:color w:val="000000"/>
          <w:szCs w:val="21"/>
          <w:highlight w:val="none"/>
        </w:rPr>
        <w:t>的一切运输事项，相关费用应</w:t>
      </w:r>
      <w:r>
        <w:rPr>
          <w:rFonts w:ascii="宋体" w:eastAsia="宋体" w:hAnsi="宋体" w:hint="eastAsia"/>
          <w:color w:val="000000"/>
          <w:szCs w:val="21"/>
          <w:highlight w:val="none"/>
          <w:lang w:eastAsia="zh-CN"/>
        </w:rPr>
        <w:t>包含</w:t>
      </w:r>
      <w:r>
        <w:rPr>
          <w:rFonts w:ascii="宋体" w:eastAsia="宋体" w:hAnsi="宋体" w:hint="eastAsia"/>
          <w:color w:val="000000"/>
          <w:szCs w:val="21"/>
          <w:highlight w:val="none"/>
        </w:rPr>
        <w:t>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.3 货物保险要求按</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规定执行</w:t>
      </w:r>
      <w:r>
        <w:rPr>
          <w:rFonts w:ascii="宋体" w:eastAsia="宋体" w:hAnsi="宋体" w:hint="eastAsia"/>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 xml:space="preserve">.4 </w:t>
      </w:r>
      <w:r>
        <w:rPr>
          <w:rFonts w:ascii="宋体" w:eastAsia="宋体" w:hAnsi="宋体" w:hint="eastAsia"/>
          <w:color w:val="000000"/>
          <w:szCs w:val="21"/>
          <w:highlight w:val="none"/>
          <w:lang w:val="en-US" w:eastAsia="zh-CN"/>
        </w:rPr>
        <w:t>除采购活动</w:t>
      </w:r>
      <w:r>
        <w:rPr>
          <w:rFonts w:ascii="宋体" w:eastAsia="宋体" w:hAnsi="宋体" w:hint="eastAsia"/>
          <w:color w:val="000000"/>
          <w:szCs w:val="21"/>
          <w:highlight w:val="none"/>
        </w:rPr>
        <w:t>对商品包装</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w:t>
      </w:r>
      <w:r>
        <w:rPr>
          <w:rFonts w:ascii="宋体" w:eastAsia="宋体" w:hAnsi="宋体" w:hint="eastAsia"/>
          <w:color w:val="000000"/>
          <w:szCs w:val="21"/>
          <w:highlight w:val="none"/>
          <w:lang w:val="en-US" w:eastAsia="zh-CN"/>
        </w:rPr>
        <w:t>达成具体约定外</w:t>
      </w:r>
      <w:r>
        <w:rPr>
          <w:rFonts w:ascii="宋体" w:eastAsia="宋体" w:hAnsi="宋体" w:hint="eastAsia"/>
          <w:color w:val="000000"/>
          <w:szCs w:val="21"/>
          <w:highlight w:val="none"/>
        </w:rPr>
        <w:t>，乙方提供产品及相关快递服务</w:t>
      </w:r>
      <w:r>
        <w:rPr>
          <w:rFonts w:ascii="宋体" w:eastAsia="宋体" w:hAnsi="宋体" w:hint="eastAsia"/>
          <w:color w:val="000000"/>
          <w:szCs w:val="21"/>
          <w:highlight w:val="none"/>
          <w:lang w:val="en-US" w:eastAsia="zh-CN"/>
        </w:rPr>
        <w:t>涉及到</w:t>
      </w:r>
      <w:r>
        <w:rPr>
          <w:rFonts w:ascii="宋体" w:eastAsia="宋体" w:hAnsi="宋体" w:hint="eastAsia"/>
          <w:color w:val="000000"/>
          <w:szCs w:val="21"/>
          <w:highlight w:val="none"/>
        </w:rPr>
        <w:t>具体包装要求</w:t>
      </w:r>
      <w:r>
        <w:rPr>
          <w:rFonts w:ascii="宋体" w:eastAsia="宋体" w:hAnsi="宋体" w:hint="eastAsia"/>
          <w:color w:val="000000"/>
          <w:szCs w:val="21"/>
          <w:highlight w:val="none"/>
          <w:lang w:val="en-US" w:eastAsia="zh-CN"/>
        </w:rPr>
        <w:t>的，</w:t>
      </w:r>
      <w:r>
        <w:rPr>
          <w:rFonts w:ascii="宋体" w:eastAsia="宋体" w:hAnsi="宋体" w:hint="eastAsia"/>
          <w:color w:val="000000"/>
          <w:szCs w:val="21"/>
          <w:highlight w:val="none"/>
        </w:rPr>
        <w:t>应</w:t>
      </w:r>
      <w:r>
        <w:rPr>
          <w:rFonts w:ascii="宋体" w:eastAsia="宋体" w:hAnsi="宋体" w:hint="eastAsia"/>
          <w:color w:val="000000"/>
          <w:szCs w:val="21"/>
          <w:highlight w:val="none"/>
          <w:lang w:val="en-US" w:eastAsia="zh-CN"/>
        </w:rPr>
        <w:t>不低于</w:t>
      </w:r>
      <w:r>
        <w:rPr>
          <w:rFonts w:ascii="宋体" w:eastAsia="宋体" w:hAnsi="宋体" w:hint="eastAsia"/>
          <w:color w:val="000000"/>
          <w:szCs w:val="21"/>
          <w:highlight w:val="none"/>
        </w:rPr>
        <w:t>《商品包装政府采购需求标准（试行）</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快递包装政府采购需求标准（试行）》</w:t>
      </w:r>
      <w:r>
        <w:rPr>
          <w:rFonts w:ascii="宋体" w:eastAsia="宋体" w:hAnsi="宋体" w:hint="eastAsia"/>
          <w:color w:val="000000"/>
          <w:szCs w:val="21"/>
          <w:highlight w:val="none"/>
          <w:lang w:val="en-US" w:eastAsia="zh-CN"/>
        </w:rPr>
        <w:t>标准</w:t>
      </w:r>
      <w:r>
        <w:rPr>
          <w:rFonts w:ascii="宋体" w:eastAsia="宋体" w:hAnsi="宋体" w:hint="eastAsia"/>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val="en-US" w:eastAsia="zh-CN"/>
        </w:rPr>
        <w:t xml:space="preserve">7.5 </w:t>
      </w:r>
      <w:r>
        <w:rPr>
          <w:rFonts w:ascii="宋体" w:eastAsia="宋体" w:hAnsi="宋体" w:cs="宋体" w:hint="eastAsia"/>
          <w:color w:val="000000"/>
          <w:szCs w:val="21"/>
        </w:rPr>
        <w:t>乙方在运输到达之前</w:t>
      </w:r>
      <w:r>
        <w:rPr>
          <w:rFonts w:ascii="宋体" w:eastAsia="宋体" w:hAnsi="宋体" w:cs="宋体" w:hint="eastAsia"/>
          <w:color w:val="000000"/>
          <w:szCs w:val="21"/>
          <w:lang w:eastAsia="zh-CN"/>
        </w:rPr>
        <w:t>应</w:t>
      </w:r>
      <w:r>
        <w:rPr>
          <w:rFonts w:ascii="宋体" w:eastAsia="宋体" w:hAnsi="宋体" w:cs="宋体" w:hint="eastAsia"/>
          <w:color w:val="000000"/>
          <w:szCs w:val="21"/>
        </w:rPr>
        <w:t>提前通知</w:t>
      </w:r>
      <w:r>
        <w:rPr>
          <w:rFonts w:ascii="宋体" w:eastAsia="宋体" w:hAnsi="宋体" w:cs="宋体" w:hint="eastAsia"/>
          <w:color w:val="000000"/>
          <w:szCs w:val="21"/>
          <w:lang w:eastAsia="zh-CN"/>
        </w:rPr>
        <w:t>甲方</w:t>
      </w:r>
      <w:r>
        <w:rPr>
          <w:rFonts w:ascii="宋体" w:eastAsia="宋体" w:hAnsi="宋体" w:cs="宋体" w:hint="eastAsia"/>
          <w:color w:val="000000"/>
          <w:szCs w:val="21"/>
        </w:rPr>
        <w:t>，并提示货物运输装卸的注意事项</w:t>
      </w:r>
      <w:r>
        <w:rPr>
          <w:rFonts w:ascii="宋体" w:eastAsia="宋体" w:hAnsi="宋体" w:cs="宋体" w:hint="eastAsia"/>
          <w:color w:val="000000"/>
          <w:szCs w:val="21"/>
          <w:lang w:eastAsia="zh-CN"/>
        </w:rPr>
        <w:t>，甲方配合乙方做好货物的接收工作。</w:t>
      </w:r>
    </w:p>
    <w:p>
      <w:pPr>
        <w:autoSpaceDE w:val="0"/>
        <w:autoSpaceDN w:val="0"/>
        <w:adjustRightInd w:val="0"/>
        <w:spacing w:line="400" w:lineRule="exact"/>
        <w:ind w:firstLine="420" w:firstLineChars="200"/>
        <w:outlineLvl w:val="9"/>
        <w:rPr>
          <w:rFonts w:ascii="华文楷体" w:eastAsia="华文楷体" w:hAnsi="华文楷体" w:cs="华文楷体" w:hint="default"/>
          <w:sz w:val="21"/>
          <w:szCs w:val="21"/>
          <w:lang w:val="en-US" w:eastAsia="zh-CN" w:bidi="ar-SA"/>
        </w:rPr>
      </w:pPr>
      <w:r>
        <w:rPr>
          <w:rFonts w:ascii="宋体" w:eastAsia="宋体" w:hAnsi="宋体" w:cs="Times New Roman" w:hint="eastAsia"/>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000000"/>
          <w:sz w:val="24"/>
          <w:highlight w:val="none"/>
          <w:lang w:eastAsia="zh-CN"/>
        </w:rPr>
        <w:t>8</w:t>
      </w:r>
      <w:r>
        <w:rPr>
          <w:rFonts w:ascii="宋体" w:eastAsia="宋体" w:hAnsi="宋体" w:hint="eastAsia"/>
          <w:b/>
          <w:color w:val="000000"/>
          <w:sz w:val="24"/>
          <w:highlight w:val="none"/>
          <w:lang w:val="en-US" w:eastAsia="zh-CN"/>
        </w:rPr>
        <w:t xml:space="preserve">. </w:t>
      </w:r>
      <w:r>
        <w:rPr>
          <w:rFonts w:ascii="宋体" w:eastAsia="宋体" w:hAnsi="宋体" w:hint="eastAsia"/>
          <w:b/>
          <w:color w:val="auto"/>
          <w:sz w:val="24"/>
          <w:highlight w:val="none"/>
        </w:rPr>
        <w:t>质量标准和保证</w:t>
      </w:r>
    </w:p>
    <w:p>
      <w:pPr>
        <w:widowControl w:val="0"/>
        <w:adjustRightInd w:val="0"/>
        <w:snapToGrid w:val="0"/>
        <w:spacing w:before="0" w:line="400" w:lineRule="exact"/>
        <w:ind w:firstLine="420" w:firstLineChars="200"/>
        <w:jc w:val="left"/>
        <w:outlineLvl w:val="9"/>
        <w:rPr>
          <w:rFonts w:ascii="宋体" w:eastAsia="宋体" w:hAnsi="宋体" w:cs="Courier New"/>
          <w:b/>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（1）本合同下</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w:t>
      </w:r>
      <w:r>
        <w:rPr>
          <w:rFonts w:ascii="宋体" w:eastAsia="宋体" w:hAnsi="宋体" w:hint="eastAsia"/>
          <w:color w:val="auto"/>
          <w:szCs w:val="21"/>
          <w:highlight w:val="none"/>
          <w:lang w:eastAsia="zh-CN"/>
        </w:rPr>
        <w:t>合同</w:t>
      </w:r>
      <w:r>
        <w:rPr>
          <w:rFonts w:ascii="宋体" w:eastAsia="宋体" w:hAnsi="宋体" w:cs="宋体" w:hint="eastAsia"/>
          <w:color w:val="000000"/>
          <w:szCs w:val="21"/>
          <w:lang w:eastAsia="zh-CN"/>
        </w:rPr>
        <w:t>约</w:t>
      </w:r>
      <w:r>
        <w:rPr>
          <w:rFonts w:ascii="宋体" w:eastAsia="宋体" w:hAnsi="宋体" w:cs="宋体" w:hint="eastAsia"/>
          <w:color w:val="000000"/>
          <w:szCs w:val="21"/>
        </w:rPr>
        <w:t>定的</w:t>
      </w:r>
      <w:r>
        <w:rPr>
          <w:rFonts w:ascii="宋体" w:eastAsia="宋体" w:hAnsi="宋体" w:cs="宋体" w:hint="eastAsia"/>
          <w:szCs w:val="21"/>
        </w:rPr>
        <w:t>品牌、规格型号、技术性能、配置、质量、数量等要求。</w:t>
      </w:r>
      <w:r>
        <w:rPr>
          <w:rFonts w:ascii="宋体" w:eastAsia="宋体" w:hAnsi="宋体" w:hint="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color w:val="auto"/>
          <w:szCs w:val="21"/>
          <w:highlight w:val="none"/>
          <w:lang w:eastAsia="zh-CN"/>
        </w:rPr>
        <w:t>。</w:t>
      </w:r>
    </w:p>
    <w:p>
      <w:pPr>
        <w:widowControl w:val="0"/>
        <w:adjustRightInd w:val="0"/>
        <w:snapToGrid w:val="0"/>
        <w:spacing w:before="0" w:line="400" w:lineRule="exact"/>
        <w:ind w:firstLine="420" w:firstLineChars="200"/>
        <w:jc w:val="left"/>
        <w:outlineLvl w:val="9"/>
        <w:rPr>
          <w:rFonts w:ascii="宋体" w:eastAsia="宋体" w:hAnsi="宋体" w:cs="Courier New"/>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的货物应符合国家有关安全、环保、卫生</w:t>
      </w:r>
      <w:r>
        <w:rPr>
          <w:rFonts w:ascii="宋体" w:eastAsia="宋体" w:hAnsi="宋体" w:hint="eastAsia"/>
          <w:color w:val="auto"/>
          <w:szCs w:val="21"/>
          <w:highlight w:val="none"/>
          <w:lang w:eastAsia="zh-CN"/>
        </w:rPr>
        <w:t>的</w:t>
      </w:r>
      <w:r>
        <w:rPr>
          <w:rFonts w:ascii="宋体" w:eastAsia="宋体" w:hAnsi="宋体" w:hint="eastAsia"/>
          <w:color w:val="auto"/>
          <w:szCs w:val="21"/>
          <w:highlight w:val="none"/>
        </w:rPr>
        <w:t>规定。</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（4）乙方应向甲方提交所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货物的技术文件，包括相应的中文技术文件，如：产品目录、图纸、操作手册、使用说明、维护手册或服务指南</w:t>
      </w:r>
      <w:r>
        <w:rPr>
          <w:rFonts w:ascii="宋体" w:eastAsia="宋体" w:hAnsi="宋体" w:hint="eastAsia"/>
          <w:color w:val="auto"/>
          <w:szCs w:val="21"/>
          <w:highlight w:val="none"/>
          <w:lang w:eastAsia="zh-CN"/>
        </w:rPr>
        <w:t>等</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上述</w:t>
      </w:r>
      <w:r>
        <w:rPr>
          <w:rFonts w:ascii="宋体" w:eastAsia="宋体" w:hAnsi="宋体" w:hint="eastAsia"/>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8</w:t>
      </w:r>
      <w:r>
        <w:rPr>
          <w:rFonts w:ascii="宋体" w:eastAsia="宋体" w:hAnsi="宋体" w:hint="eastAsia"/>
          <w:color w:val="auto"/>
          <w:szCs w:val="21"/>
          <w:highlight w:val="none"/>
        </w:rPr>
        <w:t>.2 保证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（1）乙方应保证</w:t>
      </w:r>
      <w:r>
        <w:rPr>
          <w:rFonts w:ascii="宋体" w:eastAsia="宋体" w:hAnsi="宋体" w:hint="eastAsia"/>
          <w:color w:val="auto"/>
          <w:szCs w:val="21"/>
          <w:highlight w:val="none"/>
          <w:lang w:eastAsia="zh-CN"/>
        </w:rPr>
        <w:t>提供的货物</w:t>
      </w:r>
      <w:r>
        <w:rPr>
          <w:rFonts w:ascii="宋体" w:eastAsia="宋体" w:hAnsi="宋体" w:hint="eastAsia"/>
          <w:color w:val="auto"/>
          <w:szCs w:val="21"/>
          <w:highlight w:val="none"/>
        </w:rPr>
        <w:t>完全符合合同规定的质量、规格和性能要求。乙方应保证货物在正确安装、正常使用和保养条件下，</w:t>
      </w:r>
      <w:r>
        <w:rPr>
          <w:rFonts w:ascii="宋体" w:eastAsia="宋体" w:hAnsi="宋体" w:cs="宋体" w:hint="eastAsia"/>
          <w:szCs w:val="21"/>
        </w:rPr>
        <w:t>在其使用寿命期内具</w:t>
      </w:r>
      <w:r>
        <w:rPr>
          <w:rFonts w:ascii="宋体" w:eastAsia="宋体" w:hAnsi="宋体" w:cs="宋体" w:hint="eastAsia"/>
          <w:szCs w:val="21"/>
          <w:lang w:eastAsia="zh-CN"/>
        </w:rPr>
        <w:t>备合同约定</w:t>
      </w:r>
      <w:r>
        <w:rPr>
          <w:rFonts w:ascii="宋体" w:eastAsia="宋体" w:hAnsi="宋体" w:cs="宋体" w:hint="eastAsia"/>
          <w:szCs w:val="21"/>
        </w:rPr>
        <w:t>的性能</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存在</w:t>
      </w:r>
      <w:r>
        <w:rPr>
          <w:rFonts w:ascii="宋体" w:eastAsia="宋体" w:hAnsi="宋体" w:hint="eastAsia"/>
          <w:color w:val="auto"/>
          <w:szCs w:val="21"/>
          <w:highlight w:val="none"/>
        </w:rPr>
        <w:t>质量保证期的，货物最终交付验收</w:t>
      </w:r>
      <w:r>
        <w:rPr>
          <w:rFonts w:ascii="宋体" w:eastAsia="宋体" w:hAnsi="宋体" w:hint="eastAsia"/>
          <w:color w:val="auto"/>
          <w:szCs w:val="21"/>
          <w:highlight w:val="none"/>
          <w:lang w:eastAsia="zh-CN"/>
        </w:rPr>
        <w:t>合格</w:t>
      </w:r>
      <w:r>
        <w:rPr>
          <w:rFonts w:ascii="宋体" w:eastAsia="宋体" w:hAnsi="宋体" w:hint="eastAsia"/>
          <w:color w:val="auto"/>
          <w:szCs w:val="21"/>
          <w:highlight w:val="none"/>
        </w:rPr>
        <w:t>后</w:t>
      </w:r>
      <w:r>
        <w:rPr>
          <w:rFonts w:ascii="宋体" w:eastAsia="宋体" w:hAnsi="宋体" w:hint="eastAsia"/>
          <w:color w:val="auto"/>
          <w:szCs w:val="21"/>
          <w:highlight w:val="none"/>
          <w:lang w:eastAsia="zh-CN"/>
        </w:rPr>
        <w:t>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规定或乙方</w:t>
      </w:r>
      <w:r>
        <w:rPr>
          <w:rFonts w:ascii="宋体" w:eastAsia="宋体" w:hAnsi="宋体" w:hint="eastAsia"/>
          <w:color w:val="auto"/>
          <w:szCs w:val="21"/>
          <w:highlight w:val="none"/>
          <w:lang w:eastAsia="zh-CN"/>
        </w:rPr>
        <w:t>书面</w:t>
      </w:r>
      <w:r>
        <w:rPr>
          <w:rFonts w:ascii="宋体" w:eastAsia="宋体" w:hAnsi="宋体" w:hint="eastAsia"/>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（3）乙方收到通知后</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应在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szCs w:val="21"/>
          <w:highlight w:val="none"/>
          <w:lang w:val="en-US" w:eastAsia="zh-CN"/>
        </w:rPr>
        <w:t>5</w:t>
      </w:r>
      <w:r>
        <w:rPr>
          <w:rFonts w:ascii="宋体" w:eastAsia="宋体" w:hAnsi="宋体" w:hint="eastAsia"/>
          <w:color w:val="auto"/>
          <w:szCs w:val="21"/>
          <w:highlight w:val="none"/>
        </w:rPr>
        <w:t>.1条规定以书面形式</w:t>
      </w:r>
      <w:r>
        <w:rPr>
          <w:rFonts w:ascii="宋体" w:eastAsia="宋体" w:hAnsi="宋体" w:hint="eastAsia"/>
          <w:color w:val="000000"/>
          <w:szCs w:val="21"/>
          <w:highlight w:val="none"/>
          <w:lang w:eastAsia="zh-CN"/>
        </w:rPr>
        <w:t>追究</w:t>
      </w:r>
      <w:r>
        <w:rPr>
          <w:rFonts w:ascii="宋体" w:eastAsia="宋体" w:hAnsi="宋体" w:hint="eastAsia"/>
          <w:color w:val="auto"/>
          <w:szCs w:val="21"/>
          <w:highlight w:val="none"/>
        </w:rPr>
        <w:t>乙方</w:t>
      </w:r>
      <w:r>
        <w:rPr>
          <w:rFonts w:ascii="宋体" w:eastAsia="宋体" w:hAnsi="宋体" w:hint="eastAsia"/>
          <w:color w:val="000000"/>
          <w:szCs w:val="21"/>
          <w:highlight w:val="none"/>
          <w:lang w:eastAsia="zh-CN"/>
        </w:rPr>
        <w:t>的违约责任</w:t>
      </w:r>
      <w:r>
        <w:rPr>
          <w:rFonts w:ascii="宋体" w:eastAsia="宋体" w:hAnsi="宋体" w:hint="eastAsia"/>
          <w:color w:val="auto"/>
          <w:szCs w:val="21"/>
          <w:highlight w:val="none"/>
        </w:rPr>
        <w:t>。</w:t>
      </w:r>
    </w:p>
    <w:p>
      <w:pPr>
        <w:adjustRightInd w:val="0"/>
        <w:snapToGrid w:val="0"/>
        <w:spacing w:before="0" w:line="400" w:lineRule="exact"/>
        <w:ind w:firstLine="420" w:firstLineChars="200"/>
        <w:jc w:val="left"/>
        <w:outlineLvl w:val="9"/>
        <w:rPr>
          <w:rFonts w:eastAsia="宋体"/>
          <w:color w:val="auto"/>
          <w:highlight w:val="none"/>
        </w:rPr>
      </w:pPr>
      <w:r>
        <w:rPr>
          <w:rFonts w:ascii="宋体" w:eastAsia="宋体" w:hAnsi="宋体" w:hint="eastAsia"/>
          <w:color w:val="auto"/>
          <w:szCs w:val="21"/>
          <w:highlight w:val="none"/>
        </w:rPr>
        <w:t>（5）乙方在约定的时间内未能弥补缺陷，甲方可采取必要的补救措施，但其风险和费用将由乙方承担，甲方根据合同</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对乙方行使的其他权利不受影响。</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000000"/>
          <w:sz w:val="24"/>
          <w:highlight w:val="none"/>
          <w:lang w:eastAsia="zh-CN"/>
        </w:rPr>
        <w:t>9</w:t>
      </w:r>
      <w:r>
        <w:rPr>
          <w:rFonts w:ascii="宋体" w:eastAsia="宋体" w:hAnsi="宋体" w:hint="eastAsia"/>
          <w:b/>
          <w:bCs/>
          <w:color w:val="auto"/>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auto"/>
          <w:sz w:val="24"/>
          <w:highlight w:val="none"/>
        </w:rPr>
        <w:t>权利瑕疵担保</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 xml:space="preserve">.2 </w:t>
      </w:r>
      <w:r>
        <w:rPr>
          <w:rFonts w:ascii="宋体" w:eastAsia="宋体" w:hAnsi="宋体" w:cs="宋体" w:hint="eastAsia"/>
          <w:szCs w:val="15"/>
        </w:rPr>
        <w:t>乙方保证在交付的货物上不存在抵押权等担保物权。</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.3 如甲方使用</w:t>
      </w:r>
      <w:r>
        <w:rPr>
          <w:rFonts w:ascii="宋体" w:eastAsia="宋体" w:hAnsi="宋体" w:hint="eastAsia"/>
          <w:color w:val="000000"/>
          <w:szCs w:val="21"/>
          <w:highlight w:val="none"/>
          <w:lang w:val="en-US" w:eastAsia="zh-CN"/>
        </w:rPr>
        <w:t>上述</w:t>
      </w:r>
      <w:r>
        <w:rPr>
          <w:rFonts w:ascii="宋体" w:eastAsia="宋体" w:hAnsi="宋体" w:hint="eastAsia"/>
          <w:color w:val="000000"/>
          <w:szCs w:val="21"/>
          <w:highlight w:val="none"/>
        </w:rPr>
        <w:t>货物构成</w:t>
      </w:r>
      <w:r>
        <w:rPr>
          <w:rFonts w:ascii="宋体" w:eastAsia="宋体" w:hAnsi="宋体" w:hint="eastAsia"/>
          <w:color w:val="000000"/>
          <w:szCs w:val="21"/>
          <w:highlight w:val="none"/>
          <w:lang w:val="en-US" w:eastAsia="zh-CN"/>
        </w:rPr>
        <w:t>对第三人</w:t>
      </w:r>
      <w:r>
        <w:rPr>
          <w:rFonts w:ascii="宋体" w:eastAsia="宋体" w:hAnsi="宋体" w:hint="eastAsia"/>
          <w:color w:val="000000"/>
          <w:szCs w:val="21"/>
          <w:highlight w:val="none"/>
        </w:rPr>
        <w:t>侵权的，则由乙方承担全部责任。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rPr>
        <w:t>1</w:t>
      </w:r>
      <w:r>
        <w:rPr>
          <w:rFonts w:ascii="宋体" w:eastAsia="宋体" w:hAnsi="宋体" w:hint="eastAsia"/>
          <w:b/>
          <w:bCs/>
          <w:color w:val="000000"/>
          <w:sz w:val="24"/>
          <w:highlight w:val="none"/>
          <w:lang w:eastAsia="zh-CN"/>
        </w:rPr>
        <w:t>0</w:t>
      </w:r>
      <w:r>
        <w:rPr>
          <w:rFonts w:ascii="宋体" w:eastAsia="宋体" w:hAnsi="宋体" w:hint="eastAsia"/>
          <w:b/>
          <w:bCs/>
          <w:color w:val="000000"/>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知识产权保护</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000000"/>
          <w:szCs w:val="21"/>
          <w:highlight w:val="none"/>
        </w:rPr>
        <w:t>1</w:t>
      </w:r>
      <w:r>
        <w:rPr>
          <w:rFonts w:ascii="宋体" w:eastAsia="宋体" w:hAnsi="宋体" w:hint="eastAsia"/>
          <w:color w:val="000000"/>
          <w:szCs w:val="21"/>
          <w:highlight w:val="none"/>
          <w:lang w:eastAsia="zh-CN"/>
        </w:rPr>
        <w:t>0</w:t>
      </w:r>
      <w:r>
        <w:rPr>
          <w:rFonts w:ascii="宋体" w:eastAsia="宋体" w:hAnsi="宋体" w:hint="eastAsia"/>
          <w:color w:val="000000"/>
          <w:szCs w:val="21"/>
          <w:highlight w:val="none"/>
        </w:rPr>
        <w:t>.1 乙方对其所销售的货物应当享有知识产权或经权利人合法授权，保证没有侵犯任</w:t>
      </w:r>
      <w:r>
        <w:rPr>
          <w:rFonts w:ascii="宋体" w:eastAsia="宋体" w:hAnsi="宋体" w:hint="eastAsia"/>
          <w:color w:val="auto"/>
          <w:szCs w:val="21"/>
          <w:highlight w:val="none"/>
        </w:rPr>
        <w:t>何第三人的知识产权等权利。</w:t>
      </w:r>
      <w:bookmarkStart w:id="90" w:name="_Hlk163047038"/>
      <w:r>
        <w:rPr>
          <w:rFonts w:ascii="宋体" w:eastAsia="宋体" w:hAnsi="宋体" w:cs="宋体" w:hint="eastAsia"/>
          <w:szCs w:val="15"/>
        </w:rPr>
        <w:t>因违反前述约定对第三人构成侵权的，应当由乙方向第三人承担法律责任；甲方依法向第三人赔偿后，有权向乙方追偿。甲方有其他损失的，乙方应当赔偿</w:t>
      </w:r>
      <w:bookmarkEnd w:id="90"/>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保密义务</w:t>
      </w:r>
    </w:p>
    <w:p>
      <w:pPr>
        <w:autoSpaceDE w:val="0"/>
        <w:autoSpaceDN w:val="0"/>
        <w:adjustRightInd w:val="0"/>
        <w:snapToGrid w:val="0"/>
        <w:spacing w:before="0" w:line="400" w:lineRule="exact"/>
        <w:ind w:firstLine="420" w:firstLineChars="200"/>
        <w:jc w:val="left"/>
        <w:outlineLvl w:val="9"/>
        <w:rPr>
          <w:rFonts w:ascii="宋体" w:eastAsia="宋体" w:hAnsi="宋体" w:cs="宋体" w:hint="eastAsia"/>
          <w:szCs w:val="15"/>
        </w:rPr>
      </w:pPr>
      <w:r>
        <w:rPr>
          <w:rFonts w:ascii="宋体" w:eastAsia="宋体" w:hAnsi="宋体" w:cs="宋体" w:hint="eastAsia"/>
          <w:szCs w:val="15"/>
          <w:lang w:val="en-US" w:eastAsia="zh-CN"/>
        </w:rPr>
        <w:t xml:space="preserve">11.1 </w:t>
      </w:r>
      <w:r>
        <w:rPr>
          <w:rFonts w:ascii="宋体" w:eastAsia="宋体" w:hAnsi="宋体" w:cs="宋体" w:hint="eastAsia"/>
          <w:szCs w:val="15"/>
        </w:rPr>
        <w:t>甲、乙双方</w:t>
      </w:r>
      <w:r>
        <w:rPr>
          <w:rFonts w:ascii="宋体" w:eastAsia="宋体" w:hAnsi="宋体" w:cs="宋体" w:hint="eastAsia"/>
          <w:szCs w:val="15"/>
          <w:lang w:eastAsia="zh-CN"/>
        </w:rPr>
        <w:t>对</w:t>
      </w:r>
      <w:r>
        <w:rPr>
          <w:rFonts w:ascii="宋体" w:eastAsia="宋体" w:hAnsi="宋体" w:cs="宋体" w:hint="eastAsia"/>
          <w:szCs w:val="15"/>
        </w:rPr>
        <w:t>采购和合同履行过程中所获悉的</w:t>
      </w:r>
      <w:r>
        <w:rPr>
          <w:rFonts w:ascii="宋体" w:eastAsia="宋体" w:hAnsi="宋体" w:cs="宋体" w:hint="eastAsia"/>
          <w:szCs w:val="15"/>
          <w:lang w:eastAsia="zh-CN"/>
        </w:rPr>
        <w:t>国家秘密、工作秘密、</w:t>
      </w:r>
      <w:r>
        <w:rPr>
          <w:rFonts w:ascii="宋体" w:eastAsia="宋体" w:hAnsi="宋体" w:cs="宋体" w:hint="eastAsia"/>
          <w:szCs w:val="15"/>
        </w:rPr>
        <w:t>商业秘密或者其他应当保密的信息，均有保密义务</w:t>
      </w:r>
      <w:r>
        <w:rPr>
          <w:rFonts w:ascii="宋体" w:eastAsia="宋体" w:hAnsi="宋体" w:cs="宋体" w:hint="eastAsia"/>
          <w:szCs w:val="15"/>
          <w:lang w:eastAsia="zh-CN"/>
        </w:rPr>
        <w:t>且不受合同有效期所限，直至该信息成为公开信息</w:t>
      </w:r>
      <w:r>
        <w:rPr>
          <w:rFonts w:ascii="宋体" w:eastAsia="宋体" w:hAnsi="宋体" w:cs="宋体" w:hint="eastAsia"/>
          <w:szCs w:val="15"/>
        </w:rPr>
        <w:t>。泄露、不正当地使用</w:t>
      </w:r>
      <w:r>
        <w:rPr>
          <w:rFonts w:ascii="宋体" w:eastAsia="宋体" w:hAnsi="宋体" w:cs="宋体" w:hint="eastAsia"/>
          <w:szCs w:val="15"/>
          <w:lang w:eastAsia="zh-CN"/>
        </w:rPr>
        <w:t>国家秘密、工作秘密、</w:t>
      </w:r>
      <w:r>
        <w:rPr>
          <w:rFonts w:ascii="宋体" w:eastAsia="宋体" w:hAnsi="宋体" w:cs="宋体" w:hint="eastAsia"/>
          <w:szCs w:val="15"/>
        </w:rPr>
        <w:t>商业秘密或者</w:t>
      </w:r>
      <w:r>
        <w:rPr>
          <w:rFonts w:ascii="宋体" w:eastAsia="宋体" w:hAnsi="宋体" w:cs="宋体" w:hint="eastAsia"/>
          <w:szCs w:val="15"/>
          <w:lang w:eastAsia="zh-CN"/>
        </w:rPr>
        <w:t>其他应当保密的</w:t>
      </w:r>
      <w:r>
        <w:rPr>
          <w:rFonts w:ascii="宋体" w:eastAsia="宋体" w:hAnsi="宋体" w:cs="宋体" w:hint="eastAsia"/>
          <w:szCs w:val="15"/>
        </w:rPr>
        <w:t>信息，应当承担</w:t>
      </w:r>
      <w:r>
        <w:rPr>
          <w:rFonts w:ascii="宋体" w:eastAsia="宋体" w:hAnsi="宋体" w:cs="宋体" w:hint="eastAsia"/>
          <w:szCs w:val="15"/>
          <w:lang w:eastAsia="zh-CN"/>
        </w:rPr>
        <w:t>相应</w:t>
      </w:r>
      <w:r>
        <w:rPr>
          <w:rFonts w:ascii="宋体" w:eastAsia="宋体" w:hAnsi="宋体" w:cs="宋体" w:hint="eastAsia"/>
          <w:szCs w:val="15"/>
        </w:rPr>
        <w:t>责任。其他应当保密的信息由双方在</w:t>
      </w:r>
      <w:r>
        <w:rPr>
          <w:rFonts w:ascii="宋体" w:eastAsia="宋体" w:hAnsi="宋体" w:cs="宋体" w:hint="eastAsia"/>
          <w:b/>
          <w:bCs/>
          <w:szCs w:val="15"/>
        </w:rPr>
        <w:t>【政府采购合同专用条款】</w:t>
      </w:r>
      <w:r>
        <w:rPr>
          <w:rFonts w:ascii="宋体" w:eastAsia="宋体" w:hAnsi="宋体" w:cs="宋体" w:hint="eastAsia"/>
          <w:szCs w:val="15"/>
        </w:rPr>
        <w:t>中约定。</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2</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合同价款支付</w:t>
      </w:r>
    </w:p>
    <w:p>
      <w:pPr>
        <w:autoSpaceDE/>
        <w:autoSpaceDN/>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2</w:t>
      </w:r>
      <w:r>
        <w:rPr>
          <w:rFonts w:ascii="宋体" w:eastAsia="宋体" w:hAnsi="宋体" w:hint="eastAsia"/>
          <w:color w:val="auto"/>
          <w:szCs w:val="21"/>
          <w:highlight w:val="none"/>
        </w:rPr>
        <w:t xml:space="preserve">.1 </w:t>
      </w:r>
      <w:r>
        <w:rPr>
          <w:rFonts w:ascii="宋体" w:eastAsia="宋体" w:hAnsi="宋体" w:hint="eastAsia"/>
          <w:color w:val="auto"/>
          <w:szCs w:val="21"/>
          <w:highlight w:val="none"/>
          <w:lang w:eastAsia="zh-CN"/>
        </w:rPr>
        <w:t>合同价款支付</w:t>
      </w:r>
      <w:r>
        <w:rPr>
          <w:rFonts w:ascii="宋体" w:eastAsia="宋体" w:hAnsi="宋体" w:hint="eastAsia"/>
          <w:color w:val="auto"/>
          <w:szCs w:val="21"/>
          <w:highlight w:val="none"/>
        </w:rPr>
        <w:t>按照国库集中支付</w:t>
      </w:r>
      <w:r>
        <w:rPr>
          <w:rFonts w:ascii="宋体" w:eastAsia="宋体" w:hAnsi="宋体" w:hint="eastAsia"/>
          <w:color w:val="auto"/>
          <w:szCs w:val="21"/>
          <w:highlight w:val="none"/>
          <w:lang w:eastAsia="zh-CN"/>
        </w:rPr>
        <w:t>制度及财政管理相关</w:t>
      </w:r>
      <w:r>
        <w:rPr>
          <w:rFonts w:ascii="宋体" w:eastAsia="宋体" w:hAnsi="宋体" w:hint="eastAsia"/>
          <w:color w:val="auto"/>
          <w:szCs w:val="21"/>
          <w:highlight w:val="none"/>
        </w:rPr>
        <w:t>规定执行。</w:t>
      </w:r>
    </w:p>
    <w:p>
      <w:pPr>
        <w:keepNext/>
        <w:keepLines/>
        <w:widowControl w:val="0"/>
        <w:spacing w:line="400" w:lineRule="exact"/>
        <w:ind w:firstLine="420" w:firstLineChars="200"/>
        <w:jc w:val="both"/>
        <w:outlineLvl w:val="9"/>
        <w:rPr>
          <w:rFonts w:ascii="Arial" w:eastAsia="宋体" w:hAnsi="Arial" w:cs="Times New Roman" w:hint="eastAsia"/>
          <w:b/>
          <w:bCs/>
          <w:color w:val="auto"/>
          <w:kern w:val="2"/>
          <w:sz w:val="24"/>
          <w:szCs w:val="32"/>
          <w:highlight w:val="none"/>
          <w:lang w:val="en-US" w:eastAsia="zh-CN" w:bidi="ar-SA"/>
        </w:rPr>
      </w:pPr>
      <w:r>
        <w:rPr>
          <w:rFonts w:ascii="宋体" w:eastAsia="宋体" w:hAnsi="宋体" w:cs="Times New Roman" w:hint="eastAsia"/>
          <w:b w:val="0"/>
          <w:bCs w:val="0"/>
          <w:color w:val="auto"/>
          <w:kern w:val="2"/>
          <w:sz w:val="21"/>
          <w:szCs w:val="21"/>
          <w:highlight w:val="none"/>
          <w:lang w:val="en-US" w:eastAsia="zh-CN" w:bidi="ar-SA"/>
        </w:rPr>
        <w:t>12.2 对于满足合同约定支付条件的，甲方</w:t>
      </w:r>
      <w:r>
        <w:rPr>
          <w:rFonts w:ascii="宋体" w:eastAsia="宋体" w:hAnsi="宋体" w:cs="Times New Roman" w:hint="eastAsia"/>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ascii="宋体" w:eastAsia="宋体" w:hAnsi="宋体" w:cs="Times New Roman" w:hint="eastAsia"/>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auto"/>
          <w:kern w:val="2"/>
          <w:sz w:val="21"/>
          <w:szCs w:val="21"/>
          <w:highlight w:val="none"/>
          <w:lang w:val="en-US" w:eastAsia="zh-CN" w:bidi="ar-SA"/>
        </w:rPr>
        <w:t>政府采购合同专用条款</w:t>
      </w:r>
      <w:r>
        <w:rPr>
          <w:rFonts w:ascii="宋体" w:eastAsia="宋体" w:hAnsi="宋体" w:cs="Times New Roman" w:hint="eastAsia"/>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eastAsia="宋体" w:hAnsi="宋体" w:cs="Times New Roman"/>
          <w:b/>
          <w:bCs/>
          <w:color w:val="auto"/>
          <w:kern w:val="2"/>
          <w:sz w:val="24"/>
          <w:szCs w:val="24"/>
          <w:highlight w:val="none"/>
          <w:lang w:val="en-US" w:eastAsia="zh-CN" w:bidi="ar-SA"/>
        </w:rPr>
      </w:pPr>
      <w:r>
        <w:rPr>
          <w:rFonts w:ascii="宋体" w:eastAsia="宋体" w:hAnsi="宋体" w:cs="Times New Roman" w:hint="eastAsia"/>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 xml:space="preserve">.1 </w:t>
      </w:r>
      <w:r>
        <w:rPr>
          <w:rFonts w:ascii="宋体" w:eastAsia="宋体" w:hAnsi="宋体" w:cs="宋体" w:hint="eastAsia"/>
          <w:szCs w:val="15"/>
        </w:rPr>
        <w:t>乙方应当以支票、汇票、本票或者金融机构、担保机构出具的保函等非现金形式提交。</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.2 如果乙方</w:t>
      </w:r>
      <w:r>
        <w:rPr>
          <w:rFonts w:ascii="宋体" w:eastAsia="宋体" w:hAnsi="宋体" w:hint="eastAsia"/>
          <w:color w:val="auto"/>
          <w:szCs w:val="21"/>
          <w:highlight w:val="none"/>
          <w:lang w:eastAsia="zh-CN"/>
        </w:rPr>
        <w:t>出现</w:t>
      </w:r>
      <w:r>
        <w:rPr>
          <w:rFonts w:ascii="宋体" w:eastAsia="宋体" w:hAnsi="宋体" w:cs="宋体" w:hint="eastAsia"/>
          <w:b/>
          <w:bCs/>
          <w:szCs w:val="15"/>
          <w:highlight w:val="none"/>
        </w:rPr>
        <w:t>【政府采购合同专用条款】</w:t>
      </w:r>
      <w:r>
        <w:rPr>
          <w:rFonts w:ascii="宋体" w:eastAsia="宋体" w:hAnsi="宋体" w:cs="宋体" w:hint="eastAsia"/>
          <w:b w:val="0"/>
          <w:bCs w:val="0"/>
          <w:szCs w:val="15"/>
          <w:highlight w:val="none"/>
          <w:lang w:eastAsia="zh-CN"/>
        </w:rPr>
        <w:t>约定</w:t>
      </w:r>
      <w:r>
        <w:rPr>
          <w:rFonts w:ascii="宋体" w:eastAsia="宋体" w:hAnsi="宋体" w:cs="宋体" w:hint="eastAsia"/>
          <w:b w:val="0"/>
          <w:bCs w:val="0"/>
          <w:szCs w:val="15"/>
          <w:lang w:eastAsia="zh-CN"/>
        </w:rPr>
        <w:t>情形的</w:t>
      </w:r>
      <w:r>
        <w:rPr>
          <w:rFonts w:ascii="宋体" w:eastAsia="宋体" w:hAnsi="宋体" w:hint="eastAsia"/>
          <w:color w:val="auto"/>
          <w:szCs w:val="21"/>
          <w:highlight w:val="none"/>
        </w:rPr>
        <w:t>，履约保证金不予退还；如果乙方未能按合同约定全面履行义务，甲方有权从履约保证金中取得补偿或赔偿，</w:t>
      </w:r>
      <w:r>
        <w:rPr>
          <w:rFonts w:ascii="宋体" w:eastAsia="宋体" w:hAnsi="宋体" w:hint="eastAsia"/>
          <w:color w:val="auto"/>
          <w:szCs w:val="21"/>
          <w:highlight w:val="none"/>
          <w:lang w:eastAsia="zh-CN"/>
        </w:rPr>
        <w:t>且</w:t>
      </w:r>
      <w:r>
        <w:rPr>
          <w:rFonts w:ascii="宋体" w:eastAsia="宋体" w:hAnsi="宋体" w:hint="eastAsia"/>
          <w:color w:val="auto"/>
          <w:szCs w:val="21"/>
          <w:highlight w:val="none"/>
        </w:rPr>
        <w:t>不影响甲方要求乙方承担合同约定的超过履约保证金的违约责任的权利。</w:t>
      </w:r>
    </w:p>
    <w:p>
      <w:pPr>
        <w:spacing w:line="400" w:lineRule="exact"/>
        <w:ind w:firstLine="420"/>
        <w:outlineLvl w:val="9"/>
        <w:rPr>
          <w:rFonts w:eastAsia="宋体"/>
          <w:color w:val="auto"/>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.3 甲方在项目通过验收后按照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规定的时间内将履约保证金退还乙方；逾期退还的，乙方可要求甲方支付违约金，违约金按照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规定支付。</w:t>
      </w:r>
    </w:p>
    <w:p>
      <w:p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4</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eastAsia="宋体" w:hint="eastAsia"/>
          <w:b/>
          <w:color w:val="auto"/>
          <w:sz w:val="24"/>
          <w:highlight w:val="none"/>
        </w:rPr>
        <w:t>售后</w:t>
      </w:r>
      <w:r>
        <w:rPr>
          <w:rFonts w:ascii="宋体" w:eastAsia="宋体" w:hAnsi="宋体" w:hint="eastAsia"/>
          <w:b/>
          <w:color w:val="auto"/>
          <w:sz w:val="24"/>
          <w:highlight w:val="none"/>
        </w:rPr>
        <w:t>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4</w:t>
      </w:r>
      <w:r>
        <w:rPr>
          <w:rFonts w:ascii="宋体" w:eastAsia="宋体" w:hAnsi="宋体" w:hint="eastAsia"/>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（3）在</w:t>
      </w:r>
      <w:r>
        <w:rPr>
          <w:rFonts w:ascii="宋体" w:eastAsia="宋体" w:hAnsi="宋体" w:cs="宋体" w:hint="eastAsia"/>
          <w:b/>
          <w:bCs/>
          <w:szCs w:val="15"/>
          <w:highlight w:val="none"/>
        </w:rPr>
        <w:t>【政府采购合同专用条款】</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（4）在制造商</w:t>
      </w:r>
      <w:r>
        <w:rPr>
          <w:rFonts w:ascii="宋体" w:eastAsia="宋体" w:hAnsi="宋体" w:hint="eastAsia"/>
          <w:color w:val="auto"/>
          <w:szCs w:val="21"/>
          <w:highlight w:val="none"/>
          <w:lang w:eastAsia="zh-CN"/>
        </w:rPr>
        <w:t>所在地</w:t>
      </w:r>
      <w:r>
        <w:rPr>
          <w:rFonts w:ascii="宋体" w:eastAsia="宋体" w:hAnsi="宋体" w:hint="eastAsia"/>
          <w:color w:val="auto"/>
          <w:szCs w:val="21"/>
          <w:highlight w:val="none"/>
        </w:rPr>
        <w:t>或</w:t>
      </w:r>
      <w:r>
        <w:rPr>
          <w:rFonts w:ascii="宋体" w:eastAsia="宋体" w:hAnsi="宋体" w:hint="eastAsia"/>
          <w:color w:val="auto"/>
          <w:szCs w:val="21"/>
          <w:highlight w:val="none"/>
          <w:lang w:eastAsia="zh-CN"/>
        </w:rPr>
        <w:t>指定</w:t>
      </w:r>
      <w:r>
        <w:rPr>
          <w:rFonts w:ascii="宋体" w:eastAsia="宋体" w:hAnsi="宋体" w:hint="eastAsia"/>
          <w:color w:val="auto"/>
          <w:szCs w:val="21"/>
          <w:highlight w:val="none"/>
        </w:rPr>
        <w:t>现场就货物的安装、启动、运营、维护</w:t>
      </w:r>
      <w:r>
        <w:rPr>
          <w:rFonts w:ascii="宋体" w:eastAsia="宋体" w:hAnsi="宋体" w:hint="eastAsia"/>
          <w:color w:val="auto"/>
          <w:szCs w:val="21"/>
          <w:highlight w:val="none"/>
          <w:lang w:eastAsia="zh-CN"/>
        </w:rPr>
        <w:t>、废弃处置等</w:t>
      </w:r>
      <w:r>
        <w:rPr>
          <w:rFonts w:ascii="宋体" w:eastAsia="宋体" w:hAnsi="宋体" w:hint="eastAsia"/>
          <w:color w:val="auto"/>
          <w:szCs w:val="21"/>
          <w:highlight w:val="none"/>
        </w:rPr>
        <w:t>对甲方操作人员进行培训</w:t>
      </w:r>
      <w:r>
        <w:rPr>
          <w:rFonts w:ascii="宋体" w:eastAsia="宋体" w:hAnsi="宋体" w:cs="宋体" w:hint="eastAsia"/>
          <w:szCs w:val="15"/>
          <w:lang w:eastAsia="zh-CN"/>
        </w:rPr>
        <w:t>；</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（5）依照法律、行政法规的规定或者按照</w:t>
      </w:r>
      <w:r>
        <w:rPr>
          <w:rFonts w:ascii="宋体" w:eastAsia="宋体" w:hAnsi="宋体" w:cs="宋体" w:hint="eastAsia"/>
          <w:b/>
          <w:bCs/>
          <w:sz w:val="21"/>
          <w:szCs w:val="21"/>
          <w:lang w:val="en-US" w:eastAsia="zh-CN" w:bidi="ar-SA"/>
        </w:rPr>
        <w:t>【政府采购合同专用条款】</w:t>
      </w:r>
      <w:r>
        <w:rPr>
          <w:rFonts w:ascii="宋体" w:eastAsia="宋体" w:hAnsi="宋体" w:cs="宋体" w:hint="eastAsia"/>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.2 乙方提供的</w:t>
      </w:r>
      <w:r>
        <w:rPr>
          <w:rFonts w:ascii="宋体" w:eastAsia="宋体" w:hAnsi="宋体" w:hint="eastAsia"/>
          <w:color w:val="auto"/>
          <w:szCs w:val="21"/>
          <w:highlight w:val="none"/>
          <w:lang w:eastAsia="zh-CN"/>
        </w:rPr>
        <w:t>售后</w:t>
      </w:r>
      <w:r>
        <w:rPr>
          <w:rFonts w:ascii="宋体" w:eastAsia="宋体" w:hAnsi="宋体" w:hint="eastAsia"/>
          <w:color w:val="auto"/>
          <w:szCs w:val="21"/>
          <w:highlight w:val="none"/>
        </w:rPr>
        <w:t>服务的费用</w:t>
      </w:r>
      <w:r>
        <w:rPr>
          <w:rFonts w:ascii="宋体" w:eastAsia="宋体" w:hAnsi="宋体" w:hint="eastAsia"/>
          <w:color w:val="auto"/>
          <w:szCs w:val="21"/>
          <w:highlight w:val="none"/>
          <w:lang w:val="en-US" w:eastAsia="zh-CN"/>
        </w:rPr>
        <w:t>已</w:t>
      </w:r>
      <w:r>
        <w:rPr>
          <w:rFonts w:ascii="宋体" w:eastAsia="宋体" w:hAnsi="宋体" w:hint="eastAsia"/>
          <w:color w:val="auto"/>
          <w:szCs w:val="21"/>
          <w:highlight w:val="none"/>
        </w:rPr>
        <w:t>包含在合同价款中，甲方不再另行支付。</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5</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违约责任</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.1质量瑕疵的</w:t>
      </w:r>
      <w:r>
        <w:rPr>
          <w:rFonts w:ascii="宋体" w:eastAsia="宋体" w:hAnsi="宋体" w:hint="eastAsia"/>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乙方</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的产品不符合</w:t>
      </w:r>
      <w:r>
        <w:rPr>
          <w:rFonts w:ascii="宋体" w:eastAsia="宋体" w:hAnsi="宋体" w:hint="eastAsia"/>
          <w:color w:val="auto"/>
          <w:szCs w:val="21"/>
          <w:highlight w:val="none"/>
          <w:lang w:eastAsia="zh-CN"/>
        </w:rPr>
        <w:t>合同约定的</w:t>
      </w:r>
      <w:r>
        <w:rPr>
          <w:rFonts w:ascii="宋体" w:eastAsia="宋体" w:hAnsi="宋体" w:hint="eastAsia"/>
          <w:color w:val="auto"/>
          <w:szCs w:val="21"/>
          <w:highlight w:val="none"/>
        </w:rPr>
        <w:t>质量标准或存在产品质量缺陷，</w:t>
      </w:r>
      <w:r>
        <w:rPr>
          <w:rFonts w:ascii="宋体" w:eastAsia="宋体" w:hAnsi="宋体" w:hint="eastAsia"/>
          <w:color w:val="auto"/>
          <w:szCs w:val="21"/>
          <w:highlight w:val="none"/>
          <w:lang w:eastAsia="zh-CN"/>
        </w:rPr>
        <w:t>甲方有权要求乙方根据</w:t>
      </w:r>
      <w:r>
        <w:rPr>
          <w:rFonts w:ascii="宋体" w:eastAsia="宋体" w:hAnsi="宋体" w:hint="eastAsia"/>
          <w:b/>
          <w:color w:val="auto"/>
          <w:szCs w:val="21"/>
          <w:highlight w:val="none"/>
        </w:rPr>
        <w:t>【政府采购合同专用条款】</w:t>
      </w:r>
      <w:r>
        <w:rPr>
          <w:rFonts w:ascii="宋体" w:eastAsia="宋体" w:hAnsi="宋体" w:hint="eastAsia"/>
          <w:b w:val="0"/>
          <w:bCs/>
          <w:color w:val="auto"/>
          <w:szCs w:val="21"/>
          <w:highlight w:val="none"/>
          <w:lang w:eastAsia="zh-CN"/>
        </w:rPr>
        <w:t>要求</w:t>
      </w:r>
      <w:r>
        <w:rPr>
          <w:rFonts w:ascii="宋体" w:eastAsia="宋体" w:hAnsi="宋体" w:hint="eastAsia"/>
          <w:color w:val="auto"/>
          <w:szCs w:val="21"/>
          <w:highlight w:val="none"/>
          <w:lang w:eastAsia="zh-CN"/>
        </w:rPr>
        <w:t>及时修理、重作、更换，并承担由此给甲</w:t>
      </w:r>
      <w:r>
        <w:rPr>
          <w:rFonts w:ascii="宋体" w:eastAsia="宋体" w:hAnsi="宋体" w:hint="eastAsia"/>
          <w:color w:val="auto"/>
          <w:szCs w:val="21"/>
          <w:highlight w:val="none"/>
        </w:rPr>
        <w:t>方</w:t>
      </w:r>
      <w:r>
        <w:rPr>
          <w:rFonts w:ascii="宋体" w:eastAsia="宋体" w:hAnsi="宋体" w:hint="eastAsia"/>
          <w:color w:val="auto"/>
          <w:szCs w:val="21"/>
          <w:highlight w:val="none"/>
          <w:lang w:eastAsia="zh-CN"/>
        </w:rPr>
        <w:t>造成的损失</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（1）乙方应按照本合同规定的时间、地点交货和提供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服务。在履行合同过程中，如果乙方遇到可能</w:t>
      </w:r>
      <w:r>
        <w:rPr>
          <w:rFonts w:ascii="宋体" w:eastAsia="宋体" w:hAnsi="宋体" w:hint="eastAsia"/>
          <w:color w:val="auto"/>
          <w:szCs w:val="21"/>
          <w:highlight w:val="none"/>
          <w:lang w:eastAsia="zh-CN"/>
        </w:rPr>
        <w:t>影响</w:t>
      </w:r>
      <w:r>
        <w:rPr>
          <w:rFonts w:ascii="宋体" w:eastAsia="宋体" w:hAnsi="宋体" w:hint="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color w:val="auto"/>
          <w:szCs w:val="21"/>
          <w:highlight w:val="none"/>
          <w:lang w:eastAsia="zh-CN"/>
        </w:rPr>
        <w:t>长</w:t>
      </w:r>
      <w:r>
        <w:rPr>
          <w:rFonts w:ascii="宋体" w:eastAsia="宋体" w:hAnsi="宋体" w:hint="eastAsia"/>
          <w:color w:val="auto"/>
          <w:szCs w:val="21"/>
          <w:highlight w:val="none"/>
        </w:rPr>
        <w:t>交货时间或延期提供服务。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（2）如果乙方没有按照合同规定的时间交货和提供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服务，甲方有权从货款中扣除误期赔偿费而不影响合同项下的其他补救方法，赔偿费按</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规定执行。如果涉及公共利益，且赔偿金额无法弥补公共利益损失，</w:t>
      </w:r>
      <w:r>
        <w:rPr>
          <w:rFonts w:ascii="宋体" w:eastAsia="宋体" w:hAnsi="宋体" w:hint="eastAsia"/>
          <w:color w:val="auto"/>
          <w:szCs w:val="21"/>
          <w:highlight w:val="none"/>
          <w:lang w:eastAsia="zh-CN"/>
        </w:rPr>
        <w:t>甲方</w:t>
      </w:r>
      <w:r>
        <w:rPr>
          <w:rFonts w:ascii="宋体" w:eastAsia="宋体" w:hAnsi="宋体" w:hint="eastAsia"/>
          <w:color w:val="auto"/>
          <w:szCs w:val="21"/>
          <w:highlight w:val="none"/>
        </w:rPr>
        <w:t>可要求继续履行或者</w:t>
      </w:r>
      <w:r>
        <w:rPr>
          <w:rFonts w:ascii="宋体" w:eastAsia="宋体" w:hAnsi="宋体" w:hint="eastAsia"/>
          <w:color w:val="auto"/>
          <w:szCs w:val="21"/>
          <w:highlight w:val="none"/>
          <w:lang w:eastAsia="zh-CN"/>
        </w:rPr>
        <w:t>采取其他补救措施</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5</w:t>
      </w:r>
      <w:r>
        <w:rPr>
          <w:rFonts w:ascii="宋体" w:eastAsia="宋体" w:hAnsi="宋体" w:hint="eastAsia"/>
          <w:color w:val="auto"/>
          <w:szCs w:val="21"/>
          <w:highlight w:val="none"/>
        </w:rPr>
        <w:t>.3 迟延支付的违约责任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甲方存在迟延支付乙方合同款项的，应当承担</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规定的逾期付款利息。</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.4其他违约责任根据项目实际需要按</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规定执行。</w:t>
      </w:r>
    </w:p>
    <w:p>
      <w:pPr>
        <w:numPr>
          <w:ilvl w:val="0"/>
          <w:numId w:val="14"/>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rPr>
        <w:t>合同变更</w:t>
      </w:r>
      <w:r>
        <w:rPr>
          <w:rFonts w:ascii="宋体" w:eastAsia="宋体" w:hAnsi="宋体" w:hint="eastAsia"/>
          <w:b/>
          <w:color w:val="auto"/>
          <w:sz w:val="24"/>
          <w:highlight w:val="none"/>
          <w:lang w:eastAsia="zh-CN"/>
        </w:rPr>
        <w:t>、中止与终止</w:t>
      </w:r>
    </w:p>
    <w:p>
      <w:pPr>
        <w:autoSpaceDE/>
        <w:autoSpaceDN/>
        <w:adjustRightInd w:val="0"/>
        <w:snapToGrid w:val="0"/>
        <w:spacing w:before="0" w:line="400" w:lineRule="exact"/>
        <w:ind w:firstLine="0" w:firstLineChars="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lang w:val="en-US" w:eastAsia="zh-CN"/>
        </w:rPr>
        <w:t xml:space="preserve">    </w:t>
      </w: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.1合同的</w:t>
      </w:r>
      <w:r>
        <w:rPr>
          <w:rFonts w:ascii="宋体" w:eastAsia="宋体" w:hAnsi="宋体" w:hint="eastAsia"/>
          <w:color w:val="auto"/>
          <w:szCs w:val="21"/>
          <w:highlight w:val="none"/>
          <w:lang w:eastAsia="zh-CN"/>
        </w:rPr>
        <w:t>变更</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政府采购合同履行中，</w:t>
      </w:r>
      <w:r>
        <w:rPr>
          <w:rFonts w:ascii="宋体" w:eastAsia="宋体" w:hAnsi="宋体" w:hint="eastAsia"/>
          <w:color w:val="auto"/>
          <w:szCs w:val="21"/>
          <w:highlight w:val="none"/>
        </w:rPr>
        <w:t>在不改变合同其他条款的前提下，甲方可以在合同价款10%的范围内追加与合同标的相同的货物，并就此与乙方协商</w:t>
      </w:r>
      <w:r>
        <w:rPr>
          <w:rFonts w:ascii="宋体" w:eastAsia="宋体" w:hAnsi="宋体" w:hint="eastAsia"/>
          <w:color w:val="auto"/>
          <w:szCs w:val="21"/>
          <w:highlight w:val="none"/>
          <w:lang w:eastAsia="zh-CN"/>
        </w:rPr>
        <w:t>一致后</w:t>
      </w:r>
      <w:r>
        <w:rPr>
          <w:rFonts w:ascii="宋体" w:eastAsia="宋体" w:hAnsi="宋体" w:hint="eastAsia"/>
          <w:color w:val="auto"/>
          <w:szCs w:val="21"/>
          <w:highlight w:val="none"/>
        </w:rPr>
        <w:t>签订补充协议。</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合同的中止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（1）合同履行过程中因供应商就采购文件、采购过程或结果提起投诉的，甲方认为有必要的，</w:t>
      </w:r>
      <w:r>
        <w:rPr>
          <w:rFonts w:ascii="宋体" w:eastAsia="宋体" w:hAnsi="宋体" w:hint="eastAsia"/>
          <w:color w:val="auto"/>
          <w:szCs w:val="21"/>
          <w:highlight w:val="none"/>
          <w:lang w:eastAsia="zh-CN"/>
        </w:rPr>
        <w:t>可以</w:t>
      </w:r>
      <w:r>
        <w:rPr>
          <w:rFonts w:ascii="宋体" w:eastAsia="宋体" w:hAnsi="宋体" w:hint="eastAsia"/>
          <w:color w:val="auto"/>
          <w:szCs w:val="21"/>
          <w:highlight w:val="none"/>
        </w:rPr>
        <w:t>中止合同的履行。</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合同履行过程中，</w:t>
      </w:r>
      <w:r>
        <w:rPr>
          <w:rFonts w:ascii="宋体" w:eastAsia="宋体" w:hAnsi="宋体" w:hint="eastAsia"/>
          <w:color w:val="auto"/>
          <w:szCs w:val="21"/>
          <w:highlight w:val="none"/>
        </w:rPr>
        <w:t>如果乙方出现以下情形之一的：1．经营状况严重恶化；2．转移财产、抽逃资金，以逃避债务；3．丧失商业信誉；4．有丧失或者可能丧失履约能力的其他情形</w:t>
      </w:r>
      <w:r>
        <w:rPr>
          <w:rFonts w:ascii="宋体" w:eastAsia="宋体" w:hAnsi="宋体" w:hint="eastAsia"/>
          <w:color w:val="auto"/>
          <w:szCs w:val="21"/>
          <w:highlight w:val="none"/>
          <w:lang w:eastAsia="zh-CN"/>
        </w:rPr>
        <w:t>，乙方有义务及时告知甲方</w:t>
      </w:r>
      <w:r>
        <w:rPr>
          <w:rFonts w:ascii="宋体" w:eastAsia="宋体" w:hAnsi="宋体" w:hint="eastAsia"/>
          <w:color w:val="auto"/>
          <w:szCs w:val="21"/>
          <w:highlight w:val="none"/>
        </w:rPr>
        <w:t>。甲方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以书面形式通知乙方中止合同</w:t>
      </w:r>
      <w:r>
        <w:rPr>
          <w:rFonts w:ascii="宋体" w:eastAsia="宋体" w:hAnsi="宋体" w:hint="eastAsia"/>
          <w:color w:val="auto"/>
          <w:szCs w:val="21"/>
          <w:highlight w:val="none"/>
          <w:lang w:eastAsia="zh-CN"/>
        </w:rPr>
        <w:t>并要求乙方在合理期限内消除相关情形或者提供适当担保。</w:t>
      </w:r>
      <w:r>
        <w:rPr>
          <w:rFonts w:ascii="宋体" w:eastAsia="宋体" w:hAnsi="宋体" w:hint="eastAsia"/>
          <w:color w:val="auto"/>
          <w:szCs w:val="21"/>
          <w:highlight w:val="none"/>
        </w:rPr>
        <w:t>乙方提供适当担保的，</w:t>
      </w:r>
      <w:r>
        <w:rPr>
          <w:rFonts w:ascii="宋体" w:eastAsia="宋体" w:hAnsi="宋体" w:hint="eastAsia"/>
          <w:color w:val="auto"/>
          <w:szCs w:val="21"/>
          <w:highlight w:val="none"/>
          <w:lang w:eastAsia="zh-CN"/>
        </w:rPr>
        <w:t>合同继续</w:t>
      </w:r>
      <w:r>
        <w:rPr>
          <w:rFonts w:ascii="宋体" w:eastAsia="宋体" w:hAnsi="宋体" w:hint="eastAsia"/>
          <w:color w:val="auto"/>
          <w:szCs w:val="21"/>
          <w:highlight w:val="none"/>
        </w:rPr>
        <w:t>履行</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方在合理期限内未恢复履约能力且未提供适当担保的，视为拒绝</w:t>
      </w:r>
      <w:r>
        <w:rPr>
          <w:rFonts w:ascii="宋体" w:eastAsia="宋体" w:hAnsi="宋体" w:hint="eastAsia"/>
          <w:color w:val="auto"/>
          <w:szCs w:val="21"/>
          <w:highlight w:val="none"/>
          <w:lang w:eastAsia="zh-CN"/>
        </w:rPr>
        <w:t>继续</w:t>
      </w:r>
      <w:r>
        <w:rPr>
          <w:rFonts w:ascii="宋体" w:eastAsia="宋体" w:hAnsi="宋体" w:hint="eastAsia"/>
          <w:color w:val="auto"/>
          <w:szCs w:val="21"/>
          <w:highlight w:val="none"/>
        </w:rPr>
        <w:t>履约，甲方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解除合同并要求乙方承担</w:t>
      </w:r>
      <w:r>
        <w:rPr>
          <w:rFonts w:ascii="宋体" w:eastAsia="宋体" w:hAnsi="宋体" w:hint="eastAsia"/>
          <w:color w:val="auto"/>
          <w:szCs w:val="21"/>
          <w:highlight w:val="none"/>
          <w:lang w:eastAsia="zh-CN"/>
        </w:rPr>
        <w:t>由此给甲方造成的损失</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outlineLvl w:val="9"/>
        <w:rPr>
          <w:rFonts w:eastAsia="宋体"/>
          <w:sz w:val="21"/>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合同的终止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（1）合同因有效期限届满而终止；</w:t>
      </w:r>
    </w:p>
    <w:p>
      <w:pPr>
        <w:snapToGrid w:val="0"/>
        <w:spacing w:line="400" w:lineRule="exact"/>
        <w:ind w:firstLine="420" w:firstLineChars="200"/>
        <w:outlineLvl w:val="9"/>
        <w:rPr>
          <w:rFonts w:ascii="宋体" w:eastAsia="宋体" w:hAnsi="宋体" w:cs="宋体" w:hint="eastAsia"/>
          <w:szCs w:val="21"/>
          <w:lang w:eastAsia="zh-CN"/>
        </w:rPr>
      </w:pPr>
      <w:r>
        <w:rPr>
          <w:rFonts w:ascii="宋体" w:eastAsia="宋体" w:hAnsi="宋体" w:hint="eastAsia"/>
          <w:color w:val="auto"/>
          <w:szCs w:val="21"/>
          <w:highlight w:val="none"/>
        </w:rPr>
        <w:t>（2）乙方未</w:t>
      </w:r>
      <w:r>
        <w:rPr>
          <w:rFonts w:ascii="宋体" w:eastAsia="宋体" w:hAnsi="宋体" w:hint="eastAsia"/>
          <w:color w:val="auto"/>
          <w:szCs w:val="21"/>
          <w:highlight w:val="none"/>
          <w:lang w:eastAsia="zh-CN"/>
        </w:rPr>
        <w:t>按</w:t>
      </w:r>
      <w:r>
        <w:rPr>
          <w:rFonts w:ascii="宋体" w:eastAsia="宋体" w:hAnsi="宋体" w:hint="eastAsia"/>
          <w:color w:val="auto"/>
          <w:szCs w:val="21"/>
          <w:highlight w:val="none"/>
        </w:rPr>
        <w:t>合同约定履行，构成根本性违约的，甲方有权终止合同</w:t>
      </w:r>
      <w:r>
        <w:rPr>
          <w:rFonts w:ascii="宋体" w:eastAsia="宋体" w:hAnsi="宋体" w:hint="eastAsia"/>
          <w:color w:val="auto"/>
          <w:szCs w:val="21"/>
          <w:highlight w:val="none"/>
          <w:lang w:eastAsia="zh-CN"/>
        </w:rPr>
        <w:t>，</w:t>
      </w:r>
      <w:r>
        <w:rPr>
          <w:rFonts w:ascii="宋体" w:eastAsia="宋体" w:hAnsi="宋体" w:cs="宋体" w:hint="eastAsia"/>
          <w:szCs w:val="21"/>
        </w:rPr>
        <w:t>并追究乙方的违约责</w:t>
      </w:r>
      <w:r>
        <w:rPr>
          <w:rFonts w:ascii="宋体" w:eastAsia="宋体" w:hAnsi="宋体" w:cs="宋体" w:hint="eastAsia"/>
          <w:szCs w:val="21"/>
          <w:lang w:val="en-US" w:eastAsia="zh-CN"/>
        </w:rPr>
        <w:t>任</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outlineLvl w:val="9"/>
        <w:rPr>
          <w:rFonts w:ascii="宋体" w:eastAsia="华文楷体" w:hAnsi="宋体" w:cs="华文楷体" w:hint="eastAsia"/>
          <w:color w:val="auto"/>
          <w:sz w:val="22"/>
          <w:szCs w:val="21"/>
          <w:highlight w:val="none"/>
          <w:lang w:val="en-US" w:eastAsia="zh-CN" w:bidi="ar-SA"/>
        </w:rPr>
      </w:pPr>
      <w:r>
        <w:rPr>
          <w:rFonts w:ascii="宋体" w:eastAsia="华文楷体" w:hAnsi="宋体" w:cs="华文楷体" w:hint="eastAsia"/>
          <w:color w:val="auto"/>
          <w:sz w:val="22"/>
          <w:szCs w:val="21"/>
          <w:highlight w:val="none"/>
          <w:lang w:val="en-US" w:eastAsia="zh-CN" w:bidi="ar-SA"/>
        </w:rPr>
        <w:t xml:space="preserve">16.4 </w:t>
      </w:r>
      <w:r>
        <w:rPr>
          <w:rFonts w:ascii="宋体" w:eastAsia="宋体" w:hAnsi="宋体" w:cs="Times New Roman" w:hint="eastAsia"/>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政府采购合同继续履行将损害国家利益和社会公共利益的，双方当事人</w:t>
      </w:r>
      <w:r>
        <w:rPr>
          <w:rFonts w:ascii="宋体" w:eastAsia="宋体" w:hAnsi="宋体" w:cs="宋体" w:hint="eastAsia"/>
          <w:sz w:val="21"/>
          <w:szCs w:val="21"/>
          <w:highlight w:val="none"/>
          <w:lang w:val="en-US" w:eastAsia="zh-CN" w:bidi="ar-SA"/>
        </w:rPr>
        <w:t>应当变更、</w:t>
      </w:r>
      <w:r>
        <w:rPr>
          <w:rFonts w:ascii="宋体" w:eastAsia="宋体" w:hAnsi="宋体" w:cs="宋体" w:hint="eastAsia"/>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val="en-US" w:eastAsia="zh-CN"/>
        </w:rPr>
        <w:t>7</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.1 乙方不得</w:t>
      </w:r>
      <w:r>
        <w:rPr>
          <w:rFonts w:ascii="宋体" w:eastAsia="宋体" w:hAnsi="宋体" w:hint="eastAsia"/>
          <w:color w:val="auto"/>
          <w:szCs w:val="21"/>
          <w:highlight w:val="none"/>
          <w:lang w:eastAsia="zh-CN"/>
        </w:rPr>
        <w:t>将合同转包给其他供应商。涉及合同分包的，乙方</w:t>
      </w:r>
      <w:r>
        <w:rPr>
          <w:rFonts w:ascii="宋体" w:eastAsia="宋体" w:hAnsi="宋体" w:hint="eastAsia"/>
          <w:color w:val="auto"/>
          <w:szCs w:val="21"/>
          <w:highlight w:val="none"/>
          <w:lang w:val="en-US" w:eastAsia="zh-CN"/>
        </w:rPr>
        <w:t>应</w:t>
      </w:r>
      <w:r>
        <w:rPr>
          <w:rFonts w:ascii="宋体" w:eastAsia="宋体" w:hAnsi="宋体" w:hint="eastAsia"/>
          <w:color w:val="auto"/>
          <w:szCs w:val="21"/>
          <w:highlight w:val="none"/>
          <w:lang w:eastAsia="zh-CN"/>
        </w:rPr>
        <w:t>根据采购文件和投标（响应）文件规定进行</w:t>
      </w:r>
      <w:r>
        <w:rPr>
          <w:rFonts w:ascii="宋体" w:eastAsia="宋体" w:hAnsi="宋体" w:hint="eastAsia"/>
          <w:color w:val="auto"/>
          <w:szCs w:val="21"/>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.2 乙方执行政府采购政策向中小企业依法分包的</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乙方应当按采购文件</w:t>
      </w:r>
      <w:r>
        <w:rPr>
          <w:rFonts w:ascii="宋体" w:eastAsia="宋体" w:hAnsi="宋体" w:hint="eastAsia"/>
          <w:color w:val="auto"/>
          <w:szCs w:val="21"/>
          <w:highlight w:val="none"/>
          <w:lang w:eastAsia="zh-CN"/>
        </w:rPr>
        <w:t>和</w:t>
      </w:r>
      <w:r>
        <w:rPr>
          <w:rFonts w:ascii="宋体" w:eastAsia="宋体" w:hAnsi="宋体" w:hint="eastAsia"/>
          <w:color w:val="auto"/>
          <w:szCs w:val="21"/>
          <w:highlight w:val="none"/>
        </w:rPr>
        <w:t>投标（响应）文件签订分包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协议属于本合同组成部分。</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lang w:val="en-US" w:eastAsia="zh-CN"/>
        </w:rPr>
        <w:t>8</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不可抗力</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.3 遇有不可抗力的一方，应及时将事件情况以书面形式</w:t>
      </w:r>
      <w:r>
        <w:rPr>
          <w:rFonts w:ascii="宋体" w:eastAsia="宋体" w:hAnsi="宋体" w:hint="eastAsia"/>
          <w:color w:val="auto"/>
          <w:szCs w:val="21"/>
          <w:highlight w:val="none"/>
          <w:lang w:eastAsia="zh-CN"/>
        </w:rPr>
        <w:t>告</w:t>
      </w:r>
      <w:r>
        <w:rPr>
          <w:rFonts w:ascii="宋体" w:eastAsia="宋体" w:hAnsi="宋体" w:hint="eastAsia"/>
          <w:color w:val="auto"/>
          <w:szCs w:val="21"/>
          <w:highlight w:val="none"/>
        </w:rPr>
        <w:t>知另一方，并在事件发生后及时向另一方提交合同不能履行或部分不能履行或需要延期履行</w:t>
      </w:r>
      <w:r>
        <w:rPr>
          <w:rFonts w:ascii="宋体" w:eastAsia="宋体" w:hAnsi="宋体" w:hint="eastAsia"/>
          <w:color w:val="auto"/>
          <w:szCs w:val="21"/>
          <w:highlight w:val="none"/>
          <w:lang w:eastAsia="zh-CN"/>
        </w:rPr>
        <w:t>的详细</w:t>
      </w:r>
      <w:r>
        <w:rPr>
          <w:rFonts w:ascii="宋体" w:eastAsia="宋体" w:hAnsi="宋体" w:hint="eastAsia"/>
          <w:color w:val="auto"/>
          <w:szCs w:val="21"/>
          <w:highlight w:val="none"/>
        </w:rPr>
        <w:t>报告</w:t>
      </w:r>
      <w:r>
        <w:rPr>
          <w:rFonts w:ascii="宋体" w:eastAsia="宋体" w:hAnsi="宋体" w:hint="eastAsia"/>
          <w:color w:val="auto"/>
          <w:szCs w:val="21"/>
          <w:highlight w:val="none"/>
          <w:lang w:eastAsia="zh-CN"/>
        </w:rPr>
        <w:t>，以</w:t>
      </w:r>
      <w:r>
        <w:rPr>
          <w:rFonts w:ascii="宋体" w:eastAsia="宋体" w:hAnsi="宋体" w:hint="eastAsia"/>
          <w:color w:val="auto"/>
          <w:szCs w:val="21"/>
          <w:highlight w:val="none"/>
          <w:lang w:val="en-US" w:eastAsia="zh-CN"/>
        </w:rPr>
        <w:t>及证明不可抗力发生及其持续时间的证据</w:t>
      </w:r>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hint="eastAsia"/>
          <w:b/>
          <w:bCs/>
          <w:color w:val="auto"/>
          <w:sz w:val="24"/>
          <w:highlight w:val="none"/>
        </w:rPr>
      </w:pPr>
      <w:r>
        <w:rPr>
          <w:rFonts w:ascii="宋体" w:eastAsia="宋体" w:hAnsi="宋体" w:hint="eastAsia"/>
          <w:b/>
          <w:bCs/>
          <w:color w:val="auto"/>
          <w:sz w:val="24"/>
          <w:highlight w:val="none"/>
          <w:lang w:val="en-US" w:eastAsia="zh-CN"/>
        </w:rPr>
        <w:t>19</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解决争议的方法</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19.2 选择仲裁的，应在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中明确仲裁机构及仲裁地；通过诉讼方式解决的，可以在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outlineLvl w:val="9"/>
        <w:rPr>
          <w:rFonts w:ascii="宋体" w:eastAsia="宋体" w:hAnsi="宋体"/>
          <w:color w:val="auto"/>
          <w:sz w:val="24"/>
          <w:highlight w:val="none"/>
        </w:rPr>
      </w:pPr>
      <w:r>
        <w:rPr>
          <w:rFonts w:ascii="宋体" w:eastAsia="宋体" w:hAnsi="宋体" w:hint="eastAsia"/>
          <w:b/>
          <w:color w:val="auto"/>
          <w:sz w:val="24"/>
          <w:highlight w:val="none"/>
          <w:lang w:val="en-US" w:eastAsia="zh-CN"/>
        </w:rPr>
        <w:t>20</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hint="default"/>
          <w:color w:val="auto"/>
          <w:szCs w:val="21"/>
          <w:highlight w:val="none"/>
          <w:lang w:val="en-US" w:eastAsia="zh-CN"/>
        </w:rPr>
      </w:pPr>
      <w:r>
        <w:rPr>
          <w:rFonts w:ascii="宋体" w:eastAsia="宋体" w:hAnsi="宋体" w:hint="eastAsia"/>
          <w:color w:val="auto"/>
          <w:szCs w:val="21"/>
          <w:highlight w:val="none"/>
          <w:lang w:val="en-US" w:eastAsia="zh-CN"/>
        </w:rPr>
        <w:t xml:space="preserve">20.1 </w:t>
      </w:r>
      <w:r>
        <w:rPr>
          <w:rFonts w:ascii="宋体" w:eastAsia="宋体" w:hAnsi="宋体" w:cs="宋体" w:hint="eastAsia"/>
          <w:lang w:val="en-GB"/>
        </w:rPr>
        <w:t>本合同应当按照规定执行政府采购政策。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color w:val="auto"/>
          <w:szCs w:val="21"/>
          <w:highlight w:val="none"/>
        </w:rPr>
        <w:t>2</w:t>
      </w:r>
      <w:r>
        <w:rPr>
          <w:rFonts w:ascii="宋体" w:eastAsia="宋体" w:hAnsi="宋体" w:hint="eastAsia"/>
          <w:color w:val="auto"/>
          <w:szCs w:val="21"/>
          <w:highlight w:val="none"/>
          <w:lang w:val="en-US" w:eastAsia="zh-CN"/>
        </w:rPr>
        <w:t>0</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 xml:space="preserve"> 本合同依法执行政府采购政策的方式和内容，属于合同履约验收的范围。</w:t>
      </w:r>
      <w:r>
        <w:rPr>
          <w:rFonts w:ascii="宋体" w:eastAsia="宋体" w:hAnsi="宋体" w:cs="宋体" w:hint="eastAsia"/>
          <w:sz w:val="21"/>
          <w:lang w:eastAsia="zh-CN"/>
        </w:rPr>
        <w:t>甲乙双方</w:t>
      </w:r>
      <w:r>
        <w:rPr>
          <w:rFonts w:ascii="宋体" w:eastAsia="宋体" w:hAnsi="宋体" w:cs="宋体" w:hint="eastAsia"/>
          <w:lang w:val="en-GB"/>
        </w:rPr>
        <w:t>未按规定要求执行政府采购政策造成损失的</w:t>
      </w:r>
      <w:r>
        <w:rPr>
          <w:rFonts w:ascii="宋体" w:eastAsia="宋体" w:hAnsi="宋体" w:hint="eastAsia"/>
          <w:color w:val="auto"/>
          <w:szCs w:val="21"/>
          <w:highlight w:val="none"/>
        </w:rPr>
        <w:t>，有过错的一方应当承担赔偿责任，双方都有过错的，各自承担相应的责任。</w:t>
      </w:r>
    </w:p>
    <w:p>
      <w:pPr>
        <w:widowControl w:val="0"/>
        <w:spacing w:after="0" w:line="400" w:lineRule="exact"/>
        <w:ind w:firstLine="420" w:firstLineChars="200"/>
        <w:jc w:val="both"/>
        <w:outlineLvl w:val="9"/>
        <w:rPr>
          <w:rFonts w:ascii="Calibri" w:eastAsia="宋体" w:hAnsi="Calibri" w:cs="Times New Roman"/>
          <w:color w:val="auto"/>
          <w:kern w:val="2"/>
          <w:sz w:val="21"/>
          <w:szCs w:val="22"/>
          <w:highlight w:val="none"/>
          <w:lang w:val="en-US" w:eastAsia="zh-CN" w:bidi="ar-SA"/>
        </w:rPr>
      </w:pPr>
      <w:r>
        <w:rPr>
          <w:rFonts w:ascii="宋体" w:eastAsia="宋体" w:hAnsi="宋体" w:cs="Times New Roman"/>
          <w:color w:val="auto"/>
          <w:kern w:val="2"/>
          <w:sz w:val="21"/>
          <w:szCs w:val="21"/>
          <w:highlight w:val="none"/>
          <w:lang w:val="en-US" w:eastAsia="zh-CN" w:bidi="ar-SA"/>
        </w:rPr>
        <w:t>2</w:t>
      </w:r>
      <w:r>
        <w:rPr>
          <w:rFonts w:ascii="宋体" w:eastAsia="宋体" w:hAnsi="宋体" w:cs="Times New Roman" w:hint="eastAsia"/>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outlineLvl w:val="9"/>
        <w:rPr>
          <w:rFonts w:ascii="宋体" w:eastAsia="宋体" w:hAnsi="宋体" w:hint="eastAsia"/>
          <w:b/>
          <w:color w:val="auto"/>
          <w:sz w:val="24"/>
          <w:highlight w:val="none"/>
        </w:rPr>
      </w:pPr>
      <w:r>
        <w:rPr>
          <w:rFonts w:ascii="宋体" w:eastAsia="宋体" w:hAnsi="宋体" w:hint="eastAsia"/>
          <w:b/>
          <w:color w:val="auto"/>
          <w:sz w:val="24"/>
          <w:highlight w:val="none"/>
        </w:rPr>
        <w:t>2</w:t>
      </w:r>
      <w:r>
        <w:rPr>
          <w:rFonts w:ascii="宋体" w:eastAsia="宋体" w:hAnsi="宋体" w:hint="eastAsia"/>
          <w:b/>
          <w:color w:val="auto"/>
          <w:sz w:val="24"/>
          <w:highlight w:val="none"/>
          <w:lang w:val="en-US" w:eastAsia="zh-CN"/>
        </w:rPr>
        <w:t>1</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法律适用</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lang w:val="en-US" w:eastAsia="zh-CN"/>
        </w:rPr>
        <w:t xml:space="preserve">22. </w:t>
      </w:r>
      <w:r>
        <w:rPr>
          <w:rFonts w:ascii="宋体" w:eastAsia="宋体" w:hAnsi="宋体" w:hint="eastAsia"/>
          <w:b/>
          <w:color w:val="auto"/>
          <w:sz w:val="24"/>
          <w:highlight w:val="none"/>
        </w:rPr>
        <w:t>通知</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合同未尽事项</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2</w:t>
      </w:r>
      <w:r>
        <w:rPr>
          <w:rFonts w:ascii="宋体" w:eastAsia="宋体" w:hAnsi="宋体" w:hint="eastAsia"/>
          <w:bCs/>
          <w:color w:val="auto"/>
          <w:szCs w:val="21"/>
          <w:highlight w:val="none"/>
          <w:lang w:val="en-US" w:eastAsia="zh-CN"/>
        </w:rPr>
        <w:t>3</w:t>
      </w:r>
      <w:r>
        <w:rPr>
          <w:rFonts w:ascii="宋体" w:eastAsia="宋体" w:hAnsi="宋体" w:hint="eastAsia"/>
          <w:bCs/>
          <w:color w:val="auto"/>
          <w:szCs w:val="21"/>
          <w:highlight w:val="none"/>
        </w:rPr>
        <w:t>.1合同未尽事项见</w:t>
      </w:r>
      <w:r>
        <w:rPr>
          <w:rFonts w:ascii="宋体" w:eastAsia="宋体" w:hAnsi="宋体" w:hint="eastAsia"/>
          <w:b/>
          <w:color w:val="auto"/>
          <w:szCs w:val="21"/>
          <w:highlight w:val="none"/>
        </w:rPr>
        <w:t>【政府采购合同专用条款】</w:t>
      </w:r>
      <w:r>
        <w:rPr>
          <w:rFonts w:ascii="宋体" w:eastAsia="宋体" w:hAnsi="宋体" w:hint="eastAsia"/>
          <w:bCs/>
          <w:color w:val="auto"/>
          <w:szCs w:val="21"/>
          <w:highlight w:val="none"/>
        </w:rPr>
        <w:t>。</w:t>
      </w:r>
    </w:p>
    <w:p>
      <w:pPr>
        <w:adjustRightInd w:val="0"/>
        <w:snapToGrid w:val="0"/>
        <w:spacing w:line="400" w:lineRule="exact"/>
        <w:ind w:firstLine="0" w:firstLineChars="0"/>
        <w:jc w:val="left"/>
        <w:outlineLvl w:val="9"/>
        <w:rPr>
          <w:rFonts w:ascii="黑体" w:eastAsia="黑体" w:hAnsi="华文中宋"/>
          <w:color w:val="auto"/>
          <w:sz w:val="28"/>
          <w:szCs w:val="28"/>
        </w:rPr>
      </w:pPr>
      <w:r>
        <w:rPr>
          <w:rFonts w:ascii="宋体" w:eastAsia="宋体" w:hAnsi="宋体" w:hint="eastAsia"/>
          <w:bCs/>
          <w:color w:val="auto"/>
          <w:szCs w:val="21"/>
          <w:highlight w:val="none"/>
          <w:lang w:val="en-US" w:eastAsia="zh-CN"/>
        </w:rPr>
        <w:t xml:space="preserve">    23.2 合同附件与合同正文具有同等的法律效力。</w:t>
      </w:r>
      <w:bookmarkStart w:id="91" w:name="_Toc20313"/>
    </w:p>
    <w:p>
      <w:pPr>
        <w:adjustRightInd w:val="0"/>
        <w:snapToGrid w:val="0"/>
        <w:jc w:val="center"/>
        <w:outlineLvl w:val="9"/>
        <w:rPr>
          <w:rFonts w:ascii="黑体" w:eastAsia="黑体" w:hAnsi="华文中宋" w:hint="eastAsia"/>
          <w:b w:val="0"/>
          <w:bCs w:val="0"/>
          <w:sz w:val="28"/>
          <w:szCs w:val="28"/>
        </w:rPr>
      </w:pPr>
      <w:r>
        <w:rPr>
          <w:rFonts w:ascii="黑体" w:eastAsia="黑体" w:hAnsi="华文中宋" w:hint="eastAsia"/>
          <w:b w:val="0"/>
          <w:bCs w:val="0"/>
          <w:sz w:val="28"/>
          <w:szCs w:val="28"/>
        </w:rPr>
        <w:br w:type="page"/>
      </w:r>
    </w:p>
    <w:p>
      <w:pPr>
        <w:keepNext/>
        <w:keepLines/>
        <w:widowControl w:val="0"/>
        <w:adjustRightInd w:val="0"/>
        <w:snapToGrid w:val="0"/>
        <w:spacing w:line="360" w:lineRule="auto"/>
        <w:jc w:val="center"/>
        <w:outlineLvl w:val="9"/>
        <w:rPr>
          <w:rFonts w:ascii="黑体" w:eastAsia="黑体" w:hAnsi="华文中宋" w:cs="Times New Roman"/>
          <w:b w:val="0"/>
          <w:bCs w:val="0"/>
          <w:kern w:val="2"/>
          <w:sz w:val="28"/>
          <w:szCs w:val="28"/>
          <w:lang w:val="en-US" w:eastAsia="zh-CN" w:bidi="ar-SA"/>
        </w:rPr>
      </w:pPr>
      <w:r>
        <w:rPr>
          <w:rFonts w:ascii="黑体" w:eastAsia="黑体" w:hAnsi="华文中宋" w:cs="Times New Roman" w:hint="eastAsia"/>
          <w:b w:val="0"/>
          <w:bCs w:val="0"/>
          <w:kern w:val="2"/>
          <w:sz w:val="28"/>
          <w:szCs w:val="28"/>
          <w:lang w:val="en-US" w:eastAsia="zh-CN" w:bidi="ar-SA"/>
        </w:rPr>
        <w:t>第三节 政府采购合同专用条款</w:t>
      </w:r>
      <w:bookmarkEnd w:id="91"/>
    </w:p>
    <w:tbl>
      <w:tblPr>
        <w:tblStyle w:val="TableNormal"/>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7"/>
        <w:gridCol w:w="1742"/>
        <w:gridCol w:w="5170"/>
      </w:tblGrid>
      <w:tr>
        <w:tblPrEx>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第1.2（</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lang w:eastAsia="zh-CN"/>
              </w:rPr>
              <w:t>联合体具体要求</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0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第1.2（</w:t>
            </w:r>
            <w:r>
              <w:rPr>
                <w:rFonts w:ascii="宋体" w:eastAsia="宋体" w:hAnsi="宋体" w:hint="eastAsia"/>
                <w:szCs w:val="21"/>
                <w:lang w:val="en-US" w:eastAsia="zh-CN"/>
              </w:rPr>
              <w:t>7</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其他术语解释</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4.4款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履约验收中甲方提出异议或作出说明的期限</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lang w:eastAsia="zh-CN"/>
              </w:rPr>
              <w:t>第</w:t>
            </w:r>
            <w:r>
              <w:rPr>
                <w:rFonts w:ascii="宋体" w:eastAsia="宋体" w:hAnsi="宋体" w:hint="eastAsia"/>
                <w:szCs w:val="21"/>
                <w:lang w:val="en-US" w:eastAsia="zh-CN"/>
              </w:rPr>
              <w:t>4.6款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约定甲方承担的其他义务和责任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eastAsia="宋体" w:hint="default"/>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5.4款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约定乙方承担的其他义务和责任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ascii="宋体" w:eastAsia="宋体" w:hAnsi="宋体" w:hint="eastAsia"/>
                <w:szCs w:val="21"/>
                <w:lang w:eastAsia="zh-CN"/>
              </w:rPr>
            </w:pPr>
            <w:r>
              <w:rPr>
                <w:rFonts w:ascii="宋体" w:eastAsia="宋体" w:hAnsi="宋体" w:hint="eastAsia"/>
                <w:szCs w:val="21"/>
                <w:lang w:eastAsia="zh-CN"/>
              </w:rPr>
              <w:t>第</w:t>
            </w:r>
            <w:r>
              <w:rPr>
                <w:rFonts w:ascii="宋体" w:eastAsia="宋体" w:hAnsi="宋体" w:hint="eastAsia"/>
                <w:szCs w:val="21"/>
                <w:lang w:val="en-US" w:eastAsia="zh-CN"/>
              </w:rPr>
              <w:t>6.1款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履行合同义务的顺序</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restart"/>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.1</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包装</w:t>
            </w:r>
            <w:r>
              <w:rPr>
                <w:rFonts w:ascii="宋体" w:eastAsia="宋体" w:hAnsi="宋体" w:hint="eastAsia"/>
                <w:szCs w:val="21"/>
                <w:lang w:eastAsia="zh-CN"/>
              </w:rPr>
              <w:t>特殊要求</w:t>
            </w:r>
          </w:p>
        </w:tc>
        <w:tc>
          <w:tcPr>
            <w:tcW w:w="5170" w:type="dxa"/>
            <w:vAlign w:val="center"/>
          </w:tcPr>
          <w:p>
            <w:pPr>
              <w:outlineLvl w:val="9"/>
              <w:rPr>
                <w:rFonts w:eastAsia="宋体"/>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ign w:val="center"/>
          </w:tcPr>
          <w:p>
            <w:pPr>
              <w:adjustRightInd w:val="0"/>
              <w:snapToGrid w:val="0"/>
              <w:jc w:val="center"/>
              <w:outlineLvl w:val="9"/>
              <w:rPr>
                <w:rFonts w:ascii="宋体" w:eastAsia="宋体" w:hAnsi="宋体" w:hint="eastAsia"/>
                <w:szCs w:val="21"/>
              </w:rPr>
            </w:pP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指定现场</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72"/>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.2</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运输特殊要求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.3</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保险要求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.2（1）项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质量保证期</w:t>
            </w:r>
          </w:p>
        </w:tc>
        <w:tc>
          <w:tcPr>
            <w:tcW w:w="5170" w:type="dxa"/>
            <w:vAlign w:val="center"/>
          </w:tcPr>
          <w:p>
            <w:pPr>
              <w:autoSpaceDE w:val="0"/>
              <w:autoSpaceDN w:val="0"/>
              <w:adjustRightInd w:val="0"/>
              <w:snapToGrid w:val="0"/>
              <w:ind w:firstLine="420" w:firstLineChars="20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.2（3）项</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货物质量缺陷</w:t>
            </w:r>
          </w:p>
          <w:p>
            <w:pPr>
              <w:adjustRightInd w:val="0"/>
              <w:snapToGrid w:val="0"/>
              <w:jc w:val="left"/>
              <w:outlineLvl w:val="9"/>
              <w:rPr>
                <w:rFonts w:ascii="宋体" w:eastAsia="宋体" w:hAnsi="宋体"/>
                <w:szCs w:val="21"/>
              </w:rPr>
            </w:pPr>
            <w:r>
              <w:rPr>
                <w:rFonts w:ascii="宋体" w:eastAsia="宋体" w:hAnsi="宋体" w:hint="eastAsia"/>
                <w:szCs w:val="21"/>
              </w:rPr>
              <w:t>响应时间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snapToGrid w:val="0"/>
              <w:jc w:val="center"/>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第二节</w:t>
            </w:r>
          </w:p>
          <w:p>
            <w:pPr>
              <w:autoSpaceDE w:val="0"/>
              <w:autoSpaceDN w:val="0"/>
              <w:adjustRightInd w:val="0"/>
              <w:spacing w:line="400" w:lineRule="exact"/>
              <w:ind w:firstLine="0" w:firstLineChars="0"/>
              <w:jc w:val="center"/>
              <w:outlineLvl w:val="9"/>
              <w:rPr>
                <w:rFonts w:ascii="华文楷体" w:eastAsia="华文楷体" w:hAnsi="华文楷体" w:cs="华文楷体" w:hint="default"/>
                <w:sz w:val="22"/>
                <w:szCs w:val="21"/>
                <w:lang w:val="en-US" w:eastAsia="zh-CN" w:bidi="ar-SA"/>
              </w:rPr>
            </w:pPr>
            <w:r>
              <w:rPr>
                <w:rFonts w:ascii="宋体" w:eastAsia="宋体" w:hAnsi="宋体" w:cs="宋体" w:hint="eastAsia"/>
                <w:sz w:val="22"/>
                <w:szCs w:val="21"/>
                <w:lang w:val="en-US" w:eastAsia="zh-CN" w:bidi="ar-SA"/>
              </w:rPr>
              <w:t>第11.1款</w:t>
            </w:r>
          </w:p>
        </w:tc>
        <w:tc>
          <w:tcPr>
            <w:tcW w:w="1742" w:type="dxa"/>
            <w:vAlign w:val="center"/>
          </w:tcPr>
          <w:p>
            <w:pPr>
              <w:adjustRightInd w:val="0"/>
              <w:snapToGrid w:val="0"/>
              <w:jc w:val="both"/>
              <w:outlineLvl w:val="9"/>
              <w:rPr>
                <w:rFonts w:ascii="宋体" w:eastAsia="宋体" w:hAnsi="宋体" w:hint="default"/>
                <w:szCs w:val="21"/>
                <w:lang w:val="en-US" w:eastAsia="zh-CN"/>
              </w:rPr>
            </w:pPr>
            <w:r>
              <w:rPr>
                <w:rFonts w:ascii="宋体" w:eastAsia="宋体" w:hAnsi="宋体" w:hint="eastAsia"/>
                <w:szCs w:val="21"/>
                <w:lang w:val="en-US" w:eastAsia="zh-CN"/>
              </w:rPr>
              <w:t>其他应当保密的信息</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2</w:t>
            </w:r>
            <w:r>
              <w:rPr>
                <w:rFonts w:ascii="宋体" w:eastAsia="宋体" w:hAnsi="宋体" w:hint="eastAsia"/>
                <w:szCs w:val="21"/>
              </w:rPr>
              <w:t>.2款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rPr>
              <w:t>合同价款支付</w:t>
            </w:r>
            <w:r>
              <w:rPr>
                <w:rFonts w:ascii="宋体" w:eastAsia="宋体" w:hAnsi="宋体" w:hint="eastAsia"/>
                <w:szCs w:val="21"/>
                <w:lang w:eastAsia="zh-CN"/>
              </w:rPr>
              <w:t>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13.2</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履约保证金不予退还的情形</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13.3</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履约保证金退还时间及</w:t>
            </w:r>
            <w:r>
              <w:rPr>
                <w:rFonts w:ascii="宋体" w:eastAsia="宋体" w:hAnsi="宋体" w:hint="eastAsia"/>
                <w:szCs w:val="21"/>
                <w:lang w:eastAsia="zh-CN"/>
              </w:rPr>
              <w:t>逾期退还的</w:t>
            </w:r>
            <w:r>
              <w:rPr>
                <w:rFonts w:ascii="宋体" w:eastAsia="宋体" w:hAnsi="宋体" w:hint="eastAsia"/>
                <w:szCs w:val="21"/>
              </w:rPr>
              <w:t>违约金</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3</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eastAsia"/>
                <w:szCs w:val="21"/>
                <w:lang w:val="en-US" w:eastAsia="zh-CN"/>
              </w:rPr>
            </w:pPr>
            <w:r>
              <w:rPr>
                <w:rFonts w:ascii="宋体" w:eastAsia="宋体" w:hAnsi="宋体" w:hint="eastAsia"/>
                <w:szCs w:val="21"/>
                <w:lang w:val="en-US" w:eastAsia="zh-CN"/>
              </w:rPr>
              <w:t>运行监督、维修期限</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5</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货物回收的约定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乙方提供的其他服务</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1款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color w:val="auto"/>
                <w:szCs w:val="21"/>
                <w:highlight w:val="none"/>
                <w:lang w:eastAsia="zh-CN"/>
              </w:rPr>
              <w:t>修理、重作、更换相关具体规定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.2（2）项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迟延交货赔偿费</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3款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szCs w:val="21"/>
              </w:rPr>
              <w:t>逾期付款利息</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.4</w:t>
            </w:r>
            <w:r>
              <w:rPr>
                <w:rFonts w:ascii="宋体" w:eastAsia="宋体" w:hAnsi="宋体" w:hint="eastAsia"/>
                <w:szCs w:val="21"/>
                <w:lang w:val="en-US" w:eastAsia="zh-CN"/>
              </w:rPr>
              <w:t>款</w:t>
            </w:r>
          </w:p>
        </w:tc>
        <w:tc>
          <w:tcPr>
            <w:tcW w:w="1742" w:type="dxa"/>
            <w:tcBorders>
              <w:left w:val="single" w:sz="2" w:space="0" w:color="auto"/>
              <w:bottom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rPr>
              <w:t>其他违约责任</w:t>
            </w:r>
          </w:p>
        </w:tc>
        <w:tc>
          <w:tcPr>
            <w:tcW w:w="5170" w:type="dxa"/>
            <w:tcBorders>
              <w:left w:val="single" w:sz="2" w:space="0" w:color="auto"/>
              <w:bottom w:val="single" w:sz="2" w:space="0" w:color="auto"/>
            </w:tcBorders>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19</w:t>
            </w:r>
            <w:r>
              <w:rPr>
                <w:rFonts w:ascii="宋体" w:eastAsia="宋体" w:hAnsi="宋体" w:hint="eastAsia"/>
                <w:szCs w:val="21"/>
              </w:rPr>
              <w:t>.2</w:t>
            </w:r>
            <w:r>
              <w:rPr>
                <w:rFonts w:ascii="宋体" w:eastAsia="宋体" w:hAnsi="宋体" w:hint="eastAsia"/>
                <w:szCs w:val="21"/>
                <w:lang w:val="en-US" w:eastAsia="zh-CN"/>
              </w:rPr>
              <w:t>款</w:t>
            </w:r>
          </w:p>
        </w:tc>
        <w:tc>
          <w:tcPr>
            <w:tcW w:w="1742" w:type="dxa"/>
            <w:tcBorders>
              <w:top w:val="single" w:sz="2" w:space="0" w:color="auto"/>
              <w:left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lang w:val="en-US" w:eastAsia="zh-CN"/>
              </w:rPr>
              <w:t>解决争议的方法</w:t>
            </w:r>
          </w:p>
        </w:tc>
        <w:tc>
          <w:tcPr>
            <w:tcW w:w="5170" w:type="dxa"/>
            <w:tcBorders>
              <w:top w:val="single" w:sz="2" w:space="0" w:color="auto"/>
              <w:left w:val="single" w:sz="2" w:space="0" w:color="auto"/>
            </w:tcBorders>
            <w:vAlign w:val="center"/>
          </w:tcPr>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因本合同及合同有关事项发生的争议，按下列第</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种方式解决：</w:t>
            </w:r>
          </w:p>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（1）向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仲裁委员会申请仲裁，仲裁地点为</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w:t>
            </w:r>
          </w:p>
          <w:p>
            <w:pPr>
              <w:adjustRightInd w:val="0"/>
              <w:snapToGrid w:val="0"/>
              <w:ind w:firstLine="0" w:firstLineChars="0"/>
              <w:jc w:val="left"/>
              <w:outlineLvl w:val="9"/>
              <w:rPr>
                <w:rFonts w:ascii="宋体" w:eastAsia="宋体" w:hAnsi="宋体"/>
                <w:szCs w:val="21"/>
                <w:u w:val="single"/>
              </w:rPr>
            </w:pPr>
            <w:r>
              <w:rPr>
                <w:rFonts w:ascii="宋体" w:eastAsia="宋体" w:hAnsi="宋体" w:cs="宋体" w:hint="eastAsia"/>
                <w:b w:val="0"/>
                <w:bCs w:val="0"/>
                <w:iCs/>
                <w:szCs w:val="21"/>
              </w:rPr>
              <w:t>（2）向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人民法院起诉。</w:t>
            </w:r>
          </w:p>
        </w:tc>
      </w:tr>
      <w:tr>
        <w:tblPrEx>
          <w:tblW w:w="8519" w:type="dxa"/>
          <w:tblInd w:w="108" w:type="dxa"/>
          <w:tblLayout w:type="fixed"/>
          <w:tblCellMar>
            <w:top w:w="0" w:type="dxa"/>
            <w:left w:w="108" w:type="dxa"/>
            <w:bottom w:w="0" w:type="dxa"/>
            <w:right w:w="108" w:type="dxa"/>
          </w:tblCellMar>
        </w:tblPrEx>
        <w:trPr>
          <w:trHeight w:val="770"/>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第2</w:t>
            </w:r>
            <w:r>
              <w:rPr>
                <w:rFonts w:ascii="宋体" w:eastAsia="宋体" w:hAnsi="宋体" w:hint="eastAsia"/>
                <w:szCs w:val="21"/>
                <w:lang w:val="en-US" w:eastAsia="zh-CN"/>
              </w:rPr>
              <w:t>3.1</w:t>
            </w:r>
            <w:r>
              <w:rPr>
                <w:rFonts w:ascii="宋体" w:eastAsia="宋体" w:hAnsi="宋体" w:hint="eastAsia"/>
                <w:szCs w:val="21"/>
                <w:lang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bCs/>
                <w:color w:val="auto"/>
                <w:szCs w:val="21"/>
                <w:highlight w:val="none"/>
                <w:lang w:eastAsia="zh-CN"/>
              </w:rPr>
              <w:t>其他专用条款</w:t>
            </w:r>
          </w:p>
        </w:tc>
        <w:tc>
          <w:tcPr>
            <w:tcW w:w="5170" w:type="dxa"/>
            <w:vAlign w:val="center"/>
          </w:tcPr>
          <w:p>
            <w:pPr>
              <w:adjustRightInd w:val="0"/>
              <w:snapToGrid w:val="0"/>
              <w:jc w:val="left"/>
              <w:outlineLvl w:val="9"/>
              <w:rPr>
                <w:rFonts w:ascii="宋体" w:eastAsia="宋体" w:hAnsi="宋体" w:hint="default"/>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pStyle w:val="Heading1"/>
        <w:spacing w:before="120" w:beforeLines="50" w:after="120" w:afterLines="50"/>
        <w:ind w:left="562"/>
        <w:outlineLvl w:val="0"/>
        <w:rPr>
          <w:sz w:val="28"/>
          <w:szCs w:val="28"/>
        </w:rPr>
      </w:pPr>
      <w:r>
        <w:rPr>
          <w:rFonts w:hint="eastAsia"/>
          <w:sz w:val="28"/>
          <w:szCs w:val="28"/>
        </w:rPr>
        <w:t>第二册  通用条款（公开招标）</w:t>
      </w:r>
    </w:p>
    <w:p>
      <w:pPr>
        <w:pStyle w:val="Heading2"/>
        <w:numPr>
          <w:ilvl w:val="0"/>
          <w:numId w:val="16"/>
        </w:numPr>
        <w:spacing w:before="120" w:beforeLines="50" w:after="120" w:afterLines="50"/>
        <w:ind w:left="562" w:hanging="562"/>
        <w:rPr>
          <w:sz w:val="28"/>
          <w:szCs w:val="28"/>
        </w:rPr>
      </w:pPr>
      <w:bookmarkStart w:id="92" w:name="_Hlk72399513"/>
      <w:r>
        <w:rPr>
          <w:rFonts w:hint="eastAsia"/>
          <w:sz w:val="28"/>
          <w:szCs w:val="28"/>
        </w:rPr>
        <w:t>总则</w:t>
      </w:r>
    </w:p>
    <w:p>
      <w:pPr>
        <w:rPr>
          <w:rFonts w:ascii="黑体" w:eastAsia="黑体" w:hAnsi="宋体"/>
          <w:sz w:val="24"/>
        </w:rPr>
      </w:pPr>
      <w:bookmarkEnd w:id="92"/>
      <w:r>
        <w:rPr>
          <w:rFonts w:ascii="黑体" w:eastAsia="黑体" w:hAnsi="宋体" w:hint="eastAsia"/>
          <w:sz w:val="24"/>
        </w:rPr>
        <w:t>1. 通用条款说明</w:t>
      </w:r>
    </w:p>
    <w:p>
      <w:pPr>
        <w:ind w:firstLine="412" w:firstLineChars="196"/>
        <w:rPr>
          <w:rFonts w:ascii="宋体" w:hAnsi="宋体"/>
          <w:szCs w:val="21"/>
        </w:rPr>
      </w:pPr>
      <w:r>
        <w:rPr>
          <w:rFonts w:ascii="宋体" w:hAnsi="宋体" w:hint="eastAsia"/>
          <w:szCs w:val="21"/>
        </w:rPr>
        <w:t>1.1政府集中采购机构发出招标文件通用条款版本，列出深圳市政府采购项目进行招标采购所适用的通用条款内容。</w:t>
      </w:r>
      <w:bookmarkStart w:id="93" w:name="_Hlk72399729"/>
      <w:r>
        <w:rPr>
          <w:rFonts w:ascii="宋体" w:hAnsi="宋体" w:hint="eastAsia"/>
          <w:szCs w:val="21"/>
        </w:rPr>
        <w:t>如有需要，政府集中采购机构可以对通用条款的内容进行补充。</w:t>
      </w:r>
      <w:bookmarkEnd w:id="93"/>
    </w:p>
    <w:p>
      <w:pPr>
        <w:ind w:firstLine="412" w:firstLineChars="196"/>
        <w:rPr>
          <w:rFonts w:ascii="宋体" w:hAnsi="宋体"/>
          <w:szCs w:val="21"/>
        </w:rPr>
      </w:pPr>
      <w:r>
        <w:rPr>
          <w:rFonts w:ascii="宋体" w:hAnsi="宋体" w:hint="eastAsia"/>
          <w:szCs w:val="21"/>
        </w:rPr>
        <w:t>1.2招标文件分为第一册“专用条款”和第二册“通用条款”。</w:t>
      </w:r>
    </w:p>
    <w:p>
      <w:pPr>
        <w:ind w:firstLine="412" w:firstLineChars="196"/>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pPr>
        <w:ind w:firstLine="412" w:firstLineChars="196"/>
        <w:rPr>
          <w:rFonts w:ascii="宋体" w:hAnsi="宋体"/>
          <w:szCs w:val="21"/>
        </w:rPr>
      </w:pPr>
      <w:r>
        <w:rPr>
          <w:rFonts w:ascii="宋体" w:hAnsi="宋体" w:hint="eastAsia"/>
          <w:szCs w:val="21"/>
        </w:rPr>
        <w:t>1.4“通用条款”是适用于政府采购公开招标项目的基础性条款，具有普遍性和通用性。</w:t>
      </w:r>
    </w:p>
    <w:p>
      <w:pPr>
        <w:ind w:firstLine="412" w:firstLineChars="196"/>
        <w:rPr>
          <w:rFonts w:ascii="宋体" w:hAnsi="宋体"/>
          <w:szCs w:val="21"/>
        </w:rPr>
      </w:pPr>
      <w:r>
        <w:rPr>
          <w:rFonts w:ascii="宋体" w:hAnsi="宋体" w:hint="eastAsia"/>
          <w:szCs w:val="21"/>
        </w:rPr>
        <w:t>1.5 “专用条款”和“通用条款”表述不一致或有冲突时，以“专用条款”为准。</w:t>
      </w:r>
    </w:p>
    <w:p>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pPr>
        <w:ind w:firstLine="412" w:firstLineChars="196"/>
        <w:rPr>
          <w:rFonts w:ascii="宋体" w:hAnsi="宋体"/>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pPr>
        <w:rPr>
          <w:rFonts w:ascii="黑体" w:eastAsia="黑体" w:hAnsi="宋体"/>
          <w:sz w:val="24"/>
        </w:rPr>
      </w:pPr>
      <w:r>
        <w:rPr>
          <w:rFonts w:ascii="黑体" w:eastAsia="黑体" w:hAnsi="宋体" w:hint="eastAsia"/>
          <w:sz w:val="24"/>
        </w:rPr>
        <w:t>3．定义</w:t>
      </w:r>
    </w:p>
    <w:p>
      <w:pPr>
        <w:ind w:firstLine="420" w:firstLineChars="200"/>
        <w:rPr>
          <w:rFonts w:ascii="宋体" w:hAnsi="宋体"/>
          <w:szCs w:val="21"/>
        </w:rPr>
      </w:pPr>
      <w:r>
        <w:rPr>
          <w:rFonts w:ascii="宋体" w:hAnsi="宋体"/>
          <w:szCs w:val="21"/>
        </w:rPr>
        <w:t>招标文件中下列术语应解释为：</w:t>
      </w:r>
    </w:p>
    <w:p>
      <w:pPr>
        <w:ind w:firstLine="412" w:firstLineChars="196"/>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pPr>
        <w:ind w:firstLine="412" w:firstLineChars="196"/>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pPr>
        <w:ind w:firstLine="412" w:firstLineChars="196"/>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pPr>
        <w:ind w:firstLine="412" w:firstLineChars="196"/>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pPr>
        <w:ind w:firstLine="412" w:firstLineChars="196"/>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pPr>
        <w:ind w:firstLine="412" w:firstLineChars="196"/>
        <w:rPr>
          <w:rFonts w:ascii="宋体" w:hAnsi="宋体"/>
          <w:szCs w:val="21"/>
        </w:rPr>
      </w:pPr>
      <w:r>
        <w:rPr>
          <w:rFonts w:ascii="宋体" w:hAnsi="宋体" w:hint="eastAsia"/>
          <w:szCs w:val="21"/>
        </w:rPr>
        <w:t>3.6“合同”指由本次招标所产生的合同或合约文件；</w:t>
      </w:r>
    </w:p>
    <w:p>
      <w:pPr>
        <w:ind w:firstLine="412" w:firstLineChars="196"/>
        <w:rPr>
          <w:rFonts w:ascii="宋体" w:hAnsi="宋体"/>
          <w:szCs w:val="21"/>
        </w:rPr>
      </w:pPr>
      <w:r>
        <w:rPr>
          <w:rFonts w:ascii="宋体" w:hAnsi="宋体" w:hint="eastAsia"/>
          <w:szCs w:val="21"/>
        </w:rPr>
        <w:t>3.7“电子投标文件”指利用</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2" w:firstLineChars="196"/>
        <w:rPr>
          <w:rFonts w:ascii="宋体" w:hAnsi="宋体"/>
          <w:szCs w:val="21"/>
        </w:rPr>
      </w:pPr>
      <w:r>
        <w:rPr>
          <w:rFonts w:ascii="宋体" w:hAnsi="宋体" w:hint="eastAsia"/>
          <w:szCs w:val="21"/>
        </w:rPr>
        <w:t>3.8“网上投标”指通过</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网站上传电子投标文件；</w:t>
      </w:r>
    </w:p>
    <w:p>
      <w:pPr>
        <w:ind w:firstLine="412" w:firstLineChars="196"/>
        <w:rPr>
          <w:rFonts w:ascii="宋体" w:hAnsi="宋体"/>
          <w:szCs w:val="21"/>
        </w:rPr>
      </w:pPr>
      <w:r>
        <w:rPr>
          <w:rFonts w:ascii="宋体" w:hAnsi="宋体" w:hint="eastAsia"/>
          <w:szCs w:val="21"/>
        </w:rPr>
        <w:t>3.9招标文件中的标题或题名仅起引导作用，而不应视为对招标文件内容的理解和解释。</w:t>
      </w:r>
    </w:p>
    <w:p>
      <w:pPr>
        <w:rPr>
          <w:rFonts w:ascii="黑体" w:eastAsia="黑体" w:hAnsi="宋体"/>
          <w:sz w:val="24"/>
        </w:rPr>
      </w:pPr>
      <w:r>
        <w:rPr>
          <w:rFonts w:ascii="黑体" w:eastAsia="黑体" w:hAnsi="宋体" w:hint="eastAsia"/>
          <w:sz w:val="24"/>
        </w:rPr>
        <w:t xml:space="preserve">4. </w:t>
      </w:r>
      <w:bookmarkStart w:id="94" w:name="_Hlk72398643"/>
      <w:r>
        <w:rPr>
          <w:rFonts w:ascii="黑体" w:eastAsia="黑体" w:hAnsi="宋体" w:hint="eastAsia"/>
          <w:sz w:val="24"/>
        </w:rPr>
        <w:t>政府采购供应商责任</w:t>
      </w:r>
    </w:p>
    <w:p>
      <w:pPr>
        <w:ind w:firstLine="412" w:firstLineChars="196"/>
        <w:rPr>
          <w:rFonts w:ascii="宋体" w:hAnsi="宋体"/>
          <w:szCs w:val="21"/>
        </w:rPr>
      </w:pPr>
      <w:r>
        <w:rPr>
          <w:rFonts w:ascii="宋体" w:hAnsi="宋体" w:hint="eastAsia"/>
          <w:szCs w:val="21"/>
        </w:rPr>
        <w:t>4.1欢迎诚信、有实力和有社会责任心的供应商参与政府采购事业。</w:t>
      </w:r>
    </w:p>
    <w:p>
      <w:pPr>
        <w:ind w:firstLine="412" w:firstLineChars="196"/>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eastAsia="黑体" w:hAnsi="宋体"/>
          <w:sz w:val="24"/>
        </w:rPr>
      </w:pPr>
      <w:r>
        <w:rPr>
          <w:rFonts w:ascii="黑体" w:eastAsia="黑体" w:hAnsi="宋体" w:hint="eastAsia"/>
          <w:sz w:val="24"/>
        </w:rPr>
        <w:t>5．投标人参加政府采购的条件</w:t>
      </w:r>
    </w:p>
    <w:p>
      <w:pPr>
        <w:ind w:firstLine="412" w:firstLineChars="196"/>
        <w:jc w:val="left"/>
        <w:rPr>
          <w:rFonts w:ascii="宋体" w:hAnsi="宋体"/>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pPr>
        <w:ind w:firstLine="412" w:firstLineChars="196"/>
        <w:rPr>
          <w:rFonts w:ascii="宋体" w:hAnsi="宋体"/>
          <w:szCs w:val="21"/>
        </w:rPr>
      </w:pPr>
      <w:r>
        <w:rPr>
          <w:rFonts w:ascii="宋体" w:hAnsi="宋体" w:hint="eastAsia"/>
          <w:szCs w:val="21"/>
        </w:rPr>
        <w:t>5.2投标人资格要求</w:t>
      </w:r>
    </w:p>
    <w:p>
      <w:pPr>
        <w:ind w:firstLine="412" w:firstLineChars="196"/>
        <w:rPr>
          <w:rFonts w:ascii="宋体" w:hAnsi="宋体"/>
          <w:szCs w:val="21"/>
        </w:rPr>
      </w:pPr>
      <w:r>
        <w:rPr>
          <w:rFonts w:ascii="宋体" w:hAnsi="宋体" w:hint="eastAsia"/>
          <w:szCs w:val="21"/>
        </w:rPr>
        <w:t>参加本项目的投标人应具备的资格条件详见本项目招标公告中“投标人资格要求”（即申请人的资格要求）的内容。</w:t>
      </w:r>
    </w:p>
    <w:p>
      <w:pPr>
        <w:ind w:firstLine="412" w:firstLineChars="196"/>
        <w:rPr>
          <w:rFonts w:ascii="宋体" w:hAnsi="宋体"/>
          <w:szCs w:val="21"/>
        </w:rPr>
      </w:pPr>
      <w:r>
        <w:rPr>
          <w:rFonts w:ascii="宋体" w:hAnsi="宋体" w:hint="eastAsia"/>
          <w:szCs w:val="21"/>
        </w:rPr>
        <w:t>5.3联合体投标</w:t>
      </w:r>
    </w:p>
    <w:p>
      <w:pPr>
        <w:ind w:firstLine="412" w:firstLineChars="196"/>
        <w:rPr>
          <w:rFonts w:ascii="宋体" w:hAnsi="宋体"/>
          <w:szCs w:val="21"/>
        </w:rPr>
      </w:pPr>
      <w:r>
        <w:rPr>
          <w:rFonts w:ascii="宋体" w:hAnsi="宋体" w:hint="eastAsia"/>
          <w:szCs w:val="21"/>
        </w:rPr>
        <w:t>5.3.1　以下有关联合体投标的条款仅适用于允许投标人组成联合体投标的项目。</w:t>
      </w:r>
    </w:p>
    <w:p>
      <w:pPr>
        <w:ind w:firstLine="412" w:firstLineChars="196"/>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pPr>
        <w:ind w:firstLine="412" w:firstLineChars="196"/>
        <w:rPr>
          <w:rFonts w:ascii="宋体" w:hAnsi="宋体"/>
        </w:rPr>
      </w:pPr>
      <w:r>
        <w:rPr>
          <w:rFonts w:ascii="宋体" w:hAnsi="宋体" w:hint="eastAsia"/>
        </w:rPr>
        <w:t>（1）投标联合体各方参加政府采购活动应当具备下列条件：</w:t>
      </w:r>
      <w:r>
        <w:rPr>
          <w:rFonts w:ascii="宋体" w:hAnsi="宋体"/>
        </w:rPr>
        <w:t xml:space="preserve"> </w:t>
      </w:r>
    </w:p>
    <w:p>
      <w:pPr>
        <w:ind w:left="420" w:firstLine="412" w:leftChars="200" w:firstLineChars="196"/>
        <w:rPr>
          <w:rFonts w:ascii="宋体" w:hAnsi="宋体"/>
        </w:rPr>
      </w:pPr>
      <w:r>
        <w:rPr>
          <w:rFonts w:ascii="宋体" w:hAnsi="宋体" w:hint="eastAsia"/>
        </w:rPr>
        <w:t>1、具有独立承担民事责任的能力；</w:t>
      </w:r>
      <w:r>
        <w:rPr>
          <w:rFonts w:ascii="宋体" w:hAnsi="宋体"/>
        </w:rPr>
        <w:t xml:space="preserve"> </w:t>
      </w:r>
    </w:p>
    <w:p>
      <w:pPr>
        <w:ind w:left="420" w:firstLine="412" w:firstLineChars="196"/>
        <w:rPr>
          <w:rFonts w:ascii="宋体" w:hAnsi="宋体"/>
        </w:rPr>
      </w:pPr>
      <w:r>
        <w:rPr>
          <w:rFonts w:ascii="宋体" w:hAnsi="宋体" w:hint="eastAsia"/>
        </w:rPr>
        <w:t>2、有良好的商业信誉和健全的财务会计制度；</w:t>
      </w:r>
      <w:r>
        <w:rPr>
          <w:rFonts w:ascii="宋体" w:hAnsi="宋体"/>
        </w:rPr>
        <w:t xml:space="preserve"> </w:t>
      </w:r>
    </w:p>
    <w:p>
      <w:pPr>
        <w:ind w:left="420" w:firstLine="412" w:leftChars="200" w:firstLineChars="196"/>
        <w:rPr>
          <w:rFonts w:ascii="宋体" w:hAnsi="宋体"/>
        </w:rPr>
      </w:pPr>
      <w:r>
        <w:rPr>
          <w:rFonts w:ascii="宋体" w:hAnsi="宋体" w:hint="eastAsia"/>
        </w:rPr>
        <w:t>3、具有履行合同所必需的设备和专业技术能力；</w:t>
      </w:r>
      <w:r>
        <w:rPr>
          <w:rFonts w:ascii="宋体" w:hAnsi="宋体"/>
        </w:rPr>
        <w:t xml:space="preserve"> </w:t>
      </w:r>
    </w:p>
    <w:p>
      <w:pPr>
        <w:ind w:left="420" w:firstLine="412" w:leftChars="200" w:firstLineChars="196"/>
        <w:rPr>
          <w:rFonts w:ascii="宋体" w:hAnsi="宋体"/>
        </w:rPr>
      </w:pPr>
      <w:r>
        <w:rPr>
          <w:rFonts w:ascii="宋体" w:hAnsi="宋体" w:hint="eastAsia"/>
        </w:rPr>
        <w:t>4、有依法缴纳税收和社会保障资金的良好记录；</w:t>
      </w:r>
      <w:r>
        <w:rPr>
          <w:rFonts w:ascii="宋体" w:hAnsi="宋体"/>
        </w:rPr>
        <w:t xml:space="preserve"> </w:t>
      </w:r>
    </w:p>
    <w:p>
      <w:pPr>
        <w:ind w:left="420" w:firstLine="412" w:leftChars="200" w:firstLineChars="196"/>
        <w:rPr>
          <w:rFonts w:ascii="宋体" w:hAnsi="宋体"/>
        </w:rPr>
      </w:pPr>
      <w:r>
        <w:rPr>
          <w:rFonts w:ascii="宋体" w:hAnsi="宋体" w:hint="eastAsia"/>
        </w:rPr>
        <w:t>5、参加政府采购活动前三年内，在经营活动中没有重大违法记录；</w:t>
      </w:r>
      <w:r>
        <w:rPr>
          <w:rFonts w:ascii="宋体" w:hAnsi="宋体"/>
        </w:rPr>
        <w:t xml:space="preserve"> </w:t>
      </w:r>
    </w:p>
    <w:p>
      <w:pPr>
        <w:ind w:left="420" w:firstLine="412" w:leftChars="200" w:firstLineChars="196"/>
        <w:rPr>
          <w:rFonts w:ascii="宋体" w:hAnsi="宋体"/>
        </w:rPr>
      </w:pPr>
      <w:r>
        <w:rPr>
          <w:rFonts w:ascii="宋体" w:hAnsi="宋体" w:hint="eastAsia"/>
        </w:rPr>
        <w:t>6、法律、行政法规规定的其他条件。</w:t>
      </w:r>
      <w:r>
        <w:rPr>
          <w:rFonts w:ascii="宋体" w:hAnsi="宋体"/>
        </w:rPr>
        <w:t xml:space="preserve"> </w:t>
      </w:r>
    </w:p>
    <w:p>
      <w:pPr>
        <w:ind w:firstLine="412" w:firstLineChars="196"/>
        <w:rPr>
          <w:rFonts w:ascii="宋体" w:hAnsi="宋体"/>
        </w:rPr>
      </w:pPr>
      <w:r>
        <w:rPr>
          <w:rFonts w:ascii="宋体" w:hAnsi="宋体" w:hint="eastAsia"/>
        </w:rPr>
        <w:t>（2）在投标截止前，投标联合体各方均应注册成政府集中采购机构供应商；</w:t>
      </w:r>
    </w:p>
    <w:p>
      <w:pPr>
        <w:ind w:firstLine="412" w:firstLineChars="196"/>
        <w:rPr>
          <w:rFonts w:ascii="宋体" w:hAnsi="宋体"/>
        </w:rPr>
      </w:pPr>
      <w:r>
        <w:rPr>
          <w:rFonts w:ascii="宋体" w:hAnsi="宋体" w:hint="eastAsia"/>
        </w:rPr>
        <w:t>（3）联合体中有同类资质的供应商按照联合体分工承担相同工作的，应当按照资质等级较低的供应商确定资质等级；</w:t>
      </w:r>
    </w:p>
    <w:p>
      <w:pPr>
        <w:ind w:firstLine="412"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2" w:firstLineChars="196"/>
        <w:rPr>
          <w:rFonts w:ascii="宋体" w:hAnsi="宋体"/>
        </w:rPr>
      </w:pPr>
      <w:r>
        <w:rPr>
          <w:rFonts w:ascii="宋体" w:hAnsi="宋体" w:hint="eastAsia"/>
        </w:rPr>
        <w:t>（5）投标人的投标文件及中标后签署的合同协议对联合体各方均具法律约束力；</w:t>
      </w:r>
    </w:p>
    <w:p>
      <w:pPr>
        <w:ind w:firstLine="412" w:firstLineChars="196"/>
        <w:rPr>
          <w:rFonts w:ascii="宋体" w:hAnsi="宋体"/>
        </w:rPr>
      </w:pPr>
      <w:r>
        <w:rPr>
          <w:rFonts w:ascii="宋体" w:hAnsi="宋体" w:hint="eastAsia"/>
        </w:rPr>
        <w:t>（6）联合体各方应当签订联合体投标协议，明确约定各方拟承担的工作和责任，并将该协议随投标文件一并递交给政府集中采购机构；</w:t>
      </w:r>
    </w:p>
    <w:p>
      <w:pPr>
        <w:ind w:firstLine="412" w:firstLineChars="196"/>
        <w:rPr>
          <w:rFonts w:ascii="宋体" w:hAnsi="宋体"/>
        </w:rPr>
      </w:pPr>
      <w:r>
        <w:rPr>
          <w:rFonts w:ascii="宋体" w:hAnsi="宋体" w:hint="eastAsia"/>
        </w:rPr>
        <w:t>（7）联合体中标后，联合体各方应当共同与采购人签订合同，就中标项目向采购人承担连带责任；</w:t>
      </w:r>
    </w:p>
    <w:p>
      <w:pPr>
        <w:ind w:firstLine="412" w:firstLineChars="196"/>
        <w:rPr>
          <w:rFonts w:ascii="宋体" w:hAnsi="宋体"/>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2" w:firstLineChars="196"/>
        <w:rPr>
          <w:rFonts w:ascii="宋体" w:hAnsi="宋体"/>
          <w:szCs w:val="21"/>
        </w:rPr>
      </w:pPr>
      <w:r>
        <w:rPr>
          <w:rFonts w:ascii="宋体" w:hAnsi="宋体" w:hint="eastAsia"/>
        </w:rPr>
        <w:t>（9）本通用条款中“投标人”一词亦指联合体各方，专用条款另有规定或说明的除外。</w:t>
      </w:r>
    </w:p>
    <w:p>
      <w:pPr>
        <w:rPr>
          <w:rFonts w:ascii="黑体" w:eastAsia="黑体" w:hAnsi="宋体"/>
          <w:sz w:val="24"/>
        </w:rPr>
      </w:pPr>
      <w:r>
        <w:rPr>
          <w:rFonts w:ascii="黑体" w:eastAsia="黑体" w:hAnsi="宋体" w:hint="eastAsia"/>
          <w:sz w:val="24"/>
        </w:rPr>
        <w:t>6．政策导向</w:t>
      </w:r>
    </w:p>
    <w:p>
      <w:pPr>
        <w:ind w:firstLine="412" w:firstLineChars="196"/>
        <w:rPr>
          <w:rFonts w:ascii="宋体" w:hAnsi="宋体"/>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pPr>
        <w:ind w:firstLine="405"/>
        <w:rPr>
          <w:rFonts w:eastAsia="宋体" w:hint="default"/>
          <w:lang w:val="en-US" w:eastAsia="zh-CN"/>
        </w:rPr>
      </w:pPr>
      <w:r>
        <w:rPr>
          <w:rFonts w:ascii="宋体" w:hAnsi="宋体" w:hint="eastAsia"/>
          <w:lang w:val="en-US" w:eastAsia="zh-CN"/>
        </w:rPr>
        <w:t>6.3  本项目支持投标人性别平等的相关政策。</w:t>
      </w:r>
    </w:p>
    <w:p>
      <w:pPr>
        <w:rPr>
          <w:rFonts w:ascii="黑体" w:eastAsia="黑体" w:hAnsi="宋体"/>
          <w:sz w:val="24"/>
        </w:rPr>
      </w:pPr>
      <w:r>
        <w:rPr>
          <w:rFonts w:ascii="黑体" w:eastAsia="黑体" w:hAnsi="宋体" w:hint="eastAsia"/>
          <w:sz w:val="24"/>
        </w:rPr>
        <w:t>7. 本项目若涉及采购货物，则合格的货物及相应服务应满足以下要求：</w:t>
      </w:r>
    </w:p>
    <w:p>
      <w:pPr>
        <w:ind w:firstLine="412" w:firstLineChars="196"/>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pPr>
        <w:ind w:firstLine="412" w:firstLineChars="196"/>
        <w:rPr>
          <w:rFonts w:ascii="宋体" w:hAnsi="宋体"/>
        </w:rPr>
      </w:pPr>
      <w:r>
        <w:rPr>
          <w:rFonts w:ascii="宋体" w:hAnsi="宋体" w:hint="eastAsia"/>
        </w:rPr>
        <w:t>7.2  国产的货物及其有关服务必须符合中华人民共和国的设计、制造生产标准及行业标准。招标公告有其他要求的，亦应符合其要求。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95"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5"/>
    </w:p>
    <w:p>
      <w:pPr>
        <w:ind w:firstLine="412" w:firstLineChars="196"/>
        <w:rPr>
          <w:rFonts w:ascii="宋体" w:hAnsi="宋体"/>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2" w:firstLineChars="196"/>
        <w:rPr>
          <w:rFonts w:ascii="宋体" w:hAnsi="宋体"/>
        </w:rPr>
      </w:pPr>
      <w:r>
        <w:rPr>
          <w:rFonts w:ascii="宋体" w:hAnsi="宋体" w:hint="eastAsia"/>
        </w:rPr>
        <w:t>7.6  工期要求：投标人在投标时对其所投项目应提交交货进度、交货计划等，在合同规定的时间内完成项目实施工作。</w:t>
      </w:r>
    </w:p>
    <w:p>
      <w:pPr>
        <w:ind w:firstLine="412" w:firstLineChars="196"/>
        <w:rPr>
          <w:rFonts w:ascii="宋体" w:hAnsi="宋体"/>
        </w:rPr>
      </w:pPr>
      <w:r>
        <w:rPr>
          <w:rFonts w:ascii="宋体" w:hAnsi="宋体" w:hint="eastAsia"/>
        </w:rPr>
        <w:t>7.7  投标人必须承担的设备运输、安装调试、验收检测和提供设备操作说明书、图纸等其他相关及类似的义务。</w:t>
      </w:r>
    </w:p>
    <w:p>
      <w:pPr>
        <w:rPr>
          <w:rFonts w:ascii="黑体" w:eastAsia="黑体" w:hAnsi="宋体"/>
          <w:sz w:val="24"/>
        </w:rPr>
      </w:pPr>
      <w:r>
        <w:rPr>
          <w:rFonts w:ascii="黑体" w:eastAsia="黑体" w:hAnsi="宋体" w:hint="eastAsia"/>
          <w:sz w:val="24"/>
        </w:rPr>
        <w:t>8．投标费用</w:t>
      </w:r>
    </w:p>
    <w:p>
      <w:pPr>
        <w:ind w:firstLine="412" w:firstLineChars="196"/>
        <w:rPr>
          <w:rFonts w:ascii="宋体" w:hAnsi="宋体"/>
          <w:szCs w:val="21"/>
        </w:rPr>
      </w:pPr>
      <w:r>
        <w:rPr>
          <w:rFonts w:ascii="宋体" w:hAnsi="宋体" w:hint="eastAsia"/>
          <w:szCs w:val="21"/>
        </w:rPr>
        <w:t>不论投标结果如何，投标人应承担其编制投标文件与递交投标文件所涉及的一切费用。</w:t>
      </w:r>
    </w:p>
    <w:p>
      <w:pPr>
        <w:rPr>
          <w:rFonts w:ascii="黑体" w:eastAsia="黑体" w:hAnsi="宋体"/>
          <w:sz w:val="24"/>
        </w:rPr>
      </w:pPr>
      <w:r>
        <w:rPr>
          <w:rFonts w:ascii="黑体" w:eastAsia="黑体" w:hAnsi="宋体" w:hint="eastAsia"/>
          <w:sz w:val="24"/>
        </w:rPr>
        <w:t>9．踏勘现场</w:t>
      </w:r>
    </w:p>
    <w:p>
      <w:pPr>
        <w:ind w:firstLine="412" w:firstLineChars="196"/>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2" w:firstLineChars="196"/>
        <w:rPr>
          <w:rFonts w:ascii="宋体" w:hAnsi="宋体"/>
        </w:rPr>
      </w:pPr>
      <w:r>
        <w:rPr>
          <w:rFonts w:ascii="宋体" w:hAnsi="宋体" w:hint="eastAsia"/>
        </w:rPr>
        <w:t>9.2投标人及其人员经过采购人的允许，可以进入采购人的项目现场踏勘。若招标文件要求投标人于统一时间地点踏勘现场的，投标人应当按时前往。</w:t>
      </w:r>
    </w:p>
    <w:p>
      <w:pPr>
        <w:ind w:firstLine="412" w:firstLineChars="196"/>
        <w:rPr>
          <w:rFonts w:ascii="宋体" w:hAnsi="宋体"/>
        </w:rPr>
      </w:pPr>
      <w:r>
        <w:rPr>
          <w:rFonts w:ascii="宋体" w:hAnsi="宋体" w:hint="eastAsia"/>
        </w:rPr>
        <w:t>9.3采购人应当通过政府集中采购机构向投标人提供有关现场的书面资料和数据。</w:t>
      </w:r>
    </w:p>
    <w:p>
      <w:pPr>
        <w:ind w:firstLine="412" w:firstLineChars="196"/>
        <w:rPr>
          <w:rFonts w:ascii="宋体" w:hAnsi="宋体"/>
        </w:rPr>
      </w:pPr>
      <w:r>
        <w:rPr>
          <w:rFonts w:ascii="宋体" w:hAnsi="宋体" w:hint="eastAsia"/>
        </w:rPr>
        <w:t>9.4任何人或任何组织在踏勘现场时向投标人提供的任何书面资料或口头承诺，未经政府集中采购机构在网上发布或书面通知，均作无效处理。</w:t>
      </w:r>
    </w:p>
    <w:p>
      <w:pPr>
        <w:ind w:firstLine="412" w:firstLineChars="196"/>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2" w:firstLineChars="196"/>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p>
      <w:pPr>
        <w:ind w:firstLine="412" w:firstLineChars="196"/>
        <w:rPr>
          <w:rFonts w:ascii="宋体" w:hAnsi="宋体"/>
        </w:rPr>
      </w:pPr>
      <w:bookmarkEnd w:id="94"/>
    </w:p>
    <w:p>
      <w:pPr>
        <w:pStyle w:val="Heading2"/>
        <w:numPr>
          <w:ilvl w:val="0"/>
          <w:numId w:val="16"/>
        </w:numPr>
        <w:spacing w:before="120" w:beforeLines="50" w:after="120" w:afterLines="50"/>
        <w:ind w:left="562" w:hanging="562"/>
        <w:rPr>
          <w:sz w:val="28"/>
          <w:szCs w:val="28"/>
        </w:rPr>
      </w:pPr>
      <w:r>
        <w:rPr>
          <w:rFonts w:hint="eastAsia"/>
          <w:sz w:val="28"/>
          <w:szCs w:val="28"/>
        </w:rPr>
        <w:t>招标文件</w:t>
      </w:r>
    </w:p>
    <w:p>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96" w:name="_Hlk72399819"/>
      <w:r>
        <w:rPr>
          <w:rFonts w:ascii="黑体" w:eastAsia="黑体" w:hAnsi="宋体" w:hint="eastAsia"/>
          <w:sz w:val="24"/>
        </w:rPr>
        <w:t>招标文件的编制与组成</w:t>
      </w:r>
    </w:p>
    <w:p>
      <w:pPr>
        <w:snapToGrid w:val="0"/>
        <w:ind w:firstLine="420" w:firstLineChars="20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pPr>
        <w:ind w:firstLine="412" w:firstLineChars="196"/>
        <w:rPr>
          <w:rFonts w:ascii="宋体" w:hAnsi="宋体"/>
          <w:szCs w:val="21"/>
        </w:rPr>
      </w:pPr>
      <w:r>
        <w:rPr>
          <w:rFonts w:ascii="宋体" w:hAnsi="宋体" w:hint="eastAsia"/>
          <w:szCs w:val="21"/>
        </w:rPr>
        <w:t>招标文件包括下列内容：</w:t>
      </w:r>
    </w:p>
    <w:p>
      <w:pPr>
        <w:ind w:left="420" w:firstLine="412" w:leftChars="200" w:firstLineChars="196"/>
        <w:rPr>
          <w:rFonts w:ascii="宋体" w:hAnsi="宋体"/>
          <w:b/>
          <w:szCs w:val="21"/>
        </w:rPr>
      </w:pPr>
      <w:r>
        <w:rPr>
          <w:rFonts w:ascii="宋体" w:hAnsi="宋体" w:hint="eastAsia"/>
          <w:b/>
          <w:szCs w:val="21"/>
        </w:rPr>
        <w:t>第一册  专用条款</w:t>
      </w:r>
    </w:p>
    <w:p>
      <w:pPr>
        <w:ind w:left="1079" w:leftChars="514"/>
        <w:rPr>
          <w:rFonts w:ascii="宋体" w:hAnsi="宋体"/>
          <w:b/>
          <w:szCs w:val="21"/>
        </w:rPr>
      </w:pPr>
      <w:r>
        <w:rPr>
          <w:rFonts w:ascii="宋体" w:hAnsi="宋体" w:hint="eastAsia"/>
          <w:b/>
          <w:szCs w:val="21"/>
        </w:rPr>
        <w:t>关键信息</w:t>
      </w:r>
    </w:p>
    <w:p>
      <w:pPr>
        <w:ind w:left="630" w:firstLine="412" w:leftChars="300" w:firstLineChars="196"/>
        <w:rPr>
          <w:rFonts w:ascii="宋体" w:hAnsi="宋体"/>
          <w:szCs w:val="21"/>
        </w:rPr>
      </w:pPr>
      <w:r>
        <w:rPr>
          <w:rFonts w:ascii="宋体" w:hAnsi="宋体" w:hint="eastAsia"/>
          <w:szCs w:val="21"/>
        </w:rPr>
        <w:t>第一章  招标公告</w:t>
      </w:r>
    </w:p>
    <w:p>
      <w:pPr>
        <w:ind w:left="630" w:firstLine="412" w:leftChars="300" w:firstLineChars="196"/>
        <w:rPr>
          <w:rFonts w:ascii="宋体" w:hAnsi="宋体"/>
          <w:szCs w:val="21"/>
        </w:rPr>
      </w:pPr>
      <w:r>
        <w:rPr>
          <w:rFonts w:ascii="宋体" w:hAnsi="宋体" w:hint="eastAsia"/>
          <w:szCs w:val="21"/>
        </w:rPr>
        <w:t>第二章  对通用条款的补充内容及其他关键信息</w:t>
      </w:r>
    </w:p>
    <w:p>
      <w:pPr>
        <w:ind w:left="630" w:firstLine="412" w:leftChars="300" w:firstLineChars="196"/>
        <w:rPr>
          <w:rFonts w:ascii="宋体" w:hAnsi="宋体"/>
          <w:szCs w:val="21"/>
        </w:rPr>
      </w:pPr>
      <w:r>
        <w:rPr>
          <w:rFonts w:ascii="宋体" w:hAnsi="宋体" w:hint="eastAsia"/>
          <w:szCs w:val="21"/>
        </w:rPr>
        <w:t>第三章  用户需求书</w:t>
      </w:r>
    </w:p>
    <w:p>
      <w:pPr>
        <w:ind w:left="630" w:firstLine="412" w:leftChars="300" w:firstLineChars="196"/>
        <w:rPr>
          <w:rFonts w:ascii="宋体" w:hAnsi="宋体"/>
          <w:szCs w:val="21"/>
        </w:rPr>
      </w:pPr>
      <w:r>
        <w:rPr>
          <w:rFonts w:hint="eastAsia"/>
        </w:rPr>
        <w:t xml:space="preserve">第四章 </w:t>
      </w:r>
      <w:r>
        <w:t xml:space="preserve"> </w:t>
      </w:r>
      <w:r>
        <w:rPr>
          <w:rFonts w:hint="eastAsia"/>
        </w:rPr>
        <w:t>投标文件格式及附件</w:t>
      </w:r>
    </w:p>
    <w:p>
      <w:pPr>
        <w:ind w:left="630" w:firstLine="412" w:leftChars="300" w:firstLineChars="196"/>
        <w:rPr>
          <w:rFonts w:ascii="宋体" w:hAnsi="宋体"/>
          <w:szCs w:val="21"/>
        </w:rPr>
      </w:pPr>
      <w:r>
        <w:rPr>
          <w:rFonts w:ascii="宋体" w:hAnsi="宋体" w:hint="eastAsia"/>
          <w:szCs w:val="21"/>
        </w:rPr>
        <w:t>第五章  合同条款及格式</w:t>
      </w:r>
    </w:p>
    <w:p>
      <w:pPr>
        <w:ind w:left="420" w:firstLine="412" w:leftChars="200" w:firstLineChars="196"/>
        <w:rPr>
          <w:rFonts w:ascii="宋体" w:hAnsi="宋体"/>
          <w:b/>
          <w:szCs w:val="21"/>
        </w:rPr>
      </w:pPr>
      <w:r>
        <w:rPr>
          <w:rFonts w:ascii="宋体" w:hAnsi="宋体" w:hint="eastAsia"/>
          <w:b/>
          <w:szCs w:val="21"/>
        </w:rPr>
        <w:t>第二册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left="630" w:firstLine="412" w:leftChars="300" w:firstLineChars="196"/>
        <w:rPr>
          <w:rFonts w:ascii="宋体" w:hAnsi="宋体"/>
          <w:szCs w:val="21"/>
        </w:rPr>
      </w:pPr>
      <w:r>
        <w:rPr>
          <w:rFonts w:ascii="宋体" w:hAnsi="宋体" w:hint="eastAsia"/>
          <w:szCs w:val="21"/>
        </w:rPr>
        <w:t>第十一章  质疑处理</w:t>
      </w:r>
    </w:p>
    <w:p>
      <w:pPr>
        <w:ind w:firstLine="412" w:firstLineChars="196"/>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2" w:firstLineChars="196"/>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BodyText"/>
        <w:ind w:firstLine="420" w:firstLineChars="200"/>
        <w:rPr>
          <w:rFonts w:ascii="宋体" w:eastAsia="宋体" w:hAnsi="宋体" w:cs="Times New Roman" w:hint="default"/>
          <w:b w:val="0"/>
          <w:bCs w:val="0"/>
          <w:kern w:val="2"/>
          <w:sz w:val="21"/>
          <w:szCs w:val="24"/>
          <w:lang w:val="en-US" w:eastAsia="zh-CN" w:bidi="ar-SA"/>
        </w:rPr>
      </w:pPr>
      <w:r>
        <w:rPr>
          <w:rFonts w:ascii="宋体" w:eastAsia="宋体" w:hAnsi="宋体" w:cs="Times New Roman" w:hint="eastAsia"/>
          <w:b w:val="0"/>
          <w:bCs w:val="0"/>
          <w:kern w:val="2"/>
          <w:sz w:val="21"/>
          <w:szCs w:val="24"/>
          <w:lang w:val="en-US" w:eastAsia="zh-CN" w:bidi="ar-SA"/>
        </w:rPr>
        <w:t>11.4</w:t>
      </w:r>
      <w:r>
        <w:rPr>
          <w:rFonts w:ascii="宋体" w:hAnsi="宋体" w:cs="Times New Roman" w:hint="eastAsia"/>
          <w:b w:val="0"/>
          <w:bCs w:val="0"/>
          <w:kern w:val="2"/>
          <w:sz w:val="21"/>
          <w:szCs w:val="24"/>
          <w:lang w:val="en-US" w:eastAsia="zh-CN" w:bidi="ar-SA"/>
        </w:rPr>
        <w:t>招标文件所称“原件</w:t>
      </w:r>
      <w:r>
        <w:rPr>
          <w:rFonts w:ascii="宋体" w:eastAsia="宋体" w:hAnsi="宋体" w:cs="Times New Roman" w:hint="eastAsia"/>
          <w:b w:val="0"/>
          <w:bCs w:val="0"/>
          <w:kern w:val="2"/>
          <w:sz w:val="21"/>
          <w:szCs w:val="24"/>
          <w:lang w:val="en-US" w:eastAsia="zh-CN" w:bidi="ar-SA"/>
        </w:rPr>
        <w:t>备查</w:t>
      </w:r>
      <w:r>
        <w:rPr>
          <w:rFonts w:ascii="宋体" w:hAnsi="宋体" w:cs="Times New Roman" w:hint="eastAsia"/>
          <w:b w:val="0"/>
          <w:bCs w:val="0"/>
          <w:kern w:val="2"/>
          <w:sz w:val="21"/>
          <w:szCs w:val="24"/>
          <w:lang w:val="en-US" w:eastAsia="zh-CN" w:bidi="ar-SA"/>
        </w:rPr>
        <w:t>”，</w:t>
      </w:r>
      <w:r>
        <w:rPr>
          <w:rFonts w:ascii="宋体" w:eastAsia="宋体" w:hAnsi="宋体" w:cs="Times New Roman" w:hint="eastAsia"/>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pPr>
        <w:ind w:firstLine="412" w:firstLineChars="196"/>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pPr>
        <w:ind w:firstLine="412" w:firstLineChars="196"/>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pPr>
        <w:ind w:firstLine="412" w:firstLineChars="196"/>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2" w:firstLineChars="196"/>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6"/>
    </w:p>
    <w:p>
      <w:pPr>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投标文件的编制</w:t>
      </w:r>
    </w:p>
    <w:p>
      <w:pPr>
        <w:rPr>
          <w:rFonts w:ascii="黑体" w:eastAsia="黑体" w:hAnsi="宋体"/>
          <w:sz w:val="24"/>
        </w:rPr>
      </w:pPr>
      <w:r>
        <w:rPr>
          <w:rFonts w:ascii="黑体" w:eastAsia="黑体" w:hAnsi="宋体" w:hint="eastAsia"/>
          <w:sz w:val="24"/>
        </w:rPr>
        <w:t>14．</w:t>
      </w:r>
      <w:bookmarkStart w:id="97" w:name="_Hlk72400236"/>
      <w:r>
        <w:rPr>
          <w:rFonts w:ascii="黑体" w:eastAsia="黑体" w:hAnsi="宋体" w:hint="eastAsia"/>
          <w:sz w:val="24"/>
        </w:rPr>
        <w:t>投标文件的语言及度量单位</w:t>
      </w:r>
    </w:p>
    <w:p>
      <w:pPr>
        <w:ind w:firstLine="412" w:firstLineChars="196"/>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2" w:firstLineChars="196"/>
        <w:rPr>
          <w:rFonts w:ascii="宋体" w:hAnsi="宋体"/>
          <w:szCs w:val="21"/>
        </w:rPr>
      </w:pPr>
      <w:r>
        <w:rPr>
          <w:rFonts w:ascii="宋体" w:hAnsi="宋体" w:hint="eastAsia"/>
          <w:szCs w:val="21"/>
        </w:rPr>
        <w:t>14.2 除技术规范另有规定外，投标文件使用的度量单位，均采用中华人民共和国法定计量单位。</w:t>
      </w:r>
    </w:p>
    <w:p>
      <w:pPr>
        <w:rPr>
          <w:rFonts w:ascii="黑体" w:eastAsia="黑体" w:hAnsi="宋体"/>
          <w:sz w:val="24"/>
        </w:rPr>
      </w:pPr>
      <w:bookmarkEnd w:id="97"/>
      <w:r>
        <w:rPr>
          <w:rFonts w:ascii="黑体" w:eastAsia="黑体" w:hAnsi="宋体" w:hint="eastAsia"/>
          <w:sz w:val="24"/>
        </w:rPr>
        <w:t>15．</w:t>
      </w:r>
      <w:bookmarkStart w:id="98" w:name="_Hlk72401567"/>
      <w:r>
        <w:rPr>
          <w:rFonts w:ascii="黑体" w:eastAsia="黑体" w:hAnsi="宋体" w:hint="eastAsia"/>
          <w:sz w:val="24"/>
        </w:rPr>
        <w:t>投标文件的组成</w:t>
      </w:r>
    </w:p>
    <w:p>
      <w:pPr>
        <w:ind w:firstLine="412" w:firstLineChars="196"/>
        <w:rPr>
          <w:rFonts w:ascii="宋体" w:hAnsi="宋体"/>
          <w:szCs w:val="21"/>
        </w:rPr>
      </w:pPr>
      <w:r>
        <w:rPr>
          <w:rFonts w:ascii="宋体" w:hAnsi="宋体" w:hint="eastAsia"/>
          <w:szCs w:val="21"/>
        </w:rPr>
        <w:t>具体内容在招标文件专用条款中进行规定。</w:t>
      </w:r>
    </w:p>
    <w:p>
      <w:pPr>
        <w:rPr>
          <w:rFonts w:ascii="黑体" w:eastAsia="黑体" w:hAnsi="宋体"/>
          <w:sz w:val="24"/>
        </w:rPr>
      </w:pPr>
      <w:r>
        <w:rPr>
          <w:rFonts w:ascii="黑体" w:eastAsia="黑体" w:hAnsi="宋体"/>
          <w:sz w:val="24"/>
        </w:rPr>
        <w:t>16．投标文件格式</w:t>
      </w:r>
    </w:p>
    <w:p>
      <w:pPr>
        <w:ind w:firstLine="412" w:firstLineChars="196"/>
        <w:rPr>
          <w:rFonts w:ascii="宋体" w:hAnsi="宋体"/>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pPr>
        <w:rPr>
          <w:rFonts w:ascii="黑体" w:eastAsia="黑体" w:hAnsi="宋体"/>
          <w:sz w:val="24"/>
        </w:rPr>
      </w:pPr>
      <w:r>
        <w:rPr>
          <w:rFonts w:ascii="黑体" w:eastAsia="黑体" w:hAnsi="宋体" w:hint="eastAsia"/>
          <w:sz w:val="24"/>
        </w:rPr>
        <w:t>17．投标货币</w:t>
      </w:r>
    </w:p>
    <w:p>
      <w:pPr>
        <w:ind w:firstLine="412" w:firstLineChars="196"/>
        <w:rPr>
          <w:rFonts w:ascii="宋体" w:hAnsi="宋体"/>
          <w:szCs w:val="21"/>
        </w:rPr>
      </w:pPr>
      <w:r>
        <w:rPr>
          <w:rFonts w:ascii="宋体" w:hAnsi="宋体" w:hint="eastAsia"/>
          <w:szCs w:val="21"/>
        </w:rPr>
        <w:t>本项目的投标报价应以人民币计。</w:t>
      </w:r>
    </w:p>
    <w:p>
      <w:pPr>
        <w:rPr>
          <w:rFonts w:ascii="黑体" w:eastAsia="黑体" w:hAnsi="宋体"/>
          <w:sz w:val="24"/>
        </w:rPr>
      </w:pPr>
      <w:bookmarkEnd w:id="98"/>
      <w:r>
        <w:rPr>
          <w:rFonts w:ascii="黑体" w:eastAsia="黑体" w:hAnsi="宋体" w:hint="eastAsia"/>
          <w:sz w:val="24"/>
        </w:rPr>
        <w:t>18．</w:t>
      </w:r>
      <w:bookmarkStart w:id="99" w:name="_Hlk72401735"/>
      <w:r>
        <w:rPr>
          <w:rFonts w:ascii="黑体" w:eastAsia="黑体" w:hAnsi="宋体" w:hint="eastAsia"/>
          <w:sz w:val="24"/>
        </w:rPr>
        <w:t>证明投标文件投标技术方案的合格性和符合招标文件规定的文件要求</w:t>
      </w:r>
    </w:p>
    <w:p>
      <w:pPr>
        <w:ind w:firstLine="412" w:firstLineChars="196"/>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2" w:firstLineChars="196"/>
        <w:rPr>
          <w:rFonts w:ascii="宋体" w:hAnsi="宋体"/>
          <w:szCs w:val="21"/>
        </w:rPr>
      </w:pPr>
      <w:r>
        <w:rPr>
          <w:rFonts w:ascii="宋体" w:hAnsi="宋体" w:hint="eastAsia"/>
          <w:szCs w:val="21"/>
        </w:rPr>
        <w:t>18.2.1主要技术指标和性能的详细说明。</w:t>
      </w:r>
    </w:p>
    <w:p>
      <w:pPr>
        <w:ind w:firstLine="412" w:firstLineChars="196"/>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pPr>
        <w:ind w:firstLine="412" w:firstLineChars="196"/>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2" w:firstLineChars="196"/>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pPr>
        <w:ind w:firstLine="412" w:firstLineChars="196"/>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2" w:firstLineChars="196"/>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pPr>
        <w:ind w:firstLine="412" w:firstLineChars="196"/>
        <w:rPr>
          <w:rFonts w:ascii="宋体" w:hAnsi="宋体"/>
          <w:szCs w:val="21"/>
        </w:rPr>
      </w:pPr>
      <w:r>
        <w:rPr>
          <w:rFonts w:ascii="宋体" w:hAnsi="宋体" w:hint="eastAsia"/>
          <w:szCs w:val="21"/>
        </w:rPr>
        <w:t>18.5除非另有规定或说明，投标人对同一项目投标时，不得同时提供两套或两套以上的投标方案。</w:t>
      </w:r>
    </w:p>
    <w:p>
      <w:pPr>
        <w:rPr>
          <w:rFonts w:ascii="黑体" w:eastAsia="黑体" w:hAnsi="宋体"/>
          <w:sz w:val="24"/>
        </w:rPr>
      </w:pPr>
      <w:bookmarkEnd w:id="99"/>
      <w:r>
        <w:rPr>
          <w:rFonts w:ascii="黑体" w:eastAsia="黑体" w:hAnsi="宋体" w:hint="eastAsia"/>
          <w:sz w:val="24"/>
        </w:rPr>
        <w:t>19．</w:t>
      </w:r>
      <w:bookmarkStart w:id="100" w:name="_Hlk72402034"/>
      <w:r>
        <w:rPr>
          <w:rFonts w:ascii="黑体" w:eastAsia="黑体" w:hAnsi="宋体" w:hint="eastAsia"/>
          <w:sz w:val="24"/>
        </w:rPr>
        <w:t>投标文件其他证明文件的要求</w:t>
      </w:r>
    </w:p>
    <w:p>
      <w:pPr>
        <w:rPr>
          <w:rFonts w:ascii="宋体" w:hAnsi="宋体"/>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01" w:name="_Hlk71407299"/>
      <w:r>
        <w:rPr>
          <w:rFonts w:ascii="宋体" w:hAnsi="宋体" w:hint="eastAsia"/>
          <w:szCs w:val="21"/>
        </w:rPr>
        <w:t>若投标人未按要求提供证明材料或提供的是部分证明材料或提供不清晰的扫描件（或照片）的，采购人</w:t>
      </w:r>
      <w:r>
        <w:rPr>
          <w:rFonts w:ascii="宋体" w:hAnsi="宋体" w:hint="eastAsia"/>
          <w:szCs w:val="21"/>
          <w:lang w:eastAsia="zh-CN"/>
        </w:rPr>
        <w:t>、</w:t>
      </w:r>
      <w:r>
        <w:rPr>
          <w:rFonts w:ascii="宋体" w:hAnsi="宋体" w:hint="eastAsia"/>
          <w:szCs w:val="21"/>
        </w:rPr>
        <w:t>代理机构</w:t>
      </w:r>
      <w:r>
        <w:rPr>
          <w:rFonts w:ascii="宋体" w:hAnsi="宋体" w:hint="eastAsia"/>
          <w:szCs w:val="21"/>
          <w:lang w:val="en-US" w:eastAsia="zh-CN"/>
        </w:rPr>
        <w:t>及</w:t>
      </w:r>
      <w:r>
        <w:rPr>
          <w:rFonts w:ascii="宋体" w:hAnsi="宋体" w:hint="eastAsia"/>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pPr>
        <w:ind w:firstLine="412" w:firstLineChars="196"/>
        <w:rPr>
          <w:rFonts w:ascii="宋体" w:hAnsi="宋体"/>
          <w:szCs w:val="21"/>
        </w:rPr>
      </w:pPr>
      <w:bookmarkEnd w:id="101"/>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eastAsia="黑体" w:hAnsi="宋体"/>
          <w:sz w:val="24"/>
        </w:rPr>
      </w:pPr>
      <w:r>
        <w:rPr>
          <w:rFonts w:ascii="黑体" w:eastAsia="黑体" w:hAnsi="宋体" w:hint="eastAsia"/>
          <w:sz w:val="24"/>
        </w:rPr>
        <w:t>20．投标有效期</w:t>
      </w:r>
    </w:p>
    <w:p>
      <w:pPr>
        <w:ind w:firstLine="412" w:firstLineChars="196"/>
        <w:rPr>
          <w:rFonts w:ascii="宋体" w:hAnsi="宋体"/>
          <w:szCs w:val="21"/>
        </w:rPr>
      </w:pPr>
      <w:bookmarkEnd w:id="100"/>
      <w:bookmarkStart w:id="102" w:name="_Hlk7240221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pPr>
        <w:ind w:firstLine="412" w:firstLineChars="196"/>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2" w:firstLineChars="196"/>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p>
      <w:pPr>
        <w:rPr>
          <w:rFonts w:ascii="黑体" w:eastAsia="黑体" w:hAnsi="宋体"/>
          <w:sz w:val="24"/>
        </w:rPr>
      </w:pPr>
      <w:bookmarkEnd w:id="102"/>
      <w:r>
        <w:rPr>
          <w:rFonts w:ascii="黑体" w:eastAsia="黑体" w:hAnsi="宋体" w:hint="eastAsia"/>
          <w:sz w:val="24"/>
        </w:rPr>
        <w:t>21．</w:t>
      </w:r>
      <w:bookmarkStart w:id="103" w:name="_Hlk72402325"/>
      <w:r>
        <w:rPr>
          <w:rFonts w:ascii="黑体" w:eastAsia="黑体" w:hAnsi="宋体" w:hint="eastAsia"/>
          <w:sz w:val="24"/>
        </w:rPr>
        <w:t xml:space="preserve">关于投标保证金 </w:t>
      </w:r>
    </w:p>
    <w:p>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eastAsia="黑体" w:hAnsi="宋体"/>
          <w:sz w:val="24"/>
        </w:rPr>
      </w:pPr>
      <w:r>
        <w:rPr>
          <w:rFonts w:ascii="黑体" w:eastAsia="黑体" w:hAnsi="宋体" w:hint="eastAsia"/>
          <w:sz w:val="24"/>
        </w:rPr>
        <w:t>22．投标人的替代方案</w:t>
      </w:r>
    </w:p>
    <w:p>
      <w:pPr>
        <w:ind w:firstLine="412" w:firstLineChars="196"/>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2" w:firstLineChars="196"/>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eastAsia="黑体" w:hAnsi="宋体"/>
          <w:sz w:val="24"/>
        </w:rPr>
      </w:pPr>
      <w:bookmarkEnd w:id="103"/>
      <w:r>
        <w:rPr>
          <w:rFonts w:ascii="黑体" w:eastAsia="黑体" w:hAnsi="宋体" w:hint="eastAsia"/>
          <w:sz w:val="24"/>
        </w:rPr>
        <w:t>23．</w:t>
      </w:r>
      <w:bookmarkStart w:id="104"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pPr>
        <w:ind w:firstLine="412" w:firstLineChars="196"/>
        <w:rPr>
          <w:rFonts w:ascii="宋体" w:hAnsi="宋体"/>
        </w:rPr>
      </w:pPr>
      <w:r>
        <w:rPr>
          <w:rFonts w:ascii="宋体" w:hAnsi="宋体" w:hint="eastAsia"/>
        </w:rPr>
        <w:t>23.1投标人应准备所投项目的电子投标文件一份。此电子投标文件须由投标人根据政府集中采购机构提供的后缀名为.</w:t>
      </w:r>
      <w:r>
        <w:t xml:space="preserve"> </w:t>
      </w:r>
      <w:r>
        <w:rPr>
          <w:rFonts w:ascii="宋体" w:hAnsi="宋体"/>
        </w:rPr>
        <w:t>szczf</w:t>
      </w:r>
      <w:r>
        <w:rPr>
          <w:rFonts w:ascii="宋体" w:hAnsi="宋体" w:hint="eastAsia"/>
        </w:rPr>
        <w:t>的电子招标文件，下载并使用相应的深圳智慧采购平台投标文件制作专用软件打开招标文件（.szczf格式）【下载地址：</w:t>
      </w:r>
      <w:r>
        <w:rPr>
          <w:rFonts w:ascii="宋体" w:hAnsi="宋体"/>
        </w:rPr>
        <w:t>http://zfcg.szggzy.com:8081/cgxy/013002/list.html</w:t>
      </w:r>
      <w:r>
        <w:rPr>
          <w:rFonts w:ascii="宋体" w:hAnsi="宋体" w:hint="eastAsia"/>
        </w:rPr>
        <w:t>】。</w:t>
      </w:r>
    </w:p>
    <w:p>
      <w:pPr>
        <w:ind w:firstLine="412" w:firstLineChars="196"/>
        <w:rPr>
          <w:rFonts w:ascii="宋体" w:hAnsi="宋体"/>
        </w:rPr>
      </w:pPr>
      <w:r>
        <w:rPr>
          <w:rFonts w:ascii="宋体" w:hAnsi="宋体" w:hint="eastAsia"/>
        </w:rPr>
        <w:t>23.2投标人在使用《投标书编制软件》编制投标书时须注意：</w:t>
      </w:r>
    </w:p>
    <w:p>
      <w:pPr>
        <w:ind w:firstLine="412" w:firstLineChars="196"/>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pPr>
        <w:ind w:firstLine="412" w:firstLineChars="196"/>
        <w:rPr>
          <w:rFonts w:ascii="宋体" w:hAnsi="宋体"/>
        </w:rPr>
      </w:pPr>
      <w:r>
        <w:rPr>
          <w:rFonts w:ascii="宋体" w:hAnsi="宋体" w:hint="eastAsia"/>
        </w:rPr>
        <w:t>23.2.2不能用非本公司的电子密钥加密本公司的投标文件，或者用其它公司的登录用户上传本公司的投标文件。</w:t>
      </w:r>
    </w:p>
    <w:p>
      <w:pPr>
        <w:ind w:firstLine="412" w:firstLineChars="196"/>
        <w:rPr>
          <w:rFonts w:ascii="宋体" w:hAnsi="宋体"/>
        </w:rPr>
      </w:pPr>
      <w:r>
        <w:rPr>
          <w:rFonts w:ascii="宋体" w:hAnsi="宋体" w:hint="eastAsia"/>
        </w:rPr>
        <w:t>23.2.3要求用《投标书编制软件》编制投标书的包，不能用其它方式编制投标书。编制投标文件时，电脑须连通互联网。</w:t>
      </w:r>
    </w:p>
    <w:p>
      <w:pPr>
        <w:ind w:firstLine="412" w:firstLineChars="196"/>
        <w:rPr>
          <w:rFonts w:ascii="宋体" w:hAnsi="宋体"/>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pPr>
        <w:ind w:firstLine="412" w:firstLineChars="196"/>
        <w:rPr>
          <w:rFonts w:ascii="宋体" w:hAnsi="宋体"/>
        </w:rPr>
      </w:pPr>
      <w:r>
        <w:rPr>
          <w:rFonts w:ascii="宋体" w:hAnsi="宋体" w:hint="eastAsia"/>
        </w:rPr>
        <w:t>23.2.5完整填写“投标关键信息”，如下图所示：</w:t>
      </w:r>
    </w:p>
    <w:p>
      <w:pPr>
        <w:rPr>
          <w:rFonts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widowControl/>
        <w:jc w:val="left"/>
        <w:rPr>
          <w:rFonts w:ascii="宋体" w:hAnsi="宋体" w:cs="宋体"/>
          <w:kern w:val="0"/>
          <w:sz w:val="24"/>
        </w:rPr>
      </w:pPr>
    </w:p>
    <w:p>
      <w:pPr>
        <w:ind w:firstLine="412" w:firstLineChars="196"/>
        <w:rPr>
          <w:rFonts w:ascii="宋体" w:hAnsi="宋体"/>
          <w:b/>
        </w:rPr>
      </w:pPr>
      <w:r>
        <w:rPr>
          <w:rFonts w:ascii="宋体" w:hAnsi="宋体" w:hint="eastAsia"/>
          <w:b/>
        </w:rPr>
        <w:t>备注：上述“开标一览表”中的“投标报价”将作为价格分计算依据；其它信息仅是对投标文件相关内容的概括性表述，不作为评审依据。</w:t>
      </w:r>
    </w:p>
    <w:p>
      <w:pPr>
        <w:ind w:firstLine="412" w:firstLineChars="196"/>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pPr>
        <w:ind w:firstLine="412" w:firstLineChars="196"/>
        <w:rPr>
          <w:rFonts w:ascii="宋体" w:hAnsi="宋体"/>
        </w:rPr>
      </w:pPr>
      <w:r>
        <w:rPr>
          <w:rFonts w:ascii="宋体" w:hAnsi="宋体" w:hint="eastAsia"/>
        </w:rPr>
        <w:t>23.2.7投标文件编写完成后，</w:t>
      </w:r>
      <w:r>
        <w:rPr>
          <w:rFonts w:ascii="宋体" w:hAnsi="宋体" w:hint="eastAsia"/>
          <w:b/>
        </w:rPr>
        <w:t>必须用属于投标人的电子密钥</w:t>
      </w:r>
      <w:r>
        <w:rPr>
          <w:rFonts w:ascii="宋体" w:hAnsi="宋体" w:hint="eastAsia"/>
          <w:b/>
          <w:lang w:val="en-US" w:eastAsia="zh-CN"/>
        </w:rPr>
        <w:t>或电子营业执照</w:t>
      </w:r>
      <w:r>
        <w:rPr>
          <w:rFonts w:ascii="宋体" w:hAnsi="宋体" w:hint="eastAsia"/>
          <w:b/>
        </w:rPr>
        <w:t>进行加密，否则视同未盖公章，将导致投标文件无效。</w:t>
      </w:r>
    </w:p>
    <w:p>
      <w:pPr>
        <w:ind w:firstLine="412" w:firstLineChars="196"/>
        <w:rPr>
          <w:rFonts w:ascii="宋体" w:hAnsi="宋体"/>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2" w:firstLineChars="196"/>
        <w:rPr>
          <w:rFonts w:ascii="宋体" w:hAnsi="宋体"/>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pPr>
        <w:ind w:firstLine="412" w:firstLineChars="196"/>
        <w:rPr>
          <w:rFonts w:ascii="宋体" w:hAnsi="宋体"/>
        </w:rPr>
      </w:pPr>
      <w:r>
        <w:rPr>
          <w:rFonts w:ascii="宋体" w:hAnsi="宋体" w:hint="eastAsia"/>
        </w:rPr>
        <w:t>23.3电报、电话、传真形式的投标概不接受。</w:t>
      </w:r>
    </w:p>
    <w:p>
      <w:pPr>
        <w:ind w:firstLine="412" w:firstLineChars="196"/>
        <w:rPr>
          <w:rFonts w:ascii="宋体" w:hAnsi="宋体"/>
          <w:b/>
        </w:rPr>
      </w:pPr>
      <w:r>
        <w:rPr>
          <w:rFonts w:ascii="宋体" w:hAnsi="宋体" w:hint="eastAsia"/>
          <w:b/>
        </w:rPr>
        <w:t>23.4经投标人电子密钥</w:t>
      </w:r>
      <w:r>
        <w:rPr>
          <w:rFonts w:ascii="宋体" w:hAnsi="宋体" w:hint="eastAsia"/>
          <w:b/>
          <w:lang w:val="en-US" w:eastAsia="zh-CN"/>
        </w:rPr>
        <w:t>或电子营业执照</w:t>
      </w:r>
      <w:r>
        <w:rPr>
          <w:rFonts w:ascii="宋体" w:hAnsi="宋体" w:hint="eastAsia"/>
          <w:b/>
        </w:rPr>
        <w:t>加密的投标文件无须盖章或签字，</w:t>
      </w:r>
      <w:r>
        <w:rPr>
          <w:rFonts w:ascii="宋体" w:hAnsi="宋体" w:hint="eastAsia"/>
        </w:rPr>
        <w:t>专用条款另有要求的除外。</w:t>
      </w:r>
    </w:p>
    <w:p>
      <w:pPr>
        <w:ind w:firstLine="412" w:firstLineChars="196"/>
        <w:rPr>
          <w:rFonts w:ascii="宋体" w:hAnsi="宋体"/>
        </w:rPr>
      </w:pPr>
      <w:r>
        <w:rPr>
          <w:rFonts w:ascii="宋体" w:hAnsi="宋体" w:hint="eastAsia"/>
          <w:b w:val="0"/>
          <w:bCs/>
        </w:rPr>
        <w:t xml:space="preserve">23.5 </w:t>
      </w:r>
      <w:r>
        <w:rPr>
          <w:rFonts w:ascii="宋体" w:hAnsi="宋体" w:hint="eastAsia"/>
        </w:rPr>
        <w:t>各类资格（资质）文件提供扫描件，专用条款另有要求的除外。</w:t>
      </w:r>
      <w:bookmarkEnd w:id="104"/>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投标文件的递交</w:t>
      </w:r>
    </w:p>
    <w:p>
      <w:pPr>
        <w:rPr>
          <w:rFonts w:ascii="黑体" w:eastAsia="黑体" w:hAnsi="宋体"/>
          <w:sz w:val="24"/>
        </w:rPr>
      </w:pPr>
      <w:bookmarkStart w:id="105" w:name="_Hlk72405459"/>
      <w:r>
        <w:rPr>
          <w:rFonts w:ascii="黑体" w:eastAsia="黑体" w:hAnsi="宋体" w:hint="eastAsia"/>
          <w:sz w:val="24"/>
        </w:rPr>
        <w:t>24．投标文件的保密</w:t>
      </w:r>
    </w:p>
    <w:p>
      <w:pPr>
        <w:ind w:firstLine="412" w:firstLineChars="196"/>
        <w:rPr>
          <w:rFonts w:ascii="宋体" w:hAnsi="宋体"/>
        </w:rPr>
      </w:pPr>
      <w:r>
        <w:rPr>
          <w:rFonts w:ascii="宋体" w:hAnsi="宋体" w:hint="eastAsia"/>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ascii="宋体" w:hAnsi="宋体" w:hint="eastAsia"/>
          <w:lang w:val="en-US" w:eastAsia="zh-CN"/>
        </w:rPr>
        <w:t>投</w:t>
      </w:r>
      <w:r>
        <w:rPr>
          <w:rFonts w:ascii="宋体" w:hAnsi="宋体" w:hint="eastAsia"/>
        </w:rPr>
        <w:t>标文件自动进行加密，此加密程序确保投标文件在到达投标截止时间后才能解密查看。在加密过程中，请按照软件提示进行操作。加密界面如下图所示：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ind w:firstLine="420" w:firstLineChars="200"/>
        <w:rPr>
          <w:sz w:val="24"/>
        </w:rPr>
      </w:pPr>
    </w:p>
    <w:p>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pPr>
        <w:ind w:firstLine="412" w:firstLineChars="196"/>
        <w:rPr>
          <w:rFonts w:ascii="宋体" w:hAnsi="宋体"/>
          <w:b w:val="0"/>
        </w:rPr>
      </w:pPr>
    </w:p>
    <w:p>
      <w:pPr>
        <w:rPr>
          <w:rFonts w:ascii="宋体" w:hAnsi="宋体"/>
          <w:b/>
        </w:rPr>
      </w:pPr>
      <w:r>
        <w:rPr>
          <w:rFonts w:ascii="黑体" w:eastAsia="黑体" w:hAnsi="宋体" w:hint="eastAsia"/>
          <w:sz w:val="24"/>
        </w:rPr>
        <w:t>24.2若采购项目出现延期情况：</w:t>
      </w:r>
    </w:p>
    <w:p>
      <w:pPr>
        <w:ind w:firstLine="420" w:firstLineChars="200"/>
        <w:rPr>
          <w:rFonts w:ascii="黑体" w:eastAsia="黑体" w:hAnsi="宋体"/>
          <w:b/>
          <w:sz w:val="24"/>
        </w:rPr>
      </w:pPr>
      <w:r>
        <w:rPr>
          <w:rFonts w:ascii="宋体" w:hAnsi="宋体" w:hint="eastAsia"/>
        </w:rPr>
        <w:t>如果供下载的招标文件（后缀名为. szczf）有更新，</w:t>
      </w:r>
      <w:r>
        <w:rPr>
          <w:rFonts w:ascii="宋体" w:hAnsi="宋体" w:hint="eastAsia"/>
          <w:b/>
          <w:bCs/>
        </w:rPr>
        <w:t>投标人必须重新下载招标文件、重新制作投标文件、重新加密投标文件、重新上传投标文件</w:t>
      </w:r>
      <w:r>
        <w:rPr>
          <w:rFonts w:ascii="宋体" w:hAnsi="宋体" w:hint="eastAsia"/>
        </w:rPr>
        <w:t>；如果供下载的招标文件（后缀名为. szczf）没有更新，</w:t>
      </w:r>
      <w:r>
        <w:rPr>
          <w:rFonts w:ascii="宋体" w:hAnsi="宋体" w:hint="eastAsia"/>
          <w:b/>
          <w:bCs/>
        </w:rPr>
        <w:t>投标人必须重新加密投标文件、重新上传投标文件</w:t>
      </w:r>
      <w:r>
        <w:rPr>
          <w:rFonts w:ascii="宋体" w:hAnsi="宋体" w:hint="eastAsia"/>
          <w:b w:val="0"/>
          <w:bCs w:val="0"/>
        </w:rPr>
        <w:t>（是否重新制作投标文件根据项目实际情况定）</w:t>
      </w:r>
      <w:r>
        <w:rPr>
          <w:rFonts w:ascii="宋体" w:hAnsi="宋体" w:hint="eastAsia"/>
        </w:rPr>
        <w:t>。否则，投标人自行承担投标文件无法解密导致投标无效的后果。</w:t>
      </w:r>
    </w:p>
    <w:p>
      <w:pPr>
        <w:rPr>
          <w:rFonts w:ascii="黑体" w:eastAsia="黑体" w:hAnsi="宋体"/>
          <w:sz w:val="24"/>
        </w:rPr>
      </w:pPr>
      <w:r>
        <w:rPr>
          <w:rFonts w:ascii="黑体" w:eastAsia="黑体" w:hAnsi="宋体" w:hint="eastAsia"/>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textAlignment w:val="auto"/>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政府采购智慧平台用户网上办事子系统（http://zfcg.szggzy.com/TPBidder/memberLogin）”，用“【我的项目】→【项目流程】→【递交投标(应答)文件】”功能点上传投标文件。如上传过程中遇到问题，可拨打</w:t>
      </w:r>
      <w:r>
        <w:rPr>
          <w:rFonts w:ascii="宋体" w:hAnsi="宋体" w:hint="eastAsia"/>
          <w:lang w:val="en-US" w:eastAsia="zh-CN"/>
        </w:rPr>
        <w:t>采购公告中的技术支持电话</w:t>
      </w:r>
      <w:r>
        <w:rPr>
          <w:rFonts w:ascii="宋体" w:hAnsi="宋体" w:hint="eastAsia"/>
        </w:rPr>
        <w:t>。如多次上传均告失败，请在投标截止时间之前携带加密后的电子投标文件送达至</w:t>
      </w:r>
      <w:r>
        <w:rPr>
          <w:rFonts w:ascii="宋体" w:hAnsi="宋体" w:hint="eastAsia"/>
          <w:b/>
          <w:bCs/>
          <w:szCs w:val="21"/>
          <w:lang w:eastAsia="zh-CN"/>
        </w:rPr>
        <w:t>深圳公共资源交易中心（深圳交易集团有限公司</w:t>
      </w:r>
      <w:r>
        <w:rPr>
          <w:rFonts w:ascii="宋体" w:hAnsi="宋体" w:hint="eastAsia"/>
          <w:b/>
          <w:bCs/>
          <w:szCs w:val="21"/>
          <w:lang w:val="en-US" w:eastAsia="zh-CN"/>
        </w:rPr>
        <w:t>大鹏</w:t>
      </w:r>
      <w:r>
        <w:rPr>
          <w:rFonts w:ascii="宋体" w:hAnsi="宋体" w:hint="eastAsia"/>
          <w:b/>
          <w:bCs/>
          <w:szCs w:val="21"/>
          <w:lang w:eastAsia="zh-CN"/>
        </w:rPr>
        <w:t>分公司）</w:t>
      </w:r>
      <w:r>
        <w:rPr>
          <w:rFonts w:ascii="宋体" w:hAnsi="宋体" w:hint="eastAsia"/>
          <w:b/>
          <w:bCs/>
        </w:rPr>
        <w:t>（地址：</w:t>
      </w:r>
      <w:r>
        <w:rPr>
          <w:rFonts w:asciiTheme="minorEastAsia" w:eastAsiaTheme="minorEastAsia" w:hAnsiTheme="minorEastAsia" w:cstheme="minorEastAsia" w:hint="eastAsia"/>
          <w:b/>
          <w:bCs/>
          <w:color w:val="FF0000"/>
          <w:szCs w:val="21"/>
        </w:rPr>
        <w:t>深圳市大鹏新区葵涌街道生命科学产业园A8栋203室</w:t>
      </w:r>
      <w:r>
        <w:rPr>
          <w:rFonts w:ascii="宋体" w:hAnsi="宋体" w:hint="eastAsia"/>
          <w:b/>
          <w:bCs/>
        </w:rPr>
        <w:t>）</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pPr>
        <w:ind w:firstLine="412" w:firstLineChars="196"/>
        <w:rPr>
          <w:rFonts w:ascii="宋体" w:hAnsi="宋体"/>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2" w:firstLineChars="196"/>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pPr>
        <w:ind w:firstLine="412" w:firstLineChars="196"/>
        <w:rPr>
          <w:rFonts w:ascii="宋体" w:hAnsi="宋体"/>
        </w:rPr>
      </w:pPr>
    </w:p>
    <w:p>
      <w:pPr>
        <w:ind w:firstLine="412" w:firstLineChars="196"/>
        <w:rPr>
          <w:rFonts w:ascii="宋体" w:hAnsi="宋体"/>
        </w:rPr>
      </w:pPr>
    </w:p>
    <w:p>
      <w:pPr>
        <w:rPr>
          <w:rFonts w:ascii="黑体" w:eastAsia="黑体" w:hAnsi="宋体"/>
          <w:sz w:val="24"/>
        </w:rPr>
      </w:pPr>
      <w:bookmarkEnd w:id="105"/>
      <w:r>
        <w:rPr>
          <w:rFonts w:ascii="黑体" w:eastAsia="黑体" w:hAnsi="宋体" w:hint="eastAsia"/>
          <w:sz w:val="24"/>
        </w:rPr>
        <w:t>26. 样品、现场演示、方案讲解</w:t>
      </w:r>
    </w:p>
    <w:p>
      <w:pPr>
        <w:ind w:firstLine="412" w:firstLineChars="196"/>
        <w:rPr>
          <w:rFonts w:ascii="宋体" w:hAnsi="宋体"/>
          <w:szCs w:val="21"/>
        </w:rPr>
      </w:pPr>
      <w:r>
        <w:rPr>
          <w:rFonts w:ascii="宋体" w:hAnsi="宋体" w:hint="eastAsia"/>
          <w:szCs w:val="21"/>
        </w:rPr>
        <w:t>26.1 样品、现场演示、方案讲解等事项在招标文件专用条款中进行规定。</w:t>
      </w:r>
    </w:p>
    <w:p>
      <w:pPr>
        <w:rPr>
          <w:rFonts w:ascii="黑体" w:eastAsia="黑体" w:hAnsi="宋体"/>
          <w:sz w:val="24"/>
        </w:rPr>
      </w:pPr>
      <w:bookmarkStart w:id="106"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pPr>
        <w:ind w:firstLine="412" w:firstLineChars="196"/>
        <w:rPr>
          <w:rFonts w:ascii="宋体" w:hAnsi="宋体"/>
          <w:szCs w:val="21"/>
        </w:rPr>
      </w:pPr>
      <w:r>
        <w:rPr>
          <w:rFonts w:ascii="宋体" w:hAnsi="宋体" w:hint="eastAsia"/>
          <w:szCs w:val="21"/>
        </w:rPr>
        <w:t>27.4政府集中采购机构不退还投标文件，专用条款另有规定的除外。</w:t>
      </w:r>
    </w:p>
    <w:p>
      <w:pPr>
        <w:pStyle w:val="Heading2"/>
        <w:numPr>
          <w:ilvl w:val="0"/>
          <w:numId w:val="16"/>
        </w:numPr>
        <w:spacing w:before="120" w:beforeLines="50" w:after="120" w:afterLines="50"/>
        <w:ind w:left="562" w:hanging="562"/>
        <w:rPr>
          <w:sz w:val="28"/>
          <w:szCs w:val="28"/>
        </w:rPr>
      </w:pPr>
      <w:bookmarkEnd w:id="106"/>
      <w:r>
        <w:rPr>
          <w:rFonts w:hint="eastAsia"/>
          <w:sz w:val="28"/>
          <w:szCs w:val="28"/>
        </w:rPr>
        <w:t>开标</w:t>
      </w:r>
    </w:p>
    <w:p>
      <w:pPr>
        <w:rPr>
          <w:rFonts w:ascii="黑体" w:eastAsia="黑体" w:hAnsi="宋体"/>
          <w:sz w:val="24"/>
        </w:rPr>
      </w:pPr>
      <w:r>
        <w:rPr>
          <w:rFonts w:ascii="黑体" w:eastAsia="黑体" w:hAnsi="宋体" w:hint="eastAsia"/>
          <w:sz w:val="24"/>
        </w:rPr>
        <w:t>28．开标</w:t>
      </w:r>
    </w:p>
    <w:p>
      <w:pPr>
        <w:ind w:firstLine="359" w:firstLineChars="171"/>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315" w:firstLineChars="15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评审要求</w:t>
      </w:r>
    </w:p>
    <w:p>
      <w:pPr>
        <w:rPr>
          <w:rFonts w:ascii="黑体" w:eastAsia="黑体" w:hAnsi="宋体"/>
          <w:sz w:val="24"/>
        </w:rPr>
      </w:pPr>
      <w:r>
        <w:rPr>
          <w:rFonts w:ascii="黑体" w:eastAsia="黑体" w:hAnsi="宋体" w:hint="eastAsia"/>
          <w:sz w:val="24"/>
        </w:rPr>
        <w:t>29．评审委员会组成</w:t>
      </w:r>
    </w:p>
    <w:p>
      <w:pPr>
        <w:ind w:firstLine="412" w:firstLineChars="196"/>
        <w:rPr>
          <w:rFonts w:ascii="宋体" w:hAnsi="宋体"/>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pPr>
        <w:ind w:firstLine="412" w:firstLineChars="196"/>
        <w:rPr>
          <w:rFonts w:ascii="宋体" w:hAnsi="宋体" w:hint="eastAsia"/>
        </w:rPr>
      </w:pPr>
      <w:bookmarkStart w:id="107"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107"/>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eastAsia="宋体" w:hAnsi="宋体" w:cs="Times New Roman" w:hint="eastAsia"/>
          <w:b/>
          <w:bCs/>
          <w:color w:val="FF0000"/>
          <w:kern w:val="2"/>
          <w:sz w:val="21"/>
          <w:szCs w:val="24"/>
          <w:lang w:val="en-US" w:eastAsia="zh-CN" w:bidi="ar-SA"/>
        </w:rPr>
      </w:pPr>
      <w:r>
        <w:rPr>
          <w:rFonts w:ascii="宋体" w:eastAsia="宋体" w:hAnsi="宋体" w:cs="Times New Roman" w:hint="eastAsia"/>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12" w:firstLineChars="196"/>
        <w:rPr>
          <w:rFonts w:ascii="宋体" w:hAnsi="宋体"/>
        </w:rPr>
      </w:pPr>
      <w:r>
        <w:rPr>
          <w:rFonts w:ascii="宋体" w:hAnsi="宋体" w:hint="eastAsia"/>
        </w:rPr>
        <w:t>29.2评审定标应当遵循公平、公正、科学、择优的原则。</w:t>
      </w:r>
    </w:p>
    <w:p>
      <w:pPr>
        <w:ind w:firstLine="412" w:firstLineChars="196"/>
        <w:rPr>
          <w:rFonts w:ascii="宋体" w:hAnsi="宋体"/>
        </w:rPr>
      </w:pPr>
      <w:r>
        <w:rPr>
          <w:rFonts w:ascii="宋体" w:hAnsi="宋体" w:hint="eastAsia"/>
        </w:rPr>
        <w:t>29.3评审活动依法进行，任何单位和个人不得非法干预评标过程和结果。</w:t>
      </w:r>
    </w:p>
    <w:p>
      <w:pPr>
        <w:ind w:firstLine="412" w:firstLineChars="196"/>
        <w:rPr>
          <w:rFonts w:ascii="宋体" w:hAnsi="宋体"/>
        </w:rPr>
      </w:pPr>
      <w:r>
        <w:rPr>
          <w:rFonts w:ascii="宋体" w:hAnsi="宋体" w:hint="eastAsia"/>
        </w:rPr>
        <w:t>29.4评审过程中不允许违背评标程序或采用招标文件未载明的评标方法或评标因素进行评标。</w:t>
      </w:r>
    </w:p>
    <w:p>
      <w:pPr>
        <w:ind w:firstLine="412" w:firstLineChars="196"/>
        <w:rPr>
          <w:rFonts w:ascii="宋体" w:hAnsi="宋体"/>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pPr>
        <w:rPr>
          <w:rFonts w:ascii="黑体" w:eastAsia="黑体" w:hAnsi="宋体"/>
          <w:sz w:val="24"/>
        </w:rPr>
      </w:pPr>
      <w:r>
        <w:rPr>
          <w:rFonts w:ascii="黑体" w:eastAsia="黑体" w:hAnsi="宋体" w:hint="eastAsia"/>
          <w:sz w:val="24"/>
        </w:rPr>
        <w:t>30．向评审委员会提供的资料</w:t>
      </w:r>
    </w:p>
    <w:p>
      <w:pPr>
        <w:ind w:firstLine="412" w:firstLineChars="196"/>
        <w:rPr>
          <w:rFonts w:ascii="宋体" w:hAnsi="宋体"/>
        </w:rPr>
      </w:pPr>
      <w:r>
        <w:rPr>
          <w:rFonts w:ascii="宋体" w:hAnsi="宋体" w:hint="eastAsia"/>
        </w:rPr>
        <w:t>30.1公开发布的招标文件，包括图纸、服务清单、答疑文件等；</w:t>
      </w:r>
    </w:p>
    <w:p>
      <w:pPr>
        <w:ind w:firstLine="412" w:firstLineChars="196"/>
        <w:rPr>
          <w:rFonts w:ascii="宋体" w:hAnsi="宋体"/>
        </w:rPr>
      </w:pPr>
      <w:r>
        <w:rPr>
          <w:rFonts w:ascii="宋体" w:hAnsi="宋体" w:hint="eastAsia"/>
        </w:rPr>
        <w:t>30.2其他评标必须的资料。</w:t>
      </w:r>
    </w:p>
    <w:p>
      <w:pPr>
        <w:ind w:firstLine="412" w:firstLineChars="196"/>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pPr>
        <w:ind w:firstLine="412" w:firstLineChars="196"/>
        <w:rPr>
          <w:rFonts w:ascii="宋体" w:hAnsi="宋体"/>
        </w:rPr>
      </w:pPr>
      <w:r>
        <w:rPr>
          <w:rFonts w:ascii="宋体" w:hAnsi="宋体" w:hint="eastAsia"/>
        </w:rPr>
        <w:t>（1）招标的目的；</w:t>
      </w:r>
    </w:p>
    <w:p>
      <w:pPr>
        <w:ind w:firstLine="412" w:firstLineChars="196"/>
        <w:rPr>
          <w:rFonts w:ascii="宋体" w:hAnsi="宋体"/>
        </w:rPr>
      </w:pPr>
      <w:r>
        <w:rPr>
          <w:rFonts w:ascii="宋体" w:hAnsi="宋体" w:hint="eastAsia"/>
        </w:rPr>
        <w:t>（2）招标项目需求的范围和性质；</w:t>
      </w:r>
    </w:p>
    <w:p>
      <w:pPr>
        <w:ind w:firstLine="412" w:firstLineChars="196"/>
        <w:rPr>
          <w:rFonts w:ascii="宋体" w:hAnsi="宋体"/>
        </w:rPr>
      </w:pPr>
      <w:r>
        <w:rPr>
          <w:rFonts w:ascii="宋体" w:hAnsi="宋体" w:hint="eastAsia"/>
        </w:rPr>
        <w:t>（3）招标文件规定的投标人的资格、财政预算限额、商务条款；</w:t>
      </w:r>
    </w:p>
    <w:p>
      <w:pPr>
        <w:ind w:firstLine="412" w:firstLineChars="196"/>
        <w:rPr>
          <w:rFonts w:ascii="宋体" w:hAnsi="宋体"/>
        </w:rPr>
      </w:pPr>
      <w:r>
        <w:rPr>
          <w:rFonts w:ascii="宋体" w:hAnsi="宋体" w:hint="eastAsia"/>
        </w:rPr>
        <w:t>（4）招标文件规定的评标程序、评标方法和评标因素；</w:t>
      </w:r>
    </w:p>
    <w:p>
      <w:pPr>
        <w:ind w:firstLine="412" w:firstLineChars="196"/>
        <w:rPr>
          <w:rFonts w:ascii="宋体" w:hAnsi="宋体"/>
        </w:rPr>
      </w:pPr>
      <w:r>
        <w:rPr>
          <w:rFonts w:ascii="宋体" w:hAnsi="宋体" w:hint="eastAsia"/>
        </w:rPr>
        <w:t>（5）招标文件所列示的资格性审查表及符合性审查表。</w:t>
      </w:r>
    </w:p>
    <w:p>
      <w:pPr>
        <w:rPr>
          <w:rFonts w:ascii="黑体" w:eastAsia="黑体" w:hAnsi="宋体"/>
          <w:sz w:val="24"/>
        </w:rPr>
      </w:pPr>
      <w:r>
        <w:rPr>
          <w:rFonts w:ascii="黑体" w:eastAsia="黑体" w:hAnsi="宋体" w:hint="eastAsia"/>
          <w:sz w:val="24"/>
        </w:rPr>
        <w:t>31．独立评审</w:t>
      </w:r>
    </w:p>
    <w:p>
      <w:pPr>
        <w:ind w:firstLine="412" w:firstLineChars="196"/>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pPr>
        <w:ind w:firstLine="412" w:firstLineChars="196"/>
        <w:rPr>
          <w:rFonts w:ascii="宋体" w:hAnsi="宋体"/>
          <w:bCs/>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评审程序及评审方法</w:t>
      </w:r>
    </w:p>
    <w:p>
      <w:pPr>
        <w:rPr>
          <w:rFonts w:ascii="黑体" w:eastAsia="黑体" w:hAnsi="宋体"/>
          <w:sz w:val="24"/>
        </w:rPr>
      </w:pPr>
      <w:r>
        <w:rPr>
          <w:rFonts w:ascii="黑体" w:eastAsia="黑体" w:hAnsi="宋体" w:hint="eastAsia"/>
          <w:sz w:val="24"/>
        </w:rPr>
        <w:t>32．投标文件初审</w:t>
      </w:r>
    </w:p>
    <w:p>
      <w:pPr>
        <w:ind w:firstLine="412" w:firstLineChars="196"/>
        <w:rPr>
          <w:rFonts w:ascii="宋体" w:hAnsi="宋体"/>
        </w:rPr>
      </w:pPr>
      <w:r>
        <w:rPr>
          <w:rFonts w:ascii="宋体" w:hAnsi="宋体" w:hint="eastAsia"/>
        </w:rPr>
        <w:t>32.1投标文件初审包括资格性审查和符合性审查。</w:t>
      </w:r>
    </w:p>
    <w:p>
      <w:pPr>
        <w:ind w:firstLine="412" w:firstLineChars="196"/>
        <w:rPr>
          <w:rFonts w:ascii="宋体" w:hAnsi="宋体"/>
        </w:rPr>
      </w:pPr>
      <w:r>
        <w:rPr>
          <w:rFonts w:ascii="宋体" w:hAnsi="宋体" w:hint="eastAsia"/>
        </w:rPr>
        <w:t>资格性审查：依据法律法规和招标文件的规定，对投标文件中的资格证明等进行审查，以确定投标供应商是否具备投标资格。</w:t>
      </w:r>
    </w:p>
    <w:p>
      <w:pPr>
        <w:ind w:firstLine="412" w:firstLineChars="196"/>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pPr>
        <w:ind w:firstLine="412" w:firstLineChars="196"/>
        <w:rPr>
          <w:rFonts w:ascii="宋体" w:hAnsi="宋体"/>
        </w:rPr>
      </w:pPr>
      <w:r>
        <w:rPr>
          <w:rFonts w:ascii="宋体" w:hAnsi="宋体" w:hint="eastAsia"/>
        </w:rPr>
        <w:t>32.2 投标文件初审内容请详见《资格性审查表》和《符合性审查表》部分。投标人若有一条审查不通过则按投标无效处理。</w:t>
      </w:r>
    </w:p>
    <w:p>
      <w:pPr>
        <w:ind w:firstLine="412" w:firstLineChars="196"/>
        <w:rPr>
          <w:rFonts w:ascii="宋体" w:hAnsi="宋体"/>
          <w:bCs/>
        </w:rPr>
      </w:pPr>
      <w:r>
        <w:rPr>
          <w:rFonts w:ascii="宋体" w:hAnsi="宋体" w:hint="eastAsia"/>
          <w:bCs/>
        </w:rPr>
        <w:t>32.3 投标文件初审中关于供应商家数的计算:</w:t>
      </w:r>
    </w:p>
    <w:p>
      <w:pPr>
        <w:ind w:firstLine="412" w:firstLineChars="196"/>
        <w:rPr>
          <w:rFonts w:ascii="宋体" w:hAnsi="宋体"/>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2" w:firstLineChars="196"/>
        <w:rPr>
          <w:rFonts w:ascii="宋体" w:hAnsi="宋体"/>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pPr>
        <w:ind w:firstLine="412" w:firstLineChars="196"/>
        <w:rPr>
          <w:rFonts w:ascii="宋体" w:hAnsi="宋体"/>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pPr>
        <w:ind w:firstLine="412" w:firstLineChars="196"/>
        <w:rPr>
          <w:rFonts w:ascii="宋体" w:hAnsi="宋体"/>
        </w:rPr>
      </w:pPr>
      <w:r>
        <w:rPr>
          <w:rFonts w:ascii="宋体" w:hAnsi="宋体" w:hint="eastAsia"/>
        </w:rPr>
        <w:t>32.4投标人投标文件作无效处理的情形，具体包括但不限于以下：</w:t>
      </w:r>
    </w:p>
    <w:p>
      <w:pPr>
        <w:ind w:firstLine="412" w:firstLineChars="196"/>
      </w:pPr>
      <w:r>
        <w:rPr>
          <w:rFonts w:ascii="宋体" w:hAnsi="宋体" w:hint="eastAsia"/>
        </w:rPr>
        <w:t>32.4.1</w:t>
      </w:r>
      <w:r>
        <w:rPr>
          <w:rFonts w:hint="eastAsia"/>
        </w:rPr>
        <w:t>不同投标人的投标文件由同一单位或者同一个人编制，或者由同一个人分阶段参与编制；</w:t>
      </w:r>
    </w:p>
    <w:p>
      <w:pPr>
        <w:ind w:firstLine="412" w:firstLineChars="196"/>
      </w:pPr>
      <w:r>
        <w:rPr>
          <w:rFonts w:ascii="宋体" w:hAnsi="宋体"/>
        </w:rPr>
        <w:t>32.4.</w:t>
      </w:r>
      <w:r>
        <w:rPr>
          <w:rFonts w:ascii="宋体" w:hAnsi="宋体" w:hint="eastAsia"/>
        </w:rPr>
        <w:t>2</w:t>
      </w:r>
      <w:r>
        <w:rPr>
          <w:rFonts w:hint="eastAsia"/>
        </w:rPr>
        <w:t>不同投标人委托同一单位或者个人办理投标事宜；</w:t>
      </w:r>
    </w:p>
    <w:p>
      <w:pPr>
        <w:ind w:firstLine="412" w:firstLineChars="196"/>
        <w:rPr>
          <w:rFonts w:ascii="宋体" w:hAnsi="宋体"/>
        </w:rPr>
      </w:pPr>
      <w:r>
        <w:rPr>
          <w:rFonts w:ascii="宋体" w:hAnsi="宋体" w:hint="eastAsia"/>
        </w:rPr>
        <w:t>32.4.3不同投标人的投标文件载明的项目管理成员或者联系人员为同一人；</w:t>
      </w:r>
    </w:p>
    <w:p>
      <w:pPr>
        <w:ind w:firstLine="412" w:firstLineChars="196"/>
        <w:rPr>
          <w:rFonts w:ascii="宋体" w:hAnsi="宋体"/>
        </w:rPr>
      </w:pPr>
      <w:r>
        <w:rPr>
          <w:rFonts w:ascii="宋体" w:hAnsi="宋体" w:hint="eastAsia"/>
        </w:rPr>
        <w:t>32.4.4不同投标人的投标文件异常一致或者投标报价呈规律性差异；</w:t>
      </w:r>
    </w:p>
    <w:p>
      <w:pPr>
        <w:ind w:firstLine="412" w:firstLineChars="196"/>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pPr>
        <w:ind w:firstLine="412" w:firstLineChars="196"/>
        <w:rPr>
          <w:rFonts w:ascii="宋体" w:hAnsi="宋体"/>
        </w:rPr>
      </w:pPr>
      <w:r>
        <w:rPr>
          <w:rFonts w:ascii="宋体" w:hAnsi="宋体" w:hint="eastAsia"/>
        </w:rPr>
        <w:t>32.4.6投标供应商之间相互约定给予未中标的供应商利益补偿；</w:t>
      </w:r>
    </w:p>
    <w:p>
      <w:pPr>
        <w:ind w:firstLine="412" w:firstLineChars="196"/>
        <w:rPr>
          <w:rFonts w:ascii="宋体" w:hAnsi="宋体"/>
        </w:rPr>
      </w:pPr>
      <w:r>
        <w:rPr>
          <w:rFonts w:ascii="宋体" w:hAnsi="宋体" w:hint="eastAsia"/>
        </w:rPr>
        <w:t>32.4.7不同投标供应商的法定代表人、主要经营负责人、项目投标授权代表人、项目负责人、主要技术人员为同一人、属同一单位或者同一单位缴纳社会保险；</w:t>
      </w:r>
    </w:p>
    <w:p>
      <w:pPr>
        <w:ind w:firstLine="412" w:firstLineChars="196"/>
        <w:rPr>
          <w:rFonts w:ascii="宋体" w:hAnsi="宋体"/>
        </w:rPr>
      </w:pPr>
      <w:r>
        <w:rPr>
          <w:rFonts w:ascii="宋体" w:hAnsi="宋体" w:hint="eastAsia"/>
        </w:rPr>
        <w:t>32.4.8不同投标供应商的投标文件内容存在非正常一致；</w:t>
      </w:r>
    </w:p>
    <w:p>
      <w:pPr>
        <w:ind w:firstLine="412" w:firstLineChars="196"/>
        <w:rPr>
          <w:rFonts w:ascii="宋体" w:hAnsi="宋体"/>
        </w:rPr>
      </w:pPr>
      <w:r>
        <w:rPr>
          <w:rFonts w:ascii="宋体" w:hAnsi="宋体" w:hint="eastAsia"/>
        </w:rPr>
        <w:t>32.4.9在同一单位工作人员为两家以上（含两家）供应商进行同一项投标活动；</w:t>
      </w:r>
    </w:p>
    <w:p>
      <w:pPr>
        <w:ind w:firstLine="412" w:firstLineChars="196"/>
        <w:rPr>
          <w:rFonts w:ascii="宋体" w:hAnsi="宋体"/>
        </w:rPr>
      </w:pPr>
      <w:r>
        <w:rPr>
          <w:rFonts w:ascii="宋体" w:hAnsi="宋体" w:hint="eastAsia"/>
        </w:rPr>
        <w:t>32.4.10主管部门依照法律、法规认定的其他情形。</w:t>
      </w:r>
    </w:p>
    <w:p>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pPr>
        <w:rPr>
          <w:rFonts w:ascii="黑体" w:eastAsia="黑体" w:hAnsi="宋体"/>
          <w:sz w:val="24"/>
        </w:rPr>
      </w:pPr>
      <w:r>
        <w:rPr>
          <w:rFonts w:ascii="黑体" w:eastAsia="黑体" w:hAnsi="宋体" w:hint="eastAsia"/>
          <w:sz w:val="24"/>
        </w:rPr>
        <w:t>33．澄清有关问题</w:t>
      </w:r>
    </w:p>
    <w:p>
      <w:pPr>
        <w:ind w:firstLine="412" w:firstLineChars="196"/>
        <w:rPr>
          <w:rFonts w:ascii="宋体" w:hAnsi="宋体"/>
        </w:rPr>
      </w:pPr>
      <w:bookmarkStart w:id="108"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08"/>
    </w:p>
    <w:p>
      <w:pPr>
        <w:ind w:firstLine="412" w:firstLineChars="196"/>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2" w:firstLineChars="196"/>
        <w:rPr>
          <w:rFonts w:ascii="宋体" w:hAnsi="宋体"/>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pPr>
        <w:ind w:firstLine="412" w:firstLineChars="196"/>
        <w:rPr>
          <w:rFonts w:ascii="宋体" w:hAnsi="宋体"/>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2" w:firstLineChars="196"/>
        <w:rPr>
          <w:rFonts w:ascii="宋体" w:hAnsi="宋体"/>
          <w:szCs w:val="21"/>
        </w:rPr>
      </w:pPr>
      <w:r>
        <w:rPr>
          <w:rFonts w:ascii="宋体" w:hAnsi="宋体" w:hint="eastAsia"/>
          <w:szCs w:val="21"/>
        </w:rPr>
        <w:t>根据本通用条款第34条，凡属于评审委员会在评审中发现的算术错误进行核实的修改不在此列。</w:t>
      </w:r>
    </w:p>
    <w:p>
      <w:pPr>
        <w:rPr>
          <w:rFonts w:ascii="黑体" w:eastAsia="黑体" w:hAnsi="宋体"/>
          <w:sz w:val="24"/>
        </w:rPr>
      </w:pPr>
      <w:bookmarkStart w:id="109" w:name="_Toc73518151"/>
      <w:bookmarkStart w:id="110" w:name="_Toc73521581"/>
      <w:bookmarkStart w:id="111" w:name="_Toc73517673"/>
      <w:bookmarkStart w:id="112" w:name="_Toc73521669"/>
      <w:bookmarkStart w:id="113" w:name="_Toc100052400"/>
      <w:r>
        <w:rPr>
          <w:rFonts w:ascii="黑体" w:eastAsia="黑体" w:hAnsi="宋体" w:hint="eastAsia"/>
          <w:sz w:val="24"/>
        </w:rPr>
        <w:t>34．错误的修正</w:t>
      </w:r>
      <w:bookmarkEnd w:id="109"/>
      <w:bookmarkEnd w:id="110"/>
      <w:bookmarkEnd w:id="111"/>
      <w:bookmarkEnd w:id="112"/>
      <w:bookmarkEnd w:id="113"/>
    </w:p>
    <w:p>
      <w:pPr>
        <w:ind w:firstLine="412" w:firstLineChars="196"/>
        <w:rPr>
          <w:rFonts w:ascii="宋体" w:hAnsi="宋体"/>
          <w:szCs w:val="21"/>
        </w:rPr>
      </w:pPr>
      <w:r>
        <w:rPr>
          <w:rFonts w:ascii="宋体" w:hAnsi="宋体" w:hint="eastAsia"/>
          <w:szCs w:val="21"/>
        </w:rPr>
        <w:t>投标文件报价出现前后不一致的，除专用条款另有规定外，按照下列规定修正：</w:t>
      </w:r>
    </w:p>
    <w:p>
      <w:pPr>
        <w:ind w:firstLine="412" w:firstLineChars="196"/>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pPr>
        <w:ind w:firstLine="412" w:firstLineChars="196"/>
        <w:rPr>
          <w:rFonts w:ascii="宋体" w:hAnsi="宋体"/>
          <w:szCs w:val="21"/>
        </w:rPr>
      </w:pPr>
      <w:r>
        <w:rPr>
          <w:rFonts w:ascii="宋体" w:hAnsi="宋体" w:hint="eastAsia"/>
          <w:szCs w:val="21"/>
        </w:rPr>
        <w:t>34.2大写金额和小写金额不一致的，以大写金额为准；</w:t>
      </w:r>
    </w:p>
    <w:p>
      <w:pPr>
        <w:ind w:firstLine="412" w:firstLineChars="196"/>
        <w:rPr>
          <w:rFonts w:ascii="宋体" w:hAnsi="宋体"/>
          <w:szCs w:val="21"/>
        </w:rPr>
      </w:pPr>
      <w:r>
        <w:rPr>
          <w:rFonts w:ascii="宋体" w:hAnsi="宋体" w:hint="eastAsia"/>
          <w:szCs w:val="21"/>
        </w:rPr>
        <w:t>34.3单价金额小数点或者百分比有明显错位，以开标一览表的总价为准，并修改单价；</w:t>
      </w:r>
    </w:p>
    <w:p>
      <w:pPr>
        <w:ind w:firstLine="412" w:firstLineChars="196"/>
        <w:rPr>
          <w:rFonts w:ascii="宋体" w:hAnsi="宋体"/>
          <w:szCs w:val="21"/>
        </w:rPr>
      </w:pPr>
      <w:r>
        <w:rPr>
          <w:rFonts w:ascii="宋体" w:hAnsi="宋体" w:hint="eastAsia"/>
          <w:szCs w:val="21"/>
        </w:rPr>
        <w:t>34.4总价金额与按单价汇总金额不一致的，以单价金额计算结果为准。</w:t>
      </w:r>
    </w:p>
    <w:p>
      <w:pPr>
        <w:ind w:firstLine="412" w:firstLineChars="196"/>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pPr>
        <w:rPr>
          <w:rFonts w:ascii="黑体" w:eastAsia="黑体" w:hAnsi="宋体"/>
          <w:sz w:val="24"/>
        </w:rPr>
      </w:pPr>
      <w:r>
        <w:rPr>
          <w:rFonts w:ascii="黑体" w:eastAsia="黑体" w:hAnsi="宋体" w:hint="eastAsia"/>
          <w:sz w:val="24"/>
        </w:rPr>
        <w:t>35．投标文件的比较与评价</w:t>
      </w:r>
    </w:p>
    <w:p>
      <w:pPr>
        <w:ind w:firstLine="412" w:firstLineChars="196"/>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2" w:firstLineChars="196"/>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pPr>
        <w:rPr>
          <w:rFonts w:ascii="黑体" w:eastAsia="黑体" w:hAnsi="宋体"/>
          <w:sz w:val="24"/>
        </w:rPr>
      </w:pPr>
      <w:r>
        <w:rPr>
          <w:rFonts w:ascii="黑体" w:eastAsia="黑体" w:hAnsi="宋体" w:hint="eastAsia"/>
          <w:sz w:val="24"/>
        </w:rPr>
        <w:t>36. 实地考察</w:t>
      </w:r>
    </w:p>
    <w:p>
      <w:pPr>
        <w:ind w:firstLine="412" w:firstLineChars="196"/>
        <w:rPr>
          <w:rFonts w:ascii="宋体" w:hAnsi="宋体"/>
          <w:szCs w:val="21"/>
        </w:rPr>
      </w:pPr>
      <w:r>
        <w:rPr>
          <w:rFonts w:ascii="宋体" w:hAnsi="宋体" w:hint="eastAsia"/>
          <w:szCs w:val="21"/>
        </w:rPr>
        <w:t>36.1</w:t>
      </w:r>
      <w:r>
        <w:rPr>
          <w:rFonts w:ascii="宋体" w:hAnsi="宋体" w:hint="eastAsia"/>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eastAsia="黑体" w:hAnsi="宋体"/>
          <w:sz w:val="24"/>
        </w:rPr>
      </w:pPr>
      <w:r>
        <w:rPr>
          <w:rFonts w:ascii="黑体" w:eastAsia="黑体" w:hAnsi="宋体" w:hint="eastAsia"/>
          <w:sz w:val="24"/>
        </w:rPr>
        <w:t>37．评审方法</w:t>
      </w:r>
    </w:p>
    <w:p>
      <w:pPr>
        <w:ind w:firstLine="412" w:firstLineChars="196"/>
        <w:rPr>
          <w:rFonts w:ascii="宋体" w:hAnsi="宋体"/>
          <w:b/>
          <w:bCs/>
          <w:szCs w:val="21"/>
        </w:rPr>
      </w:pPr>
      <w:r>
        <w:rPr>
          <w:rFonts w:ascii="宋体" w:hAnsi="宋体" w:hint="eastAsia"/>
          <w:b/>
          <w:bCs/>
          <w:szCs w:val="21"/>
        </w:rPr>
        <w:t>37.1.1最低价法</w:t>
      </w:r>
    </w:p>
    <w:p>
      <w:pPr>
        <w:ind w:firstLine="412" w:firstLineChars="196"/>
        <w:rPr>
          <w:rFonts w:ascii="ˎ̥" w:hAnsi="ˎ̥" w:hint="eastAsia"/>
          <w:lang w:eastAsia="zh-CN"/>
        </w:rPr>
      </w:pPr>
      <w:bookmarkStart w:id="114" w:name="_Hlk72438142"/>
      <w:r>
        <w:rPr>
          <w:rFonts w:ascii="ˎ̥" w:hAnsi="ˎ̥"/>
        </w:rPr>
        <w:t>最低价法，</w:t>
      </w:r>
      <w:r>
        <w:rPr>
          <w:rFonts w:ascii="ˎ̥" w:hAnsi="ˎ̥" w:hint="eastAsia"/>
        </w:rPr>
        <w:t>是指投标文件满足招标文件全部实质性要求，且投标报价最低的投标人为中标候选人的评标方法</w:t>
      </w:r>
      <w:r>
        <w:rPr>
          <w:rFonts w:ascii="ˎ̥" w:hAnsi="ˎ̥" w:hint="eastAsia"/>
          <w:lang w:eastAsia="zh-CN"/>
        </w:rPr>
        <w:t>。</w:t>
      </w:r>
    </w:p>
    <w:p>
      <w:pPr>
        <w:ind w:firstLine="412" w:firstLineChars="196"/>
        <w:rPr>
          <w:rFonts w:ascii="ˎ̥" w:eastAsia="宋体" w:hAnsi="ˎ̥" w:hint="eastAsia"/>
          <w:lang w:eastAsia="zh-CN"/>
        </w:rPr>
      </w:pPr>
      <w:r>
        <w:rPr>
          <w:rFonts w:ascii="ˎ̥" w:hAnsi="ˎ̥" w:hint="eastAsia"/>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37.1.2综合评分法</w:t>
      </w:r>
    </w:p>
    <w:p>
      <w:pPr>
        <w:ind w:firstLine="412" w:firstLineChars="196"/>
        <w:rPr>
          <w:rFonts w:ascii="ˎ̥" w:hAnsi="ˎ̥" w:hint="eastAsia"/>
          <w:lang w:eastAsia="zh-CN"/>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114"/>
      <w:r>
        <w:rPr>
          <w:rFonts w:ascii="ˎ̥" w:hAnsi="ˎ̥" w:hint="eastAsia"/>
          <w:lang w:eastAsia="zh-CN"/>
        </w:rPr>
        <w:t>。</w:t>
      </w:r>
    </w:p>
    <w:p>
      <w:pPr>
        <w:ind w:firstLine="412" w:firstLineChars="196"/>
        <w:rPr>
          <w:rFonts w:ascii="ˎ̥" w:hAnsi="ˎ̥" w:hint="eastAsia"/>
          <w:lang w:eastAsia="zh-CN"/>
        </w:rPr>
      </w:pPr>
      <w:r>
        <w:rPr>
          <w:rFonts w:ascii="ˎ̥" w:hAnsi="ˎ̥" w:hint="eastAsia"/>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37.2本项目采用的评审方法见本项目招标文件第一册“专用条款”的相关内容。</w:t>
      </w:r>
    </w:p>
    <w:p>
      <w:pPr>
        <w:ind w:firstLine="412" w:firstLineChars="196"/>
        <w:rPr>
          <w:rFonts w:ascii="宋体" w:hAnsi="宋体"/>
          <w:b/>
          <w:bCs/>
          <w:szCs w:val="21"/>
        </w:rPr>
      </w:pPr>
      <w:r>
        <w:rPr>
          <w:rFonts w:ascii="宋体" w:hAnsi="宋体" w:hint="eastAsia"/>
          <w:b/>
          <w:bCs/>
          <w:szCs w:val="21"/>
        </w:rPr>
        <w:t>37.3重新评审的情形</w:t>
      </w:r>
    </w:p>
    <w:p>
      <w:pPr>
        <w:ind w:firstLine="412" w:firstLineChars="196"/>
        <w:rPr>
          <w:rFonts w:ascii="宋体" w:hAnsi="宋体"/>
          <w:b/>
          <w:bCs/>
          <w:szCs w:val="21"/>
        </w:rPr>
      </w:pPr>
      <w:r>
        <w:rPr>
          <w:rFonts w:ascii="宋体" w:hAnsi="宋体" w:cs="宋体" w:hint="eastAsia"/>
          <w:kern w:val="0"/>
          <w:szCs w:val="21"/>
        </w:rPr>
        <w:t>评审结果汇总完成后，除下列情形外，任何人不得修改评审结果：</w:t>
      </w:r>
    </w:p>
    <w:p>
      <w:pPr>
        <w:ind w:firstLine="412" w:firstLineChars="196"/>
        <w:rPr>
          <w:rFonts w:ascii="宋体" w:hAnsi="宋体" w:cs="宋体"/>
          <w:kern w:val="0"/>
          <w:szCs w:val="21"/>
        </w:rPr>
      </w:pPr>
      <w:r>
        <w:rPr>
          <w:rFonts w:ascii="宋体" w:hAnsi="宋体" w:cs="宋体" w:hint="eastAsia"/>
          <w:kern w:val="0"/>
          <w:szCs w:val="21"/>
        </w:rPr>
        <w:t>37.3.1分值汇总计算错误的；</w:t>
      </w:r>
    </w:p>
    <w:p>
      <w:pPr>
        <w:ind w:firstLine="412" w:firstLineChars="196"/>
        <w:rPr>
          <w:rFonts w:ascii="宋体" w:hAnsi="宋体" w:cs="宋体"/>
          <w:kern w:val="0"/>
          <w:szCs w:val="21"/>
        </w:rPr>
      </w:pPr>
      <w:r>
        <w:rPr>
          <w:rFonts w:ascii="宋体" w:hAnsi="宋体" w:cs="宋体" w:hint="eastAsia"/>
          <w:kern w:val="0"/>
          <w:szCs w:val="21"/>
        </w:rPr>
        <w:t>37.3.2分项评分超出评分标准范围的；</w:t>
      </w:r>
    </w:p>
    <w:p>
      <w:pPr>
        <w:ind w:firstLine="412" w:firstLineChars="196"/>
        <w:rPr>
          <w:rFonts w:ascii="宋体" w:hAnsi="宋体" w:cs="宋体"/>
          <w:kern w:val="0"/>
          <w:szCs w:val="21"/>
        </w:rPr>
      </w:pPr>
      <w:r>
        <w:rPr>
          <w:rFonts w:ascii="宋体" w:hAnsi="宋体" w:cs="宋体" w:hint="eastAsia"/>
          <w:kern w:val="0"/>
          <w:szCs w:val="21"/>
        </w:rPr>
        <w:t>37.3.3评审委员会成员对客观评审因素评分不一致的；</w:t>
      </w:r>
    </w:p>
    <w:p>
      <w:pPr>
        <w:ind w:firstLine="412" w:firstLineChars="196"/>
        <w:rPr>
          <w:rFonts w:ascii="宋体" w:hAnsi="宋体" w:cs="宋体"/>
          <w:kern w:val="0"/>
          <w:szCs w:val="21"/>
        </w:rPr>
      </w:pPr>
      <w:r>
        <w:rPr>
          <w:rFonts w:ascii="宋体" w:hAnsi="宋体" w:cs="宋体" w:hint="eastAsia"/>
          <w:kern w:val="0"/>
          <w:szCs w:val="21"/>
        </w:rPr>
        <w:t>37.3.4经评审委员会认定评分畸高、畸低的。</w:t>
      </w:r>
    </w:p>
    <w:p>
      <w:pPr>
        <w:ind w:firstLine="412" w:firstLineChars="196"/>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2" w:firstLineChars="196"/>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pPr>
        <w:ind w:firstLine="412" w:firstLineChars="196"/>
        <w:rPr>
          <w:rFonts w:ascii="宋体" w:hAnsi="宋体"/>
          <w:b/>
          <w:bCs/>
          <w:szCs w:val="21"/>
        </w:rPr>
      </w:pPr>
      <w:r>
        <w:rPr>
          <w:rFonts w:ascii="宋体" w:hAnsi="宋体" w:hint="eastAsia"/>
          <w:b/>
          <w:bCs/>
          <w:szCs w:val="21"/>
        </w:rPr>
        <w:t>37.4重新组建评审委员会的情形</w:t>
      </w:r>
    </w:p>
    <w:p>
      <w:pPr>
        <w:ind w:firstLine="412" w:firstLineChars="196"/>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pPr>
        <w:ind w:firstLine="412" w:firstLineChars="196"/>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pPr>
        <w:ind w:firstLine="412" w:firstLineChars="196"/>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pPr>
        <w:ind w:firstLine="412" w:firstLineChars="196"/>
        <w:rPr>
          <w:rFonts w:ascii="宋体" w:hAnsi="宋体" w:cs="宋体"/>
          <w:kern w:val="0"/>
          <w:szCs w:val="21"/>
        </w:rPr>
      </w:pPr>
      <w:r>
        <w:rPr>
          <w:rFonts w:ascii="宋体" w:hAnsi="宋体" w:cs="宋体" w:hint="eastAsia"/>
          <w:kern w:val="0"/>
          <w:szCs w:val="21"/>
        </w:rPr>
        <w:t>37.4.3评审委员会及其成员独立评标受到非法干预的；</w:t>
      </w:r>
    </w:p>
    <w:p>
      <w:pPr>
        <w:ind w:firstLine="412" w:firstLineChars="196"/>
        <w:rPr>
          <w:rFonts w:ascii="宋体" w:hAnsi="宋体" w:cs="宋体"/>
          <w:kern w:val="0"/>
          <w:szCs w:val="21"/>
        </w:rPr>
      </w:pPr>
      <w:r>
        <w:rPr>
          <w:rFonts w:ascii="宋体" w:hAnsi="宋体" w:cs="宋体" w:hint="eastAsia"/>
          <w:kern w:val="0"/>
          <w:szCs w:val="21"/>
        </w:rPr>
        <w:t>37.4.4有政府采购法实施条例第七十五条规定的违法行为的。</w:t>
      </w:r>
    </w:p>
    <w:p>
      <w:pPr>
        <w:ind w:firstLine="412" w:firstLineChars="196"/>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定标及公示</w:t>
      </w:r>
    </w:p>
    <w:p>
      <w:pPr>
        <w:rPr>
          <w:rFonts w:ascii="黑体" w:eastAsia="黑体" w:hAnsi="宋体"/>
          <w:sz w:val="24"/>
        </w:rPr>
      </w:pPr>
      <w:r>
        <w:rPr>
          <w:rFonts w:ascii="黑体" w:eastAsia="黑体" w:hAnsi="宋体" w:hint="eastAsia"/>
          <w:sz w:val="24"/>
        </w:rPr>
        <w:t>38．定标方法</w:t>
      </w:r>
    </w:p>
    <w:p>
      <w:pPr>
        <w:ind w:firstLine="412" w:firstLineChars="196"/>
        <w:rPr>
          <w:rFonts w:ascii="宋体" w:hAnsi="宋体"/>
          <w:szCs w:val="21"/>
        </w:rPr>
      </w:pPr>
      <w:bookmarkStart w:id="115" w:name="_Hlk73782795"/>
      <w:r>
        <w:rPr>
          <w:rFonts w:ascii="宋体" w:hAnsi="宋体" w:hint="eastAsia"/>
          <w:szCs w:val="21"/>
        </w:rPr>
        <w:t>38.1非评定分离项目定标方法</w:t>
      </w:r>
    </w:p>
    <w:p>
      <w:pPr>
        <w:ind w:firstLine="412" w:firstLineChars="196"/>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116"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116"/>
      <w:r>
        <w:rPr>
          <w:rFonts w:ascii="ˎ̥" w:hAnsi="ˎ̥"/>
        </w:rPr>
        <w:t>）。</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pPr>
        <w:ind w:firstLine="412" w:firstLineChars="196"/>
        <w:rPr>
          <w:rFonts w:ascii="宋体" w:hAnsi="宋体"/>
          <w:szCs w:val="21"/>
        </w:rPr>
      </w:pPr>
      <w:r>
        <w:rPr>
          <w:rFonts w:ascii="宋体" w:hAnsi="宋体" w:hint="eastAsia"/>
          <w:szCs w:val="21"/>
        </w:rPr>
        <w:t>38.2评定分离项目定标方法</w:t>
      </w:r>
    </w:p>
    <w:p>
      <w:pPr>
        <w:ind w:firstLine="412" w:firstLineChars="196"/>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2" w:firstLineChars="196"/>
      </w:pPr>
      <w:r>
        <w:rPr>
          <w:rFonts w:ascii="宋体" w:hAnsi="宋体"/>
          <w:szCs w:val="21"/>
        </w:rPr>
        <w:t xml:space="preserve">38.2.2 </w:t>
      </w:r>
      <w:bookmarkStart w:id="117"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pPr>
        <w:ind w:firstLine="412" w:firstLineChars="196"/>
        <w:rPr>
          <w:rFonts w:ascii="宋体" w:hAnsi="宋体"/>
          <w:szCs w:val="21"/>
        </w:rPr>
      </w:pPr>
      <w:r>
        <w:rPr>
          <w:rFonts w:ascii="宋体" w:hAnsi="宋体" w:hint="eastAsia"/>
          <w:szCs w:val="21"/>
        </w:rPr>
        <w:t>38.2.3</w:t>
      </w:r>
      <w:bookmarkStart w:id="118"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117"/>
      <w:bookmarkEnd w:id="118"/>
    </w:p>
    <w:p>
      <w:pPr>
        <w:ind w:firstLine="412" w:firstLineChars="196"/>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lang w:val="en-US" w:eastAsia="zh-CN"/>
        </w:rPr>
        <w:t>&lt;</w:t>
      </w:r>
      <w:r>
        <w:rPr>
          <w:rFonts w:hint="eastAsia"/>
        </w:rPr>
        <w:t>深圳市政府采购评标定标分离管理办法</w:t>
      </w:r>
      <w:r>
        <w:rPr>
          <w:rFonts w:hint="eastAsia"/>
          <w:lang w:val="en-US" w:eastAsia="zh-CN"/>
        </w:rPr>
        <w:t>&gt;</w:t>
      </w:r>
      <w:r>
        <w:rPr>
          <w:rFonts w:hint="eastAsia"/>
        </w:rPr>
        <w:t>续期的通知》（深财规〔2023〕1号）执行。</w:t>
      </w:r>
    </w:p>
    <w:p>
      <w:pPr>
        <w:ind w:firstLine="412" w:firstLineChars="196"/>
        <w:rPr>
          <w:rFonts w:ascii="宋体" w:hAnsi="宋体"/>
          <w:szCs w:val="21"/>
        </w:rPr>
      </w:pPr>
      <w:r>
        <w:rPr>
          <w:rFonts w:ascii="宋体" w:hAnsi="宋体" w:hint="eastAsia"/>
          <w:szCs w:val="21"/>
        </w:rPr>
        <w:t>说明：采购人及投标供应商应按照上述方法提前做好相关准备。</w:t>
      </w:r>
    </w:p>
    <w:p>
      <w:pPr>
        <w:ind w:firstLine="412" w:firstLineChars="196"/>
        <w:rPr>
          <w:rFonts w:ascii="宋体" w:hAnsi="宋体"/>
          <w:szCs w:val="21"/>
        </w:rPr>
      </w:pPr>
      <w:r>
        <w:rPr>
          <w:rFonts w:ascii="宋体" w:hAnsi="宋体" w:hint="eastAsia"/>
          <w:szCs w:val="21"/>
        </w:rPr>
        <w:t>38.3专用条款另有规定的，按专用条款相关要求定标。</w:t>
      </w:r>
      <w:bookmarkEnd w:id="115"/>
    </w:p>
    <w:p>
      <w:pPr>
        <w:rPr>
          <w:rFonts w:ascii="黑体" w:eastAsia="黑体" w:hAnsi="宋体"/>
          <w:sz w:val="24"/>
        </w:rPr>
      </w:pPr>
      <w:r>
        <w:rPr>
          <w:rFonts w:ascii="黑体" w:eastAsia="黑体" w:hAnsi="宋体" w:hint="eastAsia"/>
          <w:sz w:val="24"/>
        </w:rPr>
        <w:t>39．编写评审报告</w:t>
      </w:r>
    </w:p>
    <w:p>
      <w:pPr>
        <w:ind w:firstLine="412" w:firstLineChars="196"/>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eastAsia="黑体" w:hAnsi="宋体"/>
          <w:sz w:val="24"/>
        </w:rPr>
      </w:pPr>
      <w:r>
        <w:rPr>
          <w:rFonts w:ascii="黑体" w:eastAsia="黑体" w:hAnsi="宋体" w:hint="eastAsia"/>
          <w:sz w:val="24"/>
        </w:rPr>
        <w:t>40．中标公告</w:t>
      </w:r>
    </w:p>
    <w:p>
      <w:pPr>
        <w:ind w:firstLine="412" w:firstLineChars="196"/>
        <w:rPr>
          <w:rFonts w:ascii="宋体" w:hAnsi="宋体"/>
          <w:szCs w:val="21"/>
        </w:rPr>
      </w:pPr>
      <w:r>
        <w:rPr>
          <w:rFonts w:ascii="宋体" w:hAnsi="宋体" w:hint="eastAsia"/>
          <w:szCs w:val="21"/>
        </w:rPr>
        <w:t>40.1</w:t>
      </w:r>
      <w:bookmarkStart w:id="119"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End w:id="119"/>
      <w:bookmarkStart w:id="120" w:name="_Hlk72438751"/>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w:t>
      </w:r>
      <w:r>
        <w:rPr>
          <w:rFonts w:ascii="宋体" w:hAnsi="宋体" w:hint="eastAsia"/>
          <w:szCs w:val="21"/>
        </w:rPr>
        <w:t>若在公示期内未提出质疑，则视为认同该评审结果。</w:t>
      </w:r>
    </w:p>
    <w:p>
      <w:pPr>
        <w:ind w:firstLine="412" w:firstLineChars="196"/>
        <w:rPr>
          <w:rFonts w:ascii="宋体" w:hAnsi="宋体"/>
          <w:szCs w:val="21"/>
        </w:rPr>
      </w:pPr>
      <w:bookmarkEnd w:id="120"/>
      <w:r>
        <w:rPr>
          <w:rFonts w:ascii="宋体" w:hAnsi="宋体" w:hint="eastAsia"/>
          <w:szCs w:val="21"/>
        </w:rPr>
        <w:t>40.2质疑、投诉供应商应保证质疑、投诉内容的真实性和可靠性，并承担相应的法律责任。</w:t>
      </w:r>
    </w:p>
    <w:p>
      <w:pPr>
        <w:rPr>
          <w:rFonts w:ascii="黑体" w:eastAsia="黑体" w:hAnsi="宋体"/>
          <w:sz w:val="24"/>
        </w:rPr>
      </w:pPr>
      <w:r>
        <w:rPr>
          <w:rFonts w:ascii="黑体" w:eastAsia="黑体" w:hAnsi="宋体" w:hint="eastAsia"/>
          <w:sz w:val="24"/>
        </w:rPr>
        <w:t>41．中标通知书</w:t>
      </w:r>
    </w:p>
    <w:p>
      <w:pPr>
        <w:ind w:firstLine="412" w:firstLineChars="196"/>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121" w:name="_Hlk72438863"/>
      <w:r>
        <w:rPr>
          <w:rFonts w:ascii="宋体" w:hAnsi="宋体" w:hint="eastAsia"/>
          <w:szCs w:val="21"/>
        </w:rPr>
        <w:t>中标公告公布以后无异常的情况下,中标供应商和采购人可自行在</w:t>
      </w:r>
      <w:r>
        <w:rPr>
          <w:rFonts w:ascii="宋体" w:hAnsi="宋体" w:hint="eastAsia"/>
          <w:b/>
          <w:bCs/>
          <w:szCs w:val="21"/>
        </w:rPr>
        <w:t>“深圳政府采购智慧平台（http://zfcg.szggzy.com/）”</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121"/>
    </w:p>
    <w:p>
      <w:pPr>
        <w:ind w:firstLine="412" w:firstLineChars="196"/>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pPr>
        <w:ind w:firstLine="412" w:firstLineChars="196"/>
        <w:rPr>
          <w:rFonts w:ascii="宋体" w:hAnsi="宋体"/>
          <w:szCs w:val="21"/>
        </w:rPr>
      </w:pPr>
      <w:bookmarkStart w:id="122" w:name="_Hlk71407340"/>
      <w:r>
        <w:rPr>
          <w:rFonts w:ascii="宋体" w:hAnsi="宋体" w:hint="eastAsia"/>
          <w:szCs w:val="21"/>
        </w:rPr>
        <w:t>41.3因质疑投诉或其它原因导致项目结果变更或采购终止的，政府集中采购机构有权吊销中标通知书。</w:t>
      </w:r>
    </w:p>
    <w:p>
      <w:pPr>
        <w:ind w:firstLine="412" w:firstLineChars="196"/>
        <w:rPr>
          <w:rFonts w:ascii="宋体" w:hAnsi="宋体"/>
          <w:szCs w:val="21"/>
        </w:rPr>
      </w:pPr>
      <w:bookmarkEnd w:id="122"/>
    </w:p>
    <w:p>
      <w:pPr>
        <w:pStyle w:val="Heading2"/>
        <w:numPr>
          <w:ilvl w:val="0"/>
          <w:numId w:val="16"/>
        </w:numPr>
        <w:spacing w:before="120" w:beforeLines="50" w:after="120" w:afterLines="50"/>
        <w:ind w:left="562" w:hanging="562"/>
        <w:rPr>
          <w:sz w:val="28"/>
          <w:szCs w:val="28"/>
        </w:rPr>
      </w:pPr>
      <w:r>
        <w:rPr>
          <w:rFonts w:hint="eastAsia"/>
          <w:sz w:val="28"/>
          <w:szCs w:val="28"/>
        </w:rPr>
        <w:t>公开招标失败的后续处理</w:t>
      </w:r>
    </w:p>
    <w:p>
      <w:pPr>
        <w:rPr>
          <w:rFonts w:ascii="黑体" w:eastAsia="黑体" w:hAnsi="宋体"/>
          <w:sz w:val="24"/>
        </w:rPr>
      </w:pPr>
      <w:r>
        <w:rPr>
          <w:rFonts w:ascii="黑体" w:eastAsia="黑体" w:hAnsi="宋体" w:hint="eastAsia"/>
          <w:sz w:val="24"/>
        </w:rPr>
        <w:t>42．公开招标失败的处理</w:t>
      </w:r>
    </w:p>
    <w:p>
      <w:pPr>
        <w:ind w:firstLine="412" w:firstLineChars="196"/>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pPr>
        <w:ind w:firstLine="412" w:firstLineChars="196"/>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ind w:firstLine="412" w:firstLineChars="196"/>
        <w:rPr>
          <w:rFonts w:ascii="宋体" w:hAnsi="宋体"/>
          <w:szCs w:val="21"/>
        </w:rPr>
      </w:pPr>
      <w:r>
        <w:rPr>
          <w:rFonts w:ascii="宋体" w:hAnsi="宋体" w:hint="eastAsia"/>
          <w:szCs w:val="21"/>
        </w:rPr>
        <w:t>42.3重新组织采购有以下两种组织形式：</w:t>
      </w:r>
    </w:p>
    <w:p>
      <w:pPr>
        <w:ind w:firstLine="412" w:firstLineChars="196"/>
        <w:rPr>
          <w:rFonts w:ascii="宋体" w:hAnsi="宋体"/>
        </w:rPr>
      </w:pPr>
      <w:r>
        <w:rPr>
          <w:rFonts w:ascii="宋体" w:hAnsi="宋体" w:hint="eastAsia"/>
        </w:rPr>
        <w:t>（1）由政府集中采购机构重新组织公开招标；</w:t>
      </w:r>
    </w:p>
    <w:p>
      <w:pPr>
        <w:ind w:firstLine="412" w:firstLineChars="196"/>
        <w:rPr>
          <w:rFonts w:ascii="宋体" w:hAnsi="宋体"/>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pPr>
        <w:ind w:firstLine="412" w:firstLineChars="196"/>
        <w:rPr>
          <w:rFonts w:ascii="宋体" w:hAnsi="宋体"/>
        </w:rPr>
      </w:pPr>
      <w:r>
        <w:rPr>
          <w:rFonts w:ascii="宋体" w:hAnsi="宋体" w:hint="eastAsia"/>
        </w:rPr>
        <w:t>42.4公开招标失败的采购项目重新组织公开招标，由政府集中采购机构重新按公开招标流程组织采购活动。</w:t>
      </w:r>
    </w:p>
    <w:p>
      <w:pPr>
        <w:rPr>
          <w:rFonts w:ascii="宋体" w:hAnsi="宋体"/>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pPr>
        <w:rPr>
          <w:rFonts w:ascii="黑体" w:eastAsia="黑体" w:hAnsi="宋体"/>
          <w:sz w:val="24"/>
        </w:rPr>
      </w:pPr>
    </w:p>
    <w:p>
      <w:pPr>
        <w:pStyle w:val="Heading2"/>
        <w:numPr>
          <w:ilvl w:val="0"/>
          <w:numId w:val="16"/>
        </w:numPr>
        <w:spacing w:before="120" w:beforeLines="50" w:after="120" w:afterLines="50"/>
        <w:ind w:left="562" w:hanging="562"/>
        <w:rPr>
          <w:sz w:val="28"/>
          <w:szCs w:val="28"/>
        </w:rPr>
      </w:pPr>
      <w:bookmarkStart w:id="123" w:name="_Hlk72439043"/>
      <w:r>
        <w:rPr>
          <w:rFonts w:hint="eastAsia"/>
          <w:sz w:val="28"/>
          <w:szCs w:val="28"/>
        </w:rPr>
        <w:t>合同的授予与备案</w:t>
      </w:r>
      <w:bookmarkEnd w:id="123"/>
    </w:p>
    <w:p>
      <w:pPr>
        <w:rPr>
          <w:rFonts w:ascii="黑体" w:eastAsia="黑体" w:hAnsi="宋体"/>
          <w:sz w:val="24"/>
        </w:rPr>
      </w:pPr>
      <w:bookmarkStart w:id="124" w:name="_Toc73518157"/>
      <w:bookmarkStart w:id="125" w:name="_Toc100052408"/>
      <w:bookmarkStart w:id="126" w:name="_Toc73517679"/>
      <w:bookmarkStart w:id="127" w:name="_Toc73521674"/>
      <w:bookmarkStart w:id="128" w:name="_Toc73521586"/>
      <w:bookmarkStart w:id="129" w:name="_Hlk72439088"/>
      <w:r>
        <w:rPr>
          <w:rFonts w:ascii="黑体" w:eastAsia="黑体" w:hAnsi="宋体" w:hint="eastAsia"/>
          <w:sz w:val="24"/>
        </w:rPr>
        <w:t>43．合同授予标准</w:t>
      </w:r>
      <w:bookmarkEnd w:id="124"/>
      <w:bookmarkEnd w:id="125"/>
      <w:bookmarkEnd w:id="126"/>
      <w:bookmarkEnd w:id="127"/>
      <w:bookmarkEnd w:id="128"/>
    </w:p>
    <w:p>
      <w:pPr>
        <w:ind w:firstLine="412" w:firstLineChars="196"/>
        <w:rPr>
          <w:rFonts w:ascii="宋体" w:hAnsi="宋体"/>
          <w:szCs w:val="21"/>
        </w:rPr>
      </w:pPr>
      <w:r>
        <w:rPr>
          <w:rFonts w:ascii="宋体" w:hAnsi="宋体" w:hint="eastAsia"/>
          <w:szCs w:val="21"/>
        </w:rPr>
        <w:t>本项目的合同将授予经本招标文件规定评审确定的中标供应商。</w:t>
      </w:r>
    </w:p>
    <w:p>
      <w:pPr>
        <w:rPr>
          <w:rFonts w:ascii="黑体" w:eastAsia="黑体" w:hAnsi="宋体"/>
          <w:sz w:val="24"/>
        </w:rPr>
      </w:pPr>
      <w:bookmarkStart w:id="130" w:name="_Toc100052409"/>
      <w:bookmarkStart w:id="131" w:name="_Toc73517680"/>
      <w:bookmarkStart w:id="132" w:name="_Toc73521587"/>
      <w:bookmarkStart w:id="133" w:name="_Toc73518158"/>
      <w:bookmarkStart w:id="134" w:name="_Toc73521675"/>
      <w:r>
        <w:rPr>
          <w:rFonts w:ascii="黑体" w:eastAsia="黑体" w:hAnsi="宋体" w:hint="eastAsia"/>
          <w:sz w:val="24"/>
        </w:rPr>
        <w:t>44．</w:t>
      </w:r>
      <w:bookmarkEnd w:id="130"/>
      <w:bookmarkEnd w:id="131"/>
      <w:bookmarkEnd w:id="132"/>
      <w:bookmarkEnd w:id="133"/>
      <w:bookmarkEnd w:id="134"/>
      <w:r>
        <w:rPr>
          <w:rFonts w:ascii="黑体" w:eastAsia="黑体" w:hAnsi="宋体" w:hint="eastAsia"/>
          <w:sz w:val="24"/>
        </w:rPr>
        <w:t>接受和拒绝任何或所有投标的权力</w:t>
      </w:r>
    </w:p>
    <w:p>
      <w:pPr>
        <w:ind w:firstLine="412" w:firstLineChars="196"/>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eastAsia="黑体" w:hAnsi="宋体"/>
          <w:sz w:val="24"/>
        </w:rPr>
      </w:pPr>
      <w:bookmarkStart w:id="135" w:name="_Toc73517682"/>
      <w:bookmarkStart w:id="136" w:name="_Toc73518160"/>
      <w:bookmarkStart w:id="137" w:name="_Toc100052410"/>
      <w:bookmarkStart w:id="138" w:name="_Toc73521589"/>
      <w:bookmarkStart w:id="139" w:name="_Toc73521677"/>
      <w:r>
        <w:rPr>
          <w:rFonts w:ascii="黑体" w:eastAsia="黑体" w:hAnsi="宋体" w:hint="eastAsia"/>
          <w:sz w:val="24"/>
        </w:rPr>
        <w:t>45．合同的签订</w:t>
      </w:r>
      <w:bookmarkEnd w:id="135"/>
      <w:bookmarkEnd w:id="136"/>
      <w:bookmarkEnd w:id="137"/>
      <w:bookmarkEnd w:id="138"/>
      <w:bookmarkEnd w:id="139"/>
    </w:p>
    <w:p>
      <w:pPr>
        <w:ind w:firstLine="412" w:firstLineChars="196"/>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ind w:firstLine="412" w:firstLineChars="196"/>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pPr>
        <w:ind w:firstLine="412" w:firstLineChars="196"/>
        <w:rPr>
          <w:rFonts w:ascii="宋体" w:hAnsi="宋体"/>
          <w:szCs w:val="21"/>
        </w:rPr>
      </w:pPr>
      <w:r>
        <w:rPr>
          <w:rFonts w:ascii="宋体" w:hAnsi="宋体" w:hint="eastAsia"/>
          <w:szCs w:val="21"/>
        </w:rPr>
        <w:t>45.3中标人应当按照合同约定履行义务，完成中标项目，不得将中标项目转让（转包）给他人。</w:t>
      </w:r>
    </w:p>
    <w:p>
      <w:pPr>
        <w:rPr>
          <w:rFonts w:ascii="黑体" w:eastAsia="黑体" w:hAnsi="宋体"/>
          <w:sz w:val="24"/>
        </w:rPr>
      </w:pPr>
      <w:bookmarkStart w:id="140" w:name="_Toc100052411"/>
      <w:bookmarkStart w:id="141" w:name="_Toc73521678"/>
      <w:bookmarkStart w:id="142" w:name="_Toc73517683"/>
      <w:bookmarkStart w:id="143" w:name="_Toc73518161"/>
      <w:bookmarkStart w:id="144" w:name="_Toc73521590"/>
      <w:r>
        <w:rPr>
          <w:rFonts w:ascii="黑体" w:eastAsia="黑体" w:hAnsi="宋体" w:hint="eastAsia"/>
          <w:sz w:val="24"/>
        </w:rPr>
        <w:t>46．履约担保</w:t>
      </w:r>
      <w:bookmarkEnd w:id="140"/>
      <w:bookmarkEnd w:id="141"/>
      <w:bookmarkEnd w:id="142"/>
      <w:bookmarkEnd w:id="143"/>
      <w:bookmarkEnd w:id="144"/>
    </w:p>
    <w:p>
      <w:pPr>
        <w:ind w:firstLine="412" w:firstLineChars="196"/>
        <w:rPr>
          <w:rFonts w:ascii="宋体" w:hAnsi="宋体"/>
          <w:szCs w:val="21"/>
        </w:rPr>
      </w:pPr>
      <w:r>
        <w:rPr>
          <w:rFonts w:ascii="宋体" w:hAnsi="宋体" w:hint="eastAsia"/>
          <w:szCs w:val="21"/>
        </w:rPr>
        <w:t>46.1在签订项目合同的同时，中标人应按“对通用条款的补充内容”中规定的金额向采购人提交履约担保；</w:t>
      </w:r>
    </w:p>
    <w:p>
      <w:pPr>
        <w:ind w:firstLine="412" w:firstLineChars="196"/>
        <w:rPr>
          <w:rFonts w:ascii="宋体" w:hAnsi="宋体"/>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eastAsia="黑体" w:hAnsi="宋体"/>
          <w:sz w:val="24"/>
        </w:rPr>
      </w:pPr>
      <w:r>
        <w:rPr>
          <w:rFonts w:ascii="黑体" w:eastAsia="黑体" w:hAnsi="宋体" w:hint="eastAsia"/>
          <w:sz w:val="24"/>
        </w:rPr>
        <w:t>47. 合同备案</w:t>
      </w:r>
    </w:p>
    <w:p>
      <w:pPr>
        <w:ind w:firstLine="420" w:firstLineChars="200"/>
        <w:rPr>
          <w:rFonts w:ascii="宋体" w:eastAsia="宋体" w:hAnsi="宋体" w:cs="Times New Roman" w:hint="eastAsia"/>
          <w:kern w:val="2"/>
          <w:sz w:val="21"/>
          <w:szCs w:val="21"/>
          <w:lang w:val="en-US" w:eastAsia="zh-CN"/>
        </w:rPr>
      </w:pPr>
      <w:r>
        <w:rPr>
          <w:rFonts w:ascii="宋体" w:eastAsia="宋体" w:hAnsi="宋体" w:cs="Times New Roman" w:hint="eastAsia"/>
          <w:kern w:val="2"/>
          <w:sz w:val="21"/>
          <w:szCs w:val="21"/>
        </w:rPr>
        <w:t>采购人与中标供应商自中标通知书发出之日起10个工作日内签订政府采购合同，</w:t>
      </w:r>
      <w:r>
        <w:rPr>
          <w:rFonts w:ascii="宋体" w:eastAsia="宋体" w:hAnsi="宋体" w:cs="Times New Roman" w:hint="eastAsia"/>
          <w:kern w:val="2"/>
          <w:sz w:val="21"/>
          <w:szCs w:val="21"/>
          <w:lang w:val="en-US" w:eastAsia="zh-CN"/>
        </w:rPr>
        <w:t>并按财政部门规定提交备案。</w:t>
      </w:r>
    </w:p>
    <w:p>
      <w:pPr>
        <w:rPr>
          <w:rFonts w:ascii="黑体" w:eastAsia="黑体" w:hAnsi="宋体"/>
          <w:sz w:val="24"/>
        </w:rPr>
      </w:pPr>
      <w:r>
        <w:rPr>
          <w:rFonts w:ascii="黑体" w:eastAsia="黑体" w:hAnsi="宋体" w:hint="eastAsia"/>
          <w:sz w:val="24"/>
        </w:rPr>
        <w:t>48. 合同变更</w:t>
      </w:r>
    </w:p>
    <w:p>
      <w:pPr>
        <w:ind w:firstLine="412" w:firstLineChars="196"/>
        <w:rPr>
          <w:rFonts w:ascii="宋体" w:hAnsi="宋体"/>
          <w:szCs w:val="21"/>
        </w:rPr>
      </w:pPr>
      <w:r>
        <w:rPr>
          <w:rFonts w:ascii="宋体" w:hAnsi="宋体" w:hint="eastAsia"/>
          <w:szCs w:val="21"/>
        </w:rPr>
        <w:t>合同变更事宜按《深圳市财政局关于优化政府采购合同备案的通知》（深财发保〔2022〕2号）相关规定执行。</w:t>
      </w:r>
    </w:p>
    <w:p>
      <w:pPr>
        <w:rPr>
          <w:rFonts w:ascii="黑体" w:eastAsia="黑体" w:hAnsi="宋体"/>
          <w:sz w:val="24"/>
        </w:rPr>
      </w:pPr>
      <w:r>
        <w:rPr>
          <w:rFonts w:ascii="黑体" w:eastAsia="黑体" w:hAnsi="宋体" w:hint="eastAsia"/>
          <w:sz w:val="24"/>
        </w:rPr>
        <w:t>49. 项目验收</w:t>
      </w:r>
    </w:p>
    <w:p>
      <w:pPr>
        <w:widowControl/>
        <w:ind w:right="176" w:firstLine="420"/>
        <w:jc w:val="left"/>
        <w:rPr>
          <w:rFonts w:ascii="宋体" w:hAnsi="宋体"/>
        </w:rPr>
      </w:pPr>
      <w:r>
        <w:rPr>
          <w:rFonts w:ascii="宋体" w:hAnsi="宋体" w:hint="eastAsia"/>
        </w:rPr>
        <w:t>49.1采购人应当按照招标文件和合同规定的标准和方法，及时组织验收。</w:t>
      </w:r>
      <w:r>
        <w:rPr>
          <w:rFonts w:ascii="宋体" w:hAnsi="宋体"/>
        </w:rPr>
        <w:t xml:space="preserve"> </w:t>
      </w:r>
    </w:p>
    <w:p>
      <w:pPr>
        <w:rPr>
          <w:rFonts w:ascii="黑体" w:eastAsia="黑体" w:hAnsi="宋体"/>
          <w:sz w:val="24"/>
        </w:rPr>
      </w:pPr>
      <w:r>
        <w:rPr>
          <w:rFonts w:ascii="黑体" w:eastAsia="黑体" w:hAnsi="宋体" w:hint="eastAsia"/>
          <w:sz w:val="24"/>
        </w:rPr>
        <w:t>50. 宣传</w:t>
      </w:r>
    </w:p>
    <w:p>
      <w:pPr>
        <w:ind w:left="210" w:firstLine="412" w:leftChars="100" w:firstLineChars="196"/>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pPr>
        <w:ind w:left="210" w:firstLine="412" w:leftChars="100" w:firstLineChars="196"/>
        <w:rPr>
          <w:rFonts w:ascii="宋体" w:hAnsi="宋体"/>
        </w:rPr>
      </w:pPr>
      <w:r>
        <w:rPr>
          <w:rFonts w:ascii="宋体" w:hAnsi="宋体"/>
        </w:rPr>
        <w:t>a.名片、宣传册、广告标语等；</w:t>
      </w:r>
    </w:p>
    <w:p>
      <w:pPr>
        <w:ind w:left="210" w:firstLine="412" w:leftChars="100" w:firstLineChars="196"/>
        <w:rPr>
          <w:rFonts w:ascii="宋体" w:hAnsi="宋体"/>
        </w:rPr>
      </w:pPr>
      <w:r>
        <w:rPr>
          <w:rFonts w:ascii="宋体" w:hAnsi="宋体"/>
        </w:rPr>
        <w:t>b.案例介绍、推广等；</w:t>
      </w:r>
    </w:p>
    <w:p>
      <w:pPr>
        <w:ind w:left="210" w:firstLine="412" w:leftChars="100" w:firstLineChars="196"/>
        <w:rPr>
          <w:rFonts w:ascii="宋体" w:hAnsi="宋体"/>
        </w:rPr>
      </w:pPr>
      <w:r>
        <w:rPr>
          <w:rFonts w:ascii="宋体" w:hAnsi="宋体" w:hint="eastAsia"/>
        </w:rPr>
        <w:t>c.工作</w:t>
      </w:r>
      <w:r>
        <w:rPr>
          <w:rFonts w:ascii="宋体" w:hAnsi="宋体"/>
        </w:rPr>
        <w:t>人员向其他消费群体宣传。</w:t>
      </w:r>
    </w:p>
    <w:p>
      <w:pPr>
        <w:rPr>
          <w:rFonts w:ascii="黑体" w:eastAsia="黑体" w:hAnsi="宋体"/>
          <w:sz w:val="24"/>
        </w:rPr>
      </w:pPr>
      <w:r>
        <w:rPr>
          <w:rFonts w:ascii="黑体" w:eastAsia="黑体" w:hAnsi="宋体" w:hint="eastAsia"/>
          <w:sz w:val="24"/>
        </w:rPr>
        <w:t>51. 供应商违法责任</w:t>
      </w:r>
    </w:p>
    <w:p>
      <w:pPr>
        <w:ind w:firstLine="412" w:firstLineChars="196"/>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2" w:firstLineChars="196"/>
        <w:rPr>
          <w:rFonts w:ascii="宋体" w:hAnsi="宋体"/>
          <w:szCs w:val="21"/>
        </w:rPr>
      </w:pPr>
      <w:r>
        <w:rPr>
          <w:rFonts w:ascii="宋体" w:hAnsi="宋体" w:hint="eastAsia"/>
          <w:szCs w:val="21"/>
        </w:rPr>
        <w:t>（1）在采购活动中应当回避而未回避的；</w:t>
      </w:r>
    </w:p>
    <w:p>
      <w:pPr>
        <w:ind w:firstLine="412" w:firstLineChars="196"/>
        <w:rPr>
          <w:rFonts w:ascii="宋体" w:hAnsi="宋体"/>
          <w:szCs w:val="21"/>
        </w:rPr>
      </w:pPr>
      <w:r>
        <w:rPr>
          <w:rFonts w:ascii="宋体" w:hAnsi="宋体" w:hint="eastAsia"/>
          <w:szCs w:val="21"/>
        </w:rPr>
        <w:t>（2）未按本条例规定签订、履行采购合同，造成严重后果的；</w:t>
      </w:r>
    </w:p>
    <w:p>
      <w:pPr>
        <w:ind w:firstLine="412" w:firstLineChars="196"/>
        <w:rPr>
          <w:rFonts w:ascii="宋体" w:hAnsi="宋体"/>
          <w:szCs w:val="21"/>
        </w:rPr>
      </w:pPr>
      <w:r>
        <w:rPr>
          <w:rFonts w:ascii="宋体" w:hAnsi="宋体" w:hint="eastAsia"/>
          <w:szCs w:val="21"/>
        </w:rPr>
        <w:t>（3）隐瞒真实情况，提供虚假资料的；</w:t>
      </w:r>
    </w:p>
    <w:p>
      <w:pPr>
        <w:ind w:firstLine="412" w:firstLineChars="196"/>
        <w:rPr>
          <w:rFonts w:ascii="宋体" w:hAnsi="宋体"/>
          <w:szCs w:val="21"/>
        </w:rPr>
      </w:pPr>
      <w:r>
        <w:rPr>
          <w:rFonts w:ascii="宋体" w:hAnsi="宋体" w:hint="eastAsia"/>
          <w:szCs w:val="21"/>
        </w:rPr>
        <w:t>（4）以非法手段排斥其他供应商参与竞争的；</w:t>
      </w:r>
    </w:p>
    <w:p>
      <w:pPr>
        <w:ind w:firstLine="412" w:firstLineChars="196"/>
        <w:rPr>
          <w:rFonts w:ascii="宋体" w:hAnsi="宋体"/>
          <w:szCs w:val="21"/>
        </w:rPr>
      </w:pPr>
      <w:r>
        <w:rPr>
          <w:rFonts w:ascii="宋体" w:hAnsi="宋体" w:hint="eastAsia"/>
          <w:szCs w:val="21"/>
        </w:rPr>
        <w:t>（5）与其他采购参加人串通投标的；</w:t>
      </w:r>
    </w:p>
    <w:p>
      <w:pPr>
        <w:ind w:firstLine="412" w:firstLineChars="196"/>
        <w:rPr>
          <w:rFonts w:ascii="宋体" w:hAnsi="宋体"/>
          <w:szCs w:val="21"/>
        </w:rPr>
      </w:pPr>
      <w:r>
        <w:rPr>
          <w:rFonts w:ascii="宋体" w:hAnsi="宋体" w:hint="eastAsia"/>
          <w:szCs w:val="21"/>
        </w:rPr>
        <w:t>（6）恶意投诉的；</w:t>
      </w:r>
    </w:p>
    <w:p>
      <w:pPr>
        <w:ind w:firstLine="412" w:firstLineChars="196"/>
        <w:rPr>
          <w:rFonts w:ascii="宋体" w:hAnsi="宋体"/>
          <w:szCs w:val="21"/>
        </w:rPr>
      </w:pPr>
      <w:r>
        <w:rPr>
          <w:rFonts w:ascii="宋体" w:hAnsi="宋体" w:hint="eastAsia"/>
          <w:szCs w:val="21"/>
        </w:rPr>
        <w:t>（7）向采购项目相关人行贿或者提供其他不当利益的；</w:t>
      </w:r>
    </w:p>
    <w:p>
      <w:pPr>
        <w:ind w:firstLine="412" w:firstLineChars="196"/>
        <w:rPr>
          <w:rFonts w:ascii="宋体" w:hAnsi="宋体"/>
          <w:szCs w:val="21"/>
        </w:rPr>
      </w:pPr>
      <w:r>
        <w:rPr>
          <w:rFonts w:ascii="宋体" w:hAnsi="宋体" w:hint="eastAsia"/>
          <w:szCs w:val="21"/>
        </w:rPr>
        <w:t>（8）阻碍、抗拒主管部门监督检查的；</w:t>
      </w:r>
    </w:p>
    <w:p>
      <w:pPr>
        <w:ind w:firstLine="412" w:firstLineChars="196"/>
        <w:rPr>
          <w:rFonts w:ascii="宋体" w:hAnsi="宋体"/>
          <w:szCs w:val="21"/>
        </w:rPr>
      </w:pPr>
      <w:r>
        <w:rPr>
          <w:rFonts w:ascii="宋体" w:hAnsi="宋体" w:hint="eastAsia"/>
          <w:szCs w:val="21"/>
        </w:rPr>
        <w:t>（9）其他违反本条例规定的行为。</w:t>
      </w:r>
    </w:p>
    <w:p>
      <w:pPr>
        <w:ind w:firstLine="412" w:firstLineChars="196"/>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45" w:name="_Hlk72440769"/>
      <w:r>
        <w:rPr>
          <w:rFonts w:ascii="宋体" w:hAnsi="宋体" w:hint="eastAsia"/>
          <w:szCs w:val="21"/>
        </w:rPr>
        <w:t>政府集中采购机构或采购人不予退还其交纳的谈判保证金，情节严重的，并由主管部门</w:t>
      </w:r>
      <w:bookmarkEnd w:id="145"/>
      <w:r>
        <w:rPr>
          <w:rFonts w:ascii="宋体" w:hAnsi="宋体" w:hint="eastAsia"/>
          <w:szCs w:val="21"/>
        </w:rPr>
        <w:t>记入供应商诚信档案，予以通报：</w:t>
      </w:r>
    </w:p>
    <w:p>
      <w:pPr>
        <w:ind w:firstLine="412" w:firstLineChars="196"/>
        <w:rPr>
          <w:rFonts w:ascii="宋体" w:hAnsi="宋体"/>
          <w:szCs w:val="21"/>
        </w:rPr>
      </w:pPr>
      <w:r>
        <w:rPr>
          <w:rFonts w:ascii="宋体" w:hAnsi="宋体" w:hint="eastAsia"/>
          <w:szCs w:val="21"/>
        </w:rPr>
        <w:t>（1</w:t>
      </w:r>
      <w:r>
        <w:rPr>
          <w:rFonts w:ascii="宋体" w:hAnsi="宋体"/>
          <w:szCs w:val="21"/>
        </w:rPr>
        <w:t>）投标截止后，撤销投标的；</w:t>
      </w:r>
    </w:p>
    <w:p>
      <w:pPr>
        <w:ind w:firstLine="412" w:firstLineChars="196"/>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pPr>
        <w:ind w:firstLine="412" w:firstLineChars="196"/>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pPr>
        <w:ind w:firstLine="412" w:firstLineChars="196"/>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pPr>
        <w:pStyle w:val="Heading2"/>
        <w:numPr>
          <w:ilvl w:val="0"/>
          <w:numId w:val="16"/>
        </w:numPr>
        <w:spacing w:before="120" w:beforeLines="50" w:after="120" w:afterLines="50"/>
        <w:ind w:left="562" w:hanging="562"/>
        <w:rPr>
          <w:sz w:val="28"/>
          <w:szCs w:val="28"/>
        </w:rPr>
      </w:pPr>
      <w:bookmarkEnd w:id="129"/>
      <w:r>
        <w:rPr>
          <w:rFonts w:hint="eastAsia"/>
          <w:sz w:val="28"/>
          <w:szCs w:val="28"/>
        </w:rPr>
        <w:t>质疑处理</w:t>
      </w:r>
    </w:p>
    <w:p>
      <w:pPr>
        <w:rPr>
          <w:rFonts w:ascii="黑体" w:eastAsia="黑体" w:hAnsi="宋体"/>
          <w:sz w:val="24"/>
        </w:rPr>
      </w:pPr>
      <w:bookmarkStart w:id="146" w:name="_Hlk72439706"/>
      <w:r>
        <w:rPr>
          <w:rFonts w:ascii="黑体" w:eastAsia="黑体" w:hAnsi="宋体" w:hint="eastAsia"/>
          <w:sz w:val="24"/>
        </w:rPr>
        <w:t>52.质疑提出与答复</w:t>
      </w:r>
    </w:p>
    <w:p>
      <w:pPr>
        <w:rPr>
          <w:rFonts w:ascii="宋体" w:hAnsi="宋体"/>
          <w:szCs w:val="21"/>
        </w:rPr>
      </w:pPr>
      <w:r>
        <w:rPr>
          <w:rFonts w:ascii="宋体" w:hAnsi="宋体" w:hint="eastAsia"/>
          <w:szCs w:val="21"/>
        </w:rPr>
        <w:t xml:space="preserve">    52.1提出质疑</w:t>
      </w:r>
    </w:p>
    <w:p>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ascii="宋体" w:hAnsi="宋体" w:hint="eastAsia"/>
          <w:szCs w:val="21"/>
        </w:rPr>
        <w:t xml:space="preserve">    52.2</w:t>
      </w:r>
      <w:r>
        <w:rPr>
          <w:rFonts w:ascii="宋体" w:hAnsi="宋体"/>
          <w:szCs w:val="21"/>
        </w:rPr>
        <w:t>法律依据</w:t>
      </w:r>
    </w:p>
    <w:p>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pPr>
        <w:rPr>
          <w:rFonts w:ascii="宋体" w:hAnsi="宋体"/>
          <w:szCs w:val="21"/>
        </w:rPr>
      </w:pPr>
      <w:r>
        <w:rPr>
          <w:rFonts w:ascii="宋体" w:hAnsi="宋体" w:hint="eastAsia"/>
          <w:szCs w:val="21"/>
        </w:rPr>
        <w:t xml:space="preserve">    52.3.1提出质疑的供应商应当是参与所质疑项目采购活动的供应商；</w:t>
      </w:r>
      <w:bookmarkStart w:id="147" w:name="_Hlk75374941"/>
      <w:r>
        <w:rPr>
          <w:rFonts w:ascii="宋体" w:hAnsi="宋体" w:hint="eastAsia"/>
          <w:szCs w:val="21"/>
        </w:rPr>
        <w:t>以联合体形式参与的，质疑应当由组成联合体的所有成员共同提出</w:t>
      </w:r>
      <w:bookmarkEnd w:id="147"/>
      <w:r>
        <w:rPr>
          <w:rFonts w:ascii="宋体" w:hAnsi="宋体" w:hint="eastAsia"/>
          <w:szCs w:val="21"/>
        </w:rPr>
        <w:t>；</w:t>
      </w:r>
    </w:p>
    <w:p>
      <w:pPr>
        <w:rPr>
          <w:rFonts w:ascii="宋体" w:hAnsi="宋体"/>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hAnsi="宋体" w:hint="eastAsia"/>
          <w:szCs w:val="21"/>
          <w:lang w:val="en-US" w:eastAsia="zh-CN"/>
        </w:rPr>
        <w:t>采购</w:t>
      </w:r>
      <w:r>
        <w:rPr>
          <w:rFonts w:ascii="宋体" w:hAnsi="宋体" w:hint="eastAsia"/>
          <w:szCs w:val="21"/>
        </w:rPr>
        <w:t>文件的质疑，为</w:t>
      </w:r>
      <w:r>
        <w:rPr>
          <w:rFonts w:ascii="宋体" w:hAnsi="宋体" w:hint="eastAsia"/>
          <w:szCs w:val="21"/>
          <w:lang w:val="en-US" w:eastAsia="zh-CN"/>
        </w:rPr>
        <w:t>采购</w:t>
      </w:r>
      <w:r>
        <w:rPr>
          <w:rFonts w:ascii="宋体" w:hAnsi="宋体" w:hint="eastAsia"/>
          <w:szCs w:val="21"/>
        </w:rPr>
        <w:t>文件公布之日；对采购过程的质疑，为各采购程序环节结束之日；对中标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结果以及评审委员会组成人员的质疑，为中标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结果公示之日；</w:t>
      </w:r>
    </w:p>
    <w:p>
      <w:pPr>
        <w:ind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ascii="宋体" w:hAnsi="宋体" w:hint="eastAsia"/>
          <w:szCs w:val="21"/>
        </w:rPr>
        <w:t>（1）供应商的名称（或者姓名）、地址、邮编、邮箱、联系人及联系电话；</w:t>
      </w:r>
    </w:p>
    <w:p>
      <w:pPr>
        <w:ind w:firstLine="420" w:firstLineChars="200"/>
        <w:rPr>
          <w:rFonts w:ascii="宋体" w:hAnsi="宋体"/>
          <w:szCs w:val="21"/>
        </w:rPr>
      </w:pPr>
      <w:r>
        <w:rPr>
          <w:rFonts w:ascii="宋体" w:hAnsi="宋体" w:hint="eastAsia"/>
          <w:szCs w:val="21"/>
        </w:rPr>
        <w:t>（2）质疑项目的名称、编号；</w:t>
      </w:r>
    </w:p>
    <w:p>
      <w:pPr>
        <w:ind w:firstLine="420" w:firstLineChars="200"/>
        <w:rPr>
          <w:rFonts w:ascii="宋体" w:hAnsi="宋体"/>
          <w:szCs w:val="21"/>
        </w:rPr>
      </w:pPr>
      <w:r>
        <w:rPr>
          <w:rFonts w:ascii="宋体" w:hAnsi="宋体" w:hint="eastAsia"/>
          <w:szCs w:val="21"/>
        </w:rPr>
        <w:t>（3）具体、明确的质疑对象、质疑事项和质疑请求；</w:t>
      </w:r>
    </w:p>
    <w:p>
      <w:pPr>
        <w:ind w:firstLine="420" w:firstLineChars="200"/>
        <w:rPr>
          <w:rFonts w:ascii="宋体" w:hAnsi="宋体"/>
          <w:szCs w:val="21"/>
        </w:rPr>
      </w:pPr>
      <w:r>
        <w:rPr>
          <w:rFonts w:ascii="宋体" w:hAnsi="宋体" w:hint="eastAsia"/>
          <w:szCs w:val="21"/>
        </w:rPr>
        <w:t>（4）因质疑事项而受损害的权益；</w:t>
      </w:r>
    </w:p>
    <w:p>
      <w:pPr>
        <w:ind w:firstLine="420" w:firstLineChars="200"/>
        <w:rPr>
          <w:rFonts w:ascii="宋体" w:hAnsi="宋体"/>
          <w:szCs w:val="21"/>
        </w:rPr>
      </w:pPr>
      <w:r>
        <w:rPr>
          <w:rFonts w:ascii="宋体" w:hAnsi="宋体" w:hint="eastAsia"/>
          <w:szCs w:val="21"/>
        </w:rPr>
        <w:t>（5）事实依据；</w:t>
      </w:r>
    </w:p>
    <w:p>
      <w:pPr>
        <w:ind w:firstLine="420" w:firstLineChars="200"/>
        <w:rPr>
          <w:rFonts w:ascii="宋体" w:hAnsi="宋体"/>
          <w:szCs w:val="21"/>
        </w:rPr>
      </w:pPr>
      <w:r>
        <w:rPr>
          <w:rFonts w:ascii="宋体" w:hAnsi="宋体" w:hint="eastAsia"/>
          <w:szCs w:val="21"/>
        </w:rPr>
        <w:t>（6）必要的法律依据；</w:t>
      </w:r>
    </w:p>
    <w:p>
      <w:pPr>
        <w:ind w:firstLine="420" w:firstLineChars="200"/>
        <w:rPr>
          <w:rFonts w:ascii="宋体" w:hAnsi="宋体"/>
          <w:szCs w:val="21"/>
        </w:rPr>
      </w:pPr>
      <w:r>
        <w:rPr>
          <w:rFonts w:ascii="宋体" w:hAnsi="宋体" w:hint="eastAsia"/>
          <w:szCs w:val="21"/>
        </w:rPr>
        <w:t>（7）提出质疑的日期。</w:t>
      </w:r>
    </w:p>
    <w:p>
      <w:pPr>
        <w:ind w:firstLine="420" w:firstLineChars="20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ascii="宋体" w:hAnsi="宋体" w:hint="eastAsia"/>
          <w:szCs w:val="21"/>
        </w:rPr>
        <w:t>52.4提交</w:t>
      </w:r>
      <w:r>
        <w:rPr>
          <w:rFonts w:ascii="宋体" w:hAnsi="宋体"/>
          <w:szCs w:val="21"/>
        </w:rPr>
        <w:t>材料</w:t>
      </w:r>
    </w:p>
    <w:p>
      <w:pPr>
        <w:ind w:firstLine="420" w:firstLineChars="20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ascii="宋体" w:hAnsi="宋体" w:hint="eastAsia"/>
          <w:szCs w:val="21"/>
        </w:rPr>
        <w:t>52.5收文地点</w:t>
      </w:r>
    </w:p>
    <w:p>
      <w:pPr>
        <w:ind w:firstLine="420" w:firstLineChars="200"/>
        <w:rPr>
          <w:rFonts w:ascii="宋体" w:hAnsi="宋体"/>
          <w:b/>
          <w:bCs/>
          <w:szCs w:val="21"/>
        </w:rPr>
      </w:pPr>
      <w:r>
        <w:rPr>
          <w:rFonts w:ascii="宋体" w:hAnsi="宋体" w:hint="eastAsia"/>
          <w:b/>
          <w:bCs/>
          <w:szCs w:val="21"/>
        </w:rPr>
        <w:t>地址：</w:t>
      </w:r>
      <w:r>
        <w:rPr>
          <w:rFonts w:ascii="宋体" w:hAnsi="宋体" w:hint="eastAsia"/>
          <w:b/>
          <w:bCs/>
          <w:szCs w:val="21"/>
          <w:lang w:eastAsia="zh-CN"/>
        </w:rPr>
        <w:t>深圳公共资源交易中心（深圳交易集团有限公司大鹏分公司）（</w:t>
      </w:r>
      <w:r>
        <w:rPr>
          <w:rFonts w:asciiTheme="minorEastAsia" w:eastAsiaTheme="minorEastAsia" w:hAnsiTheme="minorEastAsia" w:cstheme="minorEastAsia" w:hint="eastAsia"/>
          <w:b/>
          <w:bCs/>
          <w:color w:val="FF0000"/>
          <w:szCs w:val="21"/>
        </w:rPr>
        <w:t>深圳市大鹏新区葵涌街道生命科学产业园A8栋203室</w:t>
      </w:r>
      <w:r>
        <w:rPr>
          <w:rFonts w:asciiTheme="minorEastAsia" w:eastAsiaTheme="minorEastAsia" w:hAnsiTheme="minorEastAsia" w:cstheme="minorEastAsia" w:hint="eastAsia"/>
          <w:b/>
          <w:bCs/>
          <w:color w:val="FF0000"/>
          <w:szCs w:val="21"/>
          <w:lang w:eastAsia="zh-CN"/>
        </w:rPr>
        <w:t>）</w:t>
      </w:r>
      <w:r>
        <w:rPr>
          <w:rFonts w:ascii="宋体" w:hAnsi="宋体" w:hint="eastAsia"/>
          <w:b/>
          <w:bCs/>
          <w:szCs w:val="21"/>
        </w:rPr>
        <w:t>，质疑咨询电话：0755-28333190。</w:t>
      </w:r>
    </w:p>
    <w:p>
      <w:pPr>
        <w:ind w:firstLine="420" w:firstLineChars="200"/>
        <w:rPr>
          <w:rFonts w:ascii="宋体" w:hAnsi="宋体"/>
          <w:szCs w:val="21"/>
        </w:rPr>
      </w:pPr>
      <w:r>
        <w:rPr>
          <w:rFonts w:ascii="宋体" w:hAnsi="宋体" w:hint="eastAsia"/>
          <w:szCs w:val="21"/>
        </w:rPr>
        <w:t>52.6收文办理</w:t>
      </w:r>
      <w:r>
        <w:rPr>
          <w:rFonts w:ascii="宋体" w:hAnsi="宋体"/>
          <w:szCs w:val="21"/>
        </w:rPr>
        <w:t>程序</w:t>
      </w:r>
    </w:p>
    <w:p>
      <w:pPr>
        <w:ind w:firstLine="420" w:firstLineChars="20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eastAsia="仿宋" w:hAnsi="仿宋"/>
          <w:sz w:val="28"/>
          <w:szCs w:val="28"/>
        </w:rPr>
      </w:pPr>
      <w:r>
        <w:rPr>
          <w:rFonts w:ascii="宋体" w:hAnsi="宋体" w:hint="eastAsia"/>
          <w:szCs w:val="21"/>
        </w:rPr>
        <w:t>52.6.2供应商提交的质疑材料不符合质疑条件的，视情况处理：</w:t>
      </w:r>
    </w:p>
    <w:p>
      <w:pPr>
        <w:ind w:firstLine="420" w:firstLineChars="20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ascii="宋体" w:hAnsi="宋体" w:hint="eastAsia"/>
          <w:szCs w:val="21"/>
        </w:rPr>
        <w:t>供应商提交的质疑存在下列情形之一的，不予受理：</w:t>
      </w:r>
    </w:p>
    <w:p>
      <w:pPr>
        <w:ind w:firstLine="420" w:firstLineChars="200"/>
        <w:rPr>
          <w:rFonts w:ascii="宋体" w:hAnsi="宋体"/>
          <w:szCs w:val="21"/>
        </w:rPr>
      </w:pPr>
      <w:r>
        <w:rPr>
          <w:rFonts w:ascii="宋体" w:hAnsi="宋体" w:hint="eastAsia"/>
          <w:szCs w:val="21"/>
        </w:rPr>
        <w:t>（1）质疑主体不满足要求的；</w:t>
      </w:r>
    </w:p>
    <w:p>
      <w:pPr>
        <w:ind w:firstLine="420" w:firstLineChars="200"/>
        <w:rPr>
          <w:rFonts w:ascii="宋体" w:hAnsi="宋体"/>
          <w:szCs w:val="21"/>
        </w:rPr>
      </w:pPr>
      <w:r>
        <w:rPr>
          <w:rFonts w:ascii="宋体" w:hAnsi="宋体" w:hint="eastAsia"/>
          <w:szCs w:val="21"/>
        </w:rPr>
        <w:t>（2）供应商自身权益未受到损害的；</w:t>
      </w:r>
    </w:p>
    <w:p>
      <w:pPr>
        <w:ind w:firstLine="420" w:firstLineChars="200"/>
        <w:rPr>
          <w:rFonts w:ascii="宋体" w:hAnsi="宋体"/>
          <w:szCs w:val="21"/>
        </w:rPr>
      </w:pPr>
      <w:r>
        <w:rPr>
          <w:rFonts w:ascii="宋体" w:hAnsi="宋体" w:hint="eastAsia"/>
          <w:szCs w:val="21"/>
        </w:rPr>
        <w:t>（3）供应商未在法定质疑期限内提出质疑的；</w:t>
      </w:r>
    </w:p>
    <w:p>
      <w:pPr>
        <w:ind w:firstLine="420" w:firstLineChars="20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ascii="宋体" w:hAnsi="宋体" w:hint="eastAsia"/>
          <w:szCs w:val="21"/>
        </w:rPr>
        <w:t>（5）其他不符合受理条件情形的。</w:t>
      </w:r>
    </w:p>
    <w:p>
      <w:pPr>
        <w:ind w:firstLine="420" w:firstLineChars="200"/>
        <w:rPr>
          <w:rFonts w:ascii="宋体" w:hAnsi="宋体"/>
          <w:szCs w:val="21"/>
        </w:rPr>
      </w:pPr>
      <w:r>
        <w:rPr>
          <w:rFonts w:ascii="宋体" w:hAnsi="宋体" w:hint="eastAsia"/>
          <w:szCs w:val="21"/>
        </w:rPr>
        <w:t>质疑事项不予受理的，政府集中采购机构应当向供应商出具不符合质疑条件告知书。</w:t>
      </w:r>
    </w:p>
    <w:p>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52.7质疑答复时限</w:t>
      </w:r>
    </w:p>
    <w:p>
      <w:pPr>
        <w:rPr>
          <w:rFonts w:ascii="宋体" w:hAnsi="宋体"/>
          <w:szCs w:val="21"/>
        </w:rPr>
      </w:pPr>
      <w:r>
        <w:rPr>
          <w:rFonts w:ascii="宋体" w:hAnsi="宋体" w:hint="eastAsia"/>
          <w:szCs w:val="21"/>
        </w:rPr>
        <w:t xml:space="preserve">    自收文之日起七个工作日内。</w:t>
      </w:r>
    </w:p>
    <w:p>
      <w:pPr>
        <w:rPr>
          <w:rFonts w:ascii="宋体" w:hAnsi="宋体"/>
          <w:szCs w:val="21"/>
        </w:rPr>
      </w:pPr>
      <w:r>
        <w:rPr>
          <w:rFonts w:ascii="宋体" w:hAnsi="宋体" w:hint="eastAsia"/>
          <w:szCs w:val="21"/>
        </w:rPr>
        <w:t xml:space="preserve">    52.8投诉</w:t>
      </w:r>
    </w:p>
    <w:p>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pPr>
        <w:rPr>
          <w:rFonts w:ascii="黑体" w:eastAsia="黑体" w:hAnsi="宋体"/>
          <w:sz w:val="24"/>
        </w:rPr>
      </w:pPr>
      <w:r>
        <w:rPr>
          <w:rFonts w:ascii="黑体" w:eastAsia="黑体" w:hAnsi="宋体" w:hint="eastAsia"/>
          <w:sz w:val="24"/>
        </w:rPr>
        <w:t>53. 质疑后续处理</w:t>
      </w:r>
    </w:p>
    <w:p>
      <w:pPr>
        <w:jc w:val="both"/>
        <w:rPr>
          <w:rFonts w:ascii="宋体" w:hAnsi="宋体"/>
          <w:szCs w:val="21"/>
        </w:rPr>
      </w:pPr>
      <w:r>
        <w:rPr>
          <w:rFonts w:ascii="宋体" w:hAnsi="宋体" w:hint="eastAsia"/>
          <w:szCs w:val="21"/>
        </w:rPr>
        <w:t xml:space="preserve">    53.1供应商质疑不成立，或者成立但未对中标、成交结果构成影响的，继续开展采购活动。</w:t>
      </w:r>
    </w:p>
    <w:p>
      <w:pPr>
        <w:ind w:firstLine="420"/>
        <w:jc w:val="both"/>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pPr>
      <w:r>
        <w:t>---- END ----</w:t>
      </w:r>
      <w:bookmarkEnd w:id="146"/>
    </w:p>
    <w:p/>
    <w:p/>
    <w:p/>
    <w:p/>
    <w:sectPr>
      <w:pgSz w:w="11907" w:h="16840"/>
      <w:pgMar w:top="1440" w:right="1797" w:bottom="1440" w:left="1797" w:header="851" w:footer="992" w:gutter="0"/>
      <w:pgBorders>
        <w:top w:val="nil"/>
        <w:left w:val="nil"/>
        <w:bottom w:val="nil"/>
        <w:right w:val="nil"/>
      </w:pgBorders>
      <w:cols w:num="1" w:space="425"/>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37</w:t>
    </w:r>
    <w:r>
      <w:fldChar w:fldCharType="end"/>
    </w:r>
    <w:r>
      <w:t xml:space="preserve"> -</w:t>
    </w: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il"/>
        <w:left w:val="nil"/>
        <w:bottom w:val="nil"/>
        <w:right w:val="nil"/>
        <w:between w:val="nil"/>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top w:val="nil"/>
        <w:left w:val="nil"/>
        <w:bottom w:val="nil"/>
        <w:right w:val="nil"/>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FFFFFF7C"/>
    <w:multiLevelType w:val="singleLevel"/>
    <w:tmpl w:val="FFFFFF7C"/>
    <w:lvl w:ilvl="0">
      <w:start w:val="1"/>
      <w:numFmt w:val="decimal"/>
      <w:pStyle w:val="41"/>
      <w:lvlText w:val="%1."/>
      <w:lvlJc w:val="left"/>
      <w:pPr>
        <w:tabs>
          <w:tab w:val="left" w:pos="7994"/>
        </w:tabs>
        <w:ind w:left="7994" w:hanging="360" w:leftChars="800" w:hangingChars="20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2503483"/>
    <w:multiLevelType w:val="multilevel"/>
    <w:tmpl w:val="12503483"/>
    <w:lvl w:ilvl="0">
      <w:start w:val="1"/>
      <w:numFmt w:val="bullet"/>
      <w:pStyle w:val="a5"/>
      <w:lvlText w:val=""/>
      <w:lvlJc w:val="left"/>
      <w:pPr>
        <w:tabs>
          <w:tab w:val="left" w:pos="420"/>
        </w:tabs>
        <w:ind w:left="420" w:hanging="420"/>
      </w:pPr>
      <w:rPr>
        <w:rFonts w:ascii="Wingdings" w:hAnsi="Wingdings" w:hint="default"/>
      </w:rPr>
    </w:lvl>
    <w:lvl w:ilvl="1">
      <w:start w:val="1"/>
      <w:numFmt w:val="bullet"/>
      <w:pStyle w:val="a4"/>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3"/>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nsid w:val="2F395B7B"/>
    <w:multiLevelType w:val="multilevel"/>
    <w:tmpl w:val="2F395B7B"/>
    <w:lvl w:ilvl="0">
      <w:start w:val="1"/>
      <w:numFmt w:val="bullet"/>
      <w:pStyle w:val="1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nsid w:val="7A0F6431"/>
    <w:multiLevelType w:val="singleLevel"/>
    <w:tmpl w:val="7A0F6431"/>
    <w:lvl w:ilvl="0">
      <w:start w:val="1"/>
      <w:numFmt w:val="decimal"/>
      <w:suff w:val="space"/>
      <w:lvlText w:val="%1."/>
      <w:lvlJc w:val="left"/>
    </w:lvl>
  </w:abstractNum>
  <w:abstractNum w:abstractNumId="15">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5"/>
  <w:trackRevisions/>
  <w:defaultTabStop w:val="420"/>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hYWQzZDE5M2I5OGJjOTk5NzYyNTJiYzFiNzc5M2QifQ=="/>
    <w:docVar w:name="KSO_WPS_MARK_KEY" w:val="a5980290-81d1-4166-b591-31e4936b868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unhideWhenUsed="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footnote text" w:uiPriority="0"/>
    <w:lsdException w:name="annotation text" w:unhideWhenUsed="0" w:qFormat="1"/>
    <w:lsdException w:name="header" w:semiHidden="0" w:unhideWhenUsed="0" w:qFormat="1"/>
    <w:lsdException w:name="footer" w:semiHidden="0" w:uiPriority="0" w:unhideWhenUsed="0"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uiPriority="0"/>
    <w:lsdException w:name="annotation reference" w:semiHidden="0" w:unhideWhenUsed="0" w:qFormat="1"/>
    <w:lsdException w:name="line number" w:uiPriority="0"/>
    <w:lsdException w:name="page number" w:semiHidden="0" w:uiPriority="0" w:unhideWhenUsed="0" w:qFormat="1"/>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semiHidden="0" w:uiPriority="0" w:unhideWhenUsed="0" w:qFormat="1"/>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semiHidden="0" w:uiPriority="0" w:unhideWhenUsed="0" w:qFormat="1"/>
    <w:lsdException w:name="Body Text First Indent" w:semiHidden="0" w:uiPriority="0" w:unhideWhenUsed="0" w:qFormat="1"/>
    <w:lsdException w:name="Body Text First Indent 2" w:uiPriority="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uiPriority="0"/>
    <w:lsdException w:name="Normal (Web)" w:semiHidden="0" w:unhideWhenUsed="0" w:qFormat="1"/>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qFormat="1"/>
    <w:lsdException w:name="HTML Preformatted" w:semiHidden="0" w:uiPriority="0" w:unhideWhenUsed="0" w:qFormat="1"/>
    <w:lsdException w:name="HTML Sample" w:uiPriority="0" w:qFormat="1"/>
    <w:lsdException w:name="HTML Typewriter" w:uiPriority="0" w:qFormat="1"/>
    <w:lsdException w:name="HTML Variable" w:uiPriority="0" w:qFormat="1"/>
    <w:lsdException w:name="Normal Table" w:qFormat="1"/>
    <w:lsdException w:name="annotation subject"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semiHidden="0" w:uiPriority="0" w:unhideWhenUsed="0" w:qFormat="1"/>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qFormat="1"/>
    <w:lsdException w:name="Table Grid" w:semiHidden="0" w:uiPriority="0"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Char"/>
    <w:qFormat/>
    <w:pPr>
      <w:keepNext/>
      <w:keepLines/>
      <w:spacing w:before="280" w:after="290" w:line="376" w:lineRule="auto"/>
      <w:outlineLvl w:val="4"/>
    </w:pPr>
    <w:rPr>
      <w:b/>
      <w:sz w:val="28"/>
      <w:szCs w:val="20"/>
    </w:rPr>
  </w:style>
  <w:style w:type="paragraph" w:styleId="Heading6">
    <w:name w:val="heading 6"/>
    <w:basedOn w:val="Normal"/>
    <w:next w:val="NormalIndent"/>
    <w:link w:val="6Char"/>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Char"/>
    <w:qFormat/>
    <w:pPr>
      <w:keepNext/>
      <w:keepLines/>
      <w:spacing w:before="240" w:after="64" w:line="320" w:lineRule="auto"/>
      <w:outlineLvl w:val="6"/>
    </w:pPr>
    <w:rPr>
      <w:b/>
      <w:sz w:val="24"/>
      <w:szCs w:val="20"/>
    </w:rPr>
  </w:style>
  <w:style w:type="paragraph" w:styleId="Heading8">
    <w:name w:val="heading 8"/>
    <w:basedOn w:val="Normal"/>
    <w:next w:val="NormalIndent"/>
    <w:link w:val="8Char"/>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Char"/>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Normal"/>
    <w:link w:val="Char7"/>
    <w:qFormat/>
    <w:pPr>
      <w:spacing w:line="360" w:lineRule="auto"/>
    </w:pPr>
    <w:rPr>
      <w:b/>
      <w:bCs/>
      <w:sz w:val="24"/>
    </w:rPr>
  </w:style>
  <w:style w:type="paragraph" w:styleId="NormalIndent">
    <w:name w:val="Normal Indent"/>
    <w:basedOn w:val="Normal"/>
    <w:next w:val="BodyText"/>
    <w:link w:val="Char0"/>
    <w:qFormat/>
    <w:pPr>
      <w:ind w:firstLine="420"/>
    </w:pPr>
    <w:rPr>
      <w:szCs w:val="20"/>
    </w:rPr>
  </w:style>
  <w:style w:type="paragraph" w:styleId="TOC7">
    <w:name w:val="toc 7"/>
    <w:basedOn w:val="Normal"/>
    <w:next w:val="Normal"/>
    <w:semiHidden/>
    <w:qFormat/>
    <w:pPr>
      <w:ind w:left="1260"/>
      <w:jc w:val="left"/>
    </w:pPr>
    <w:rPr>
      <w:szCs w:val="21"/>
    </w:rPr>
  </w:style>
  <w:style w:type="paragraph" w:styleId="Caption">
    <w:name w:val="caption"/>
    <w:basedOn w:val="Normal"/>
    <w:next w:val="Normal"/>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qFormat/>
    <w:pPr>
      <w:numPr>
        <w:ilvl w:val="0"/>
        <w:numId w:val="1"/>
      </w:numPr>
    </w:pPr>
    <w:rPr>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Char16"/>
    <w:uiPriority w:val="99"/>
    <w:semiHidden/>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Char2"/>
    <w:qFormat/>
    <w:pPr>
      <w:spacing w:after="120"/>
    </w:pPr>
    <w:rPr>
      <w:sz w:val="16"/>
      <w:szCs w:val="16"/>
    </w:rPr>
  </w:style>
  <w:style w:type="paragraph" w:styleId="BodyTextIndent">
    <w:name w:val="Body Text Indent"/>
    <w:basedOn w:val="Normal"/>
    <w:link w:val="Char1"/>
    <w:qFormat/>
    <w:pPr>
      <w:spacing w:line="360" w:lineRule="auto"/>
      <w:ind w:firstLine="420" w:firstLineChars="200"/>
    </w:pPr>
  </w:style>
  <w:style w:type="paragraph" w:styleId="TOC5">
    <w:name w:val="toc 5"/>
    <w:basedOn w:val="Normal"/>
    <w:next w:val="Normal"/>
    <w:semiHidden/>
    <w:qFormat/>
    <w:pPr>
      <w:ind w:left="840"/>
      <w:jc w:val="left"/>
    </w:pPr>
    <w:rPr>
      <w:szCs w:val="21"/>
    </w:rPr>
  </w:style>
  <w:style w:type="paragraph" w:styleId="TOC3">
    <w:name w:val="toc 3"/>
    <w:basedOn w:val="Normal"/>
    <w:next w:val="Normal"/>
    <w:semiHidden/>
    <w:qFormat/>
    <w:pPr>
      <w:ind w:left="420"/>
      <w:jc w:val="left"/>
    </w:pPr>
    <w:rPr>
      <w:i/>
      <w:iCs/>
    </w:rPr>
  </w:style>
  <w:style w:type="paragraph" w:styleId="PlainText">
    <w:name w:val="Plain Text"/>
    <w:basedOn w:val="Normal"/>
    <w:link w:val="Char5"/>
    <w:qFormat/>
    <w:rPr>
      <w:rFonts w:ascii="宋体" w:hAnsi="Courier New"/>
      <w:szCs w:val="20"/>
    </w:rPr>
  </w:style>
  <w:style w:type="paragraph" w:styleId="TOC8">
    <w:name w:val="toc 8"/>
    <w:basedOn w:val="Normal"/>
    <w:next w:val="Normal"/>
    <w:semiHidden/>
    <w:qFormat/>
    <w:pPr>
      <w:ind w:left="1470"/>
      <w:jc w:val="left"/>
    </w:pPr>
    <w:rPr>
      <w:szCs w:val="21"/>
    </w:rPr>
  </w:style>
  <w:style w:type="paragraph" w:styleId="Date">
    <w:name w:val="Date"/>
    <w:basedOn w:val="Normal"/>
    <w:next w:val="Normal"/>
    <w:link w:val="Char4"/>
    <w:qFormat/>
    <w:rPr>
      <w:rFonts w:ascii="宋体" w:hAnsi="Courier New"/>
      <w:sz w:val="32"/>
      <w:szCs w:val="20"/>
    </w:rPr>
  </w:style>
  <w:style w:type="paragraph" w:styleId="BodyTextIndent2">
    <w:name w:val="Body Text Indent 2"/>
    <w:basedOn w:val="Normal"/>
    <w:link w:val="2Char0"/>
    <w:qFormat/>
    <w:pPr>
      <w:spacing w:beforeLines="50" w:afterLines="50" w:line="120" w:lineRule="auto"/>
      <w:ind w:firstLine="840" w:firstLineChars="400"/>
      <w:jc w:val="left"/>
    </w:pPr>
    <w:rPr>
      <w:rFonts w:ascii="宋体" w:hAnsi="宋体"/>
    </w:rPr>
  </w:style>
  <w:style w:type="paragraph" w:styleId="BalloonText">
    <w:name w:val="Balloon Text"/>
    <w:basedOn w:val="Normal"/>
    <w:link w:val="Char10"/>
    <w:uiPriority w:val="99"/>
    <w:semiHidden/>
    <w:qFormat/>
    <w:rPr>
      <w:sz w:val="18"/>
      <w:szCs w:val="18"/>
    </w:rPr>
  </w:style>
  <w:style w:type="paragraph" w:styleId="Footer">
    <w:name w:val="footer"/>
    <w:basedOn w:val="Normal"/>
    <w:link w:val="Char9"/>
    <w:qFormat/>
    <w:pPr>
      <w:tabs>
        <w:tab w:val="center" w:pos="4153"/>
        <w:tab w:val="right" w:pos="8306"/>
      </w:tabs>
      <w:snapToGrid w:val="0"/>
      <w:jc w:val="left"/>
    </w:pPr>
    <w:rPr>
      <w:sz w:val="18"/>
      <w:szCs w:val="18"/>
    </w:rPr>
  </w:style>
  <w:style w:type="paragraph" w:styleId="Header">
    <w:name w:val="header"/>
    <w:basedOn w:val="Normal"/>
    <w:link w:val="Char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spacing w:before="120" w:after="120"/>
      <w:jc w:val="left"/>
    </w:pPr>
    <w:rPr>
      <w:b/>
      <w:bCs/>
      <w:caps/>
    </w:rPr>
  </w:style>
  <w:style w:type="paragraph" w:styleId="TOC4">
    <w:name w:val="toc 4"/>
    <w:basedOn w:val="Normal"/>
    <w:next w:val="Normal"/>
    <w:semiHidden/>
    <w:qFormat/>
    <w:pPr>
      <w:ind w:left="630"/>
      <w:jc w:val="left"/>
    </w:pPr>
    <w:rPr>
      <w:szCs w:val="21"/>
    </w:rPr>
  </w:style>
  <w:style w:type="paragraph" w:styleId="Subtitle">
    <w:name w:val="Subtitle"/>
    <w:next w:val="Normal"/>
    <w:link w:val="Char21"/>
    <w:qFormat/>
    <w:pPr>
      <w:wordWrap w:val="0"/>
      <w:spacing w:after="60"/>
      <w:jc w:val="center"/>
    </w:pPr>
    <w:rPr>
      <w:rFonts w:ascii="Calibri" w:eastAsia="宋体" w:hAnsi="Calibri" w:cs="Times New Roman"/>
      <w:sz w:val="24"/>
      <w:lang w:val="en-US" w:eastAsia="zh-CN" w:bidi="ar-SA"/>
    </w:rPr>
  </w:style>
  <w:style w:type="paragraph" w:styleId="TOC6">
    <w:name w:val="toc 6"/>
    <w:basedOn w:val="Normal"/>
    <w:next w:val="Normal"/>
    <w:semiHidden/>
    <w:qFormat/>
    <w:pPr>
      <w:ind w:left="1050"/>
      <w:jc w:val="left"/>
    </w:pPr>
    <w:rPr>
      <w:szCs w:val="21"/>
    </w:rPr>
  </w:style>
  <w:style w:type="paragraph" w:styleId="BodyTextIndent3">
    <w:name w:val="Body Text Indent 3"/>
    <w:basedOn w:val="Normal"/>
    <w:link w:val="3Char0"/>
    <w:qFormat/>
    <w:pPr>
      <w:spacing w:line="360" w:lineRule="auto"/>
      <w:ind w:firstLine="482" w:firstLineChars="200"/>
    </w:pPr>
    <w:rPr>
      <w:rFonts w:ascii="宋体"/>
      <w:b/>
      <w:bCs/>
      <w:sz w:val="24"/>
    </w:rPr>
  </w:style>
  <w:style w:type="paragraph" w:styleId="TOC2">
    <w:name w:val="toc 2"/>
    <w:basedOn w:val="Normal"/>
    <w:next w:val="Normal"/>
    <w:semiHidden/>
    <w:qFormat/>
    <w:pPr>
      <w:tabs>
        <w:tab w:val="right" w:leader="dot" w:pos="8296"/>
      </w:tabs>
      <w:ind w:left="210"/>
      <w:jc w:val="left"/>
    </w:pPr>
    <w:rPr>
      <w:smallCaps/>
    </w:rPr>
  </w:style>
  <w:style w:type="paragraph" w:styleId="TOC9">
    <w:name w:val="toc 9"/>
    <w:basedOn w:val="Normal"/>
    <w:next w:val="Normal"/>
    <w:semiHidden/>
    <w:qFormat/>
    <w:pPr>
      <w:ind w:left="1680"/>
      <w:jc w:val="left"/>
    </w:pPr>
    <w:rPr>
      <w:szCs w:val="21"/>
    </w:rPr>
  </w:style>
  <w:style w:type="paragraph" w:styleId="BodyText2">
    <w:name w:val="Body Text 2"/>
    <w:basedOn w:val="Normal"/>
    <w:link w:val="2Char1"/>
    <w:qFormat/>
    <w:pPr>
      <w:spacing w:line="360" w:lineRule="auto"/>
    </w:pPr>
    <w:rPr>
      <w:sz w:val="24"/>
    </w:r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uiPriority w:val="99"/>
    <w:qFormat/>
    <w:pPr>
      <w:spacing w:beforeAutospacing="1" w:afterAutospacing="1"/>
      <w:jc w:val="left"/>
    </w:pPr>
    <w:rPr>
      <w:kern w:val="0"/>
      <w:sz w:val="24"/>
    </w:rPr>
  </w:style>
  <w:style w:type="paragraph" w:styleId="Index1">
    <w:name w:val="index 1"/>
    <w:basedOn w:val="Normal"/>
    <w:next w:val="Normal"/>
    <w:semiHidden/>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next w:val="Normal"/>
    <w:link w:val="Char3"/>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Char17"/>
    <w:uiPriority w:val="9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Char12"/>
    <w:qFormat/>
    <w:pPr>
      <w:spacing w:after="120" w:line="240" w:lineRule="auto"/>
      <w:ind w:firstLine="420" w:firstLineChars="100"/>
    </w:pPr>
    <w:rPr>
      <w:sz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b/>
      <w:bCs/>
      <w:sz w:val="20"/>
    </w:rPr>
  </w:style>
  <w:style w:type="character" w:styleId="HTMLDefinition">
    <w:name w:val="HTML Definition"/>
    <w:basedOn w:val="DefaultParagraphFont"/>
    <w:semiHidden/>
    <w:unhideWhenUsed/>
    <w:qFormat/>
  </w:style>
  <w:style w:type="character" w:styleId="HTMLTypewriter">
    <w:name w:val="HTML Typewriter"/>
    <w:basedOn w:val="DefaultParagraphFont"/>
    <w:semiHidden/>
    <w:unhideWhenUsed/>
    <w:qFormat/>
    <w:rPr>
      <w:rFonts w:ascii="monospace" w:eastAsia="monospace" w:hAnsi="monospace" w:cs="monospace" w:hint="default"/>
      <w:sz w:val="20"/>
    </w:rPr>
  </w:style>
  <w:style w:type="character" w:styleId="HTMLAcronym">
    <w:name w:val="HTML Acronym"/>
    <w:basedOn w:val="DefaultParagraphFont"/>
    <w:semiHidden/>
    <w:unhideWhenUsed/>
    <w:qFormat/>
    <w:rPr>
      <w:color w:val="D6D6D6"/>
    </w:rPr>
  </w:style>
  <w:style w:type="character" w:styleId="HTMLVariable">
    <w:name w:val="HTML Variable"/>
    <w:basedOn w:val="DefaultParagraphFont"/>
    <w:semiHidden/>
    <w:unhideWhenUsed/>
    <w:qFormat/>
  </w:style>
  <w:style w:type="character" w:styleId="Hyperlink">
    <w:name w:val="Hyperlink"/>
    <w:qFormat/>
    <w:rPr>
      <w:color w:val="0000FF"/>
      <w:u w:val="single"/>
    </w:rPr>
  </w:style>
  <w:style w:type="character" w:styleId="HTMLCode">
    <w:name w:val="HTML Code"/>
    <w:basedOn w:val="DefaultParagraphFont"/>
    <w:semiHidden/>
    <w:unhideWhenUsed/>
    <w:qFormat/>
    <w:rPr>
      <w:rFonts w:ascii="monospace" w:eastAsia="monospace" w:hAnsi="monospace" w:cs="monospace"/>
      <w:sz w:val="20"/>
    </w:rPr>
  </w:style>
  <w:style w:type="character" w:styleId="CommentReference">
    <w:name w:val="annotation reference"/>
    <w:basedOn w:val="DefaultParagraphFont"/>
    <w:uiPriority w:val="99"/>
    <w:qFormat/>
    <w:rPr>
      <w:sz w:val="21"/>
      <w:szCs w:val="21"/>
    </w:rPr>
  </w:style>
  <w:style w:type="character" w:styleId="HTMLCite">
    <w:name w:val="HTML Cite"/>
    <w:basedOn w:val="DefaultParagraphFont"/>
    <w:semiHidden/>
    <w:unhideWhenUsed/>
    <w:qFormat/>
  </w:style>
  <w:style w:type="character" w:styleId="HTMLKeyboard">
    <w:name w:val="HTML Keyboard"/>
    <w:basedOn w:val="DefaultParagraphFont"/>
    <w:semiHidden/>
    <w:unhideWhenUsed/>
    <w:qFormat/>
    <w:rPr>
      <w:rFonts w:ascii="monospace" w:eastAsia="monospace" w:hAnsi="monospace" w:cs="monospace" w:hint="default"/>
      <w:sz w:val="20"/>
    </w:rPr>
  </w:style>
  <w:style w:type="character" w:styleId="HTMLSample">
    <w:name w:val="HTML Sample"/>
    <w:basedOn w:val="DefaultParagraphFont"/>
    <w:semiHidden/>
    <w:unhideWhenUsed/>
    <w:qFormat/>
    <w:rPr>
      <w:rFonts w:ascii="monospace" w:eastAsia="monospace" w:hAnsi="monospace" w:cs="monospace" w:hint="default"/>
    </w:rPr>
  </w:style>
  <w:style w:type="paragraph" w:styleId="Quote">
    <w:name w:val="Quote"/>
    <w:next w:val="Normal"/>
    <w:link w:val="Char22"/>
    <w:qFormat/>
    <w:pPr>
      <w:wordWrap w:val="0"/>
      <w:spacing w:before="200" w:after="160"/>
      <w:ind w:left="864" w:right="864"/>
      <w:jc w:val="center"/>
    </w:pPr>
    <w:rPr>
      <w:rFonts w:ascii="Calibri" w:eastAsia="宋体" w:hAnsi="Calibri" w:cs="Times New Roman"/>
      <w:i/>
      <w:sz w:val="21"/>
      <w:lang w:val="en-US" w:eastAsia="zh-CN" w:bidi="ar-SA"/>
    </w:rPr>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character" w:customStyle="1" w:styleId="4Char">
    <w:name w:val="标题 4 Char"/>
    <w:link w:val="Heading4"/>
    <w:uiPriority w:val="9"/>
    <w:qFormat/>
    <w:rPr>
      <w:rFonts w:ascii="Arial" w:eastAsia="黑体" w:hAnsi="Arial"/>
      <w:b/>
      <w:bCs/>
      <w:kern w:val="2"/>
      <w:sz w:val="28"/>
      <w:szCs w:val="28"/>
      <w:lang w:val="en-US" w:eastAsia="zh-CN" w:bidi="ar-SA"/>
    </w:rPr>
  </w:style>
  <w:style w:type="paragraph" w:customStyle="1" w:styleId="Char">
    <w:name w:val="Char"/>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Heading3"/>
    <w:uiPriority w:val="9"/>
    <w:qFormat/>
    <w:rPr>
      <w:rFonts w:ascii="宋体" w:eastAsia="宋体" w:hAnsi="宋体"/>
      <w:b/>
      <w:bCs/>
      <w:kern w:val="2"/>
      <w:sz w:val="28"/>
      <w:szCs w:val="32"/>
      <w:lang w:val="en-US" w:eastAsia="zh-CN" w:bidi="ar-SA"/>
    </w:rPr>
  </w:style>
  <w:style w:type="character" w:customStyle="1" w:styleId="1Char">
    <w:name w:val="标题 1 Char"/>
    <w:link w:val="Heading1"/>
    <w:qFormat/>
    <w:rPr>
      <w:rFonts w:ascii="宋体" w:eastAsia="黑体" w:hAnsi="宋体"/>
      <w:b/>
      <w:bCs/>
      <w:kern w:val="44"/>
      <w:sz w:val="28"/>
      <w:szCs w:val="44"/>
      <w:lang w:val="en-US" w:eastAsia="zh-CN" w:bidi="ar-SA"/>
    </w:rPr>
  </w:style>
  <w:style w:type="character" w:customStyle="1" w:styleId="Char0">
    <w:name w:val="正文缩进 Char"/>
    <w:link w:val="NormalIndent"/>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Normal"/>
    <w:qFormat/>
    <w:pPr>
      <w:numPr>
        <w:ilvl w:val="0"/>
        <w:numId w:val="2"/>
      </w:numPr>
      <w:tabs>
        <w:tab w:val="left" w:pos="945"/>
      </w:tabs>
      <w:spacing w:line="360" w:lineRule="auto"/>
    </w:pPr>
    <w:rPr>
      <w:b/>
      <w:color w:val="000000"/>
      <w:sz w:val="24"/>
      <w:szCs w:val="20"/>
    </w:rPr>
  </w:style>
  <w:style w:type="paragraph" w:customStyle="1" w:styleId="a">
    <w:name w:val="图"/>
    <w:basedOn w:val="Normal"/>
    <w:qFormat/>
    <w:pPr>
      <w:keepNext/>
      <w:adjustRightInd w:val="0"/>
      <w:snapToGrid w:val="0"/>
      <w:spacing w:before="60" w:after="60" w:line="300" w:lineRule="auto"/>
      <w:jc w:val="center"/>
    </w:pPr>
    <w:rPr>
      <w:spacing w:val="20"/>
      <w:kern w:val="0"/>
      <w:sz w:val="24"/>
      <w:szCs w:val="20"/>
    </w:rPr>
  </w:style>
  <w:style w:type="paragraph" w:customStyle="1" w:styleId="a0">
    <w:name w:val="文档正文"/>
    <w:basedOn w:val="Normal"/>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qFormat/>
    <w:pPr>
      <w:suppressAutoHyphens/>
      <w:autoSpaceDE w:val="0"/>
      <w:spacing w:after="120"/>
      <w:jc w:val="left"/>
    </w:pPr>
    <w:rPr>
      <w:rFonts w:ascii="Helvetica" w:hAnsi="Helvetica"/>
      <w:kern w:val="1"/>
      <w:sz w:val="20"/>
      <w:szCs w:val="20"/>
    </w:rPr>
  </w:style>
  <w:style w:type="paragraph" w:customStyle="1" w:styleId="a1">
    <w:name w:val="自定义正文"/>
    <w:basedOn w:val="Normal"/>
    <w:qFormat/>
    <w:pPr>
      <w:spacing w:afterLines="50"/>
      <w:ind w:left="600" w:leftChars="600"/>
    </w:pPr>
  </w:style>
  <w:style w:type="paragraph" w:customStyle="1" w:styleId="CharCharCharCharChar">
    <w:name w:val="Char Char Char Char Char"/>
    <w:basedOn w:val="Normal"/>
    <w:qFormat/>
    <w:rPr>
      <w:rFonts w:ascii="Tahoma" w:hAnsi="Tahoma"/>
      <w:sz w:val="24"/>
      <w:szCs w:val="20"/>
    </w:rPr>
  </w:style>
  <w:style w:type="paragraph" w:customStyle="1" w:styleId="1">
    <w:name w:val="小标题 1"/>
    <w:basedOn w:val="Normal"/>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qFormat/>
    <w:rPr>
      <w:rFonts w:ascii="Tahoma" w:hAnsi="Tahoma"/>
      <w:sz w:val="24"/>
      <w:szCs w:val="20"/>
    </w:rPr>
  </w:style>
  <w:style w:type="paragraph" w:customStyle="1" w:styleId="a2">
    <w:name w:val="È±Ê¡ÎÄ±¾"/>
    <w:basedOn w:val="Normal"/>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Heading2"/>
    <w:qFormat/>
    <w:rPr>
      <w:rFonts w:ascii="宋体" w:eastAsia="宋体" w:hAnsi="宋体"/>
      <w:b/>
      <w:bCs/>
      <w:sz w:val="24"/>
      <w:lang w:val="en-US" w:eastAsia="zh-CN" w:bidi="ar-SA"/>
    </w:rPr>
  </w:style>
  <w:style w:type="paragraph" w:customStyle="1" w:styleId="CharCharCharCharCharChar1Char">
    <w:name w:val="Char Char Char Char Char Char1 Char"/>
    <w:basedOn w:val="Normal"/>
    <w:qFormat/>
    <w:pPr>
      <w:widowControl/>
      <w:spacing w:after="160" w:line="240" w:lineRule="exact"/>
      <w:jc w:val="left"/>
    </w:pPr>
    <w:rPr>
      <w:rFonts w:ascii="Verdana" w:hAnsi="Verdana"/>
      <w:kern w:val="0"/>
      <w:szCs w:val="20"/>
      <w:lang w:eastAsia="en-US"/>
    </w:rPr>
  </w:style>
  <w:style w:type="paragraph" w:styleId="ListParagraph">
    <w:name w:val="List Paragraph"/>
    <w:basedOn w:val="Normal"/>
    <w:qFormat/>
    <w:pPr>
      <w:ind w:firstLine="420" w:firstLineChars="200"/>
    </w:pPr>
    <w:rPr>
      <w:rFonts w:ascii="Calibri" w:hAnsi="Calibri"/>
      <w:szCs w:val="22"/>
    </w:rPr>
  </w:style>
  <w:style w:type="paragraph" w:customStyle="1" w:styleId="USE1">
    <w:name w:val="USE 1"/>
    <w:basedOn w:val="Normal"/>
    <w:qFormat/>
    <w:pPr>
      <w:spacing w:line="200" w:lineRule="atLeast"/>
      <w:jc w:val="left"/>
    </w:pPr>
    <w:rPr>
      <w:rFonts w:ascii="宋体" w:hAnsi="宋体"/>
      <w:b/>
      <w:sz w:val="24"/>
      <w:szCs w:val="28"/>
    </w:rPr>
  </w:style>
  <w:style w:type="paragraph" w:customStyle="1" w:styleId="RFItextfrom3rdLevel">
    <w:name w:val="RFI text from 3rd Level"/>
    <w:basedOn w:val="Normal"/>
    <w:qFormat/>
    <w:pPr>
      <w:widowControl/>
      <w:numPr>
        <w:ilvl w:val="0"/>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3">
    <w:name w:val="正文文字缩进项目"/>
    <w:basedOn w:val="BodyTextIndent"/>
    <w:qFormat/>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1">
    <w:name w:val="正文文本缩进 Char"/>
    <w:link w:val="BodyTextIndent"/>
    <w:qFormat/>
    <w:rPr>
      <w:rFonts w:eastAsia="宋体"/>
      <w:kern w:val="2"/>
      <w:sz w:val="21"/>
      <w:szCs w:val="24"/>
      <w:lang w:val="en-US" w:eastAsia="zh-CN" w:bidi="ar-SA"/>
    </w:rPr>
  </w:style>
  <w:style w:type="character" w:customStyle="1" w:styleId="5Char">
    <w:name w:val="标题 5 Char"/>
    <w:link w:val="Heading5"/>
    <w:qFormat/>
    <w:rPr>
      <w:rFonts w:eastAsia="宋体"/>
      <w:b/>
      <w:kern w:val="2"/>
      <w:sz w:val="28"/>
      <w:lang w:val="en-US" w:eastAsia="zh-CN" w:bidi="ar-SA"/>
    </w:rPr>
  </w:style>
  <w:style w:type="character" w:customStyle="1" w:styleId="Char2">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Heading6"/>
    <w:qFormat/>
    <w:rPr>
      <w:rFonts w:ascii="Arial" w:eastAsia="黑体" w:hAnsi="Arial"/>
      <w:b/>
      <w:kern w:val="2"/>
      <w:sz w:val="24"/>
      <w:lang w:val="en-US" w:eastAsia="zh-CN" w:bidi="ar-SA"/>
    </w:rPr>
  </w:style>
  <w:style w:type="character" w:customStyle="1" w:styleId="7Char">
    <w:name w:val="标题 7 Char"/>
    <w:link w:val="Heading7"/>
    <w:qFormat/>
    <w:rPr>
      <w:rFonts w:eastAsia="宋体"/>
      <w:b/>
      <w:kern w:val="2"/>
      <w:sz w:val="24"/>
      <w:lang w:val="en-US" w:eastAsia="zh-CN" w:bidi="ar-SA"/>
    </w:rPr>
  </w:style>
  <w:style w:type="character" w:customStyle="1" w:styleId="8Char">
    <w:name w:val="标题 8 Char"/>
    <w:link w:val="Heading8"/>
    <w:qFormat/>
    <w:rPr>
      <w:rFonts w:ascii="Arial" w:eastAsia="黑体" w:hAnsi="Arial"/>
      <w:kern w:val="2"/>
      <w:sz w:val="24"/>
      <w:lang w:val="en-US" w:eastAsia="zh-CN" w:bidi="ar-SA"/>
    </w:rPr>
  </w:style>
  <w:style w:type="character" w:customStyle="1" w:styleId="9Char">
    <w:name w:val="标题 9 Char"/>
    <w:link w:val="Heading9"/>
    <w:qFormat/>
    <w:rPr>
      <w:rFonts w:ascii="Arial" w:eastAsia="黑体" w:hAnsi="Arial"/>
      <w:kern w:val="2"/>
      <w:sz w:val="21"/>
      <w:lang w:val="en-US" w:eastAsia="zh-CN" w:bidi="ar-SA"/>
    </w:rPr>
  </w:style>
  <w:style w:type="character" w:customStyle="1" w:styleId="Char3">
    <w:name w:val="标题 Char"/>
    <w:link w:val="Title"/>
    <w:qFormat/>
    <w:rPr>
      <w:rFonts w:ascii="Arial" w:eastAsia="隶书" w:hAnsi="Arial" w:cs="Arial"/>
      <w:b/>
      <w:bCs/>
      <w:kern w:val="2"/>
      <w:sz w:val="32"/>
      <w:szCs w:val="32"/>
      <w:lang w:val="en-US" w:eastAsia="zh-CN" w:bidi="ar-SA"/>
    </w:rPr>
  </w:style>
  <w:style w:type="character" w:customStyle="1" w:styleId="Char4">
    <w:name w:val="日期 Char"/>
    <w:link w:val="Date"/>
    <w:qFormat/>
    <w:rPr>
      <w:rFonts w:ascii="宋体" w:eastAsia="宋体" w:hAnsi="Courier New"/>
      <w:kern w:val="2"/>
      <w:sz w:val="32"/>
      <w:lang w:val="en-US" w:eastAsia="zh-CN" w:bidi="ar-SA"/>
    </w:rPr>
  </w:style>
  <w:style w:type="character" w:customStyle="1" w:styleId="HTMLChar">
    <w:name w:val="HTML 预设格式 Char"/>
    <w:link w:val="HTMLPreformatted"/>
    <w:qFormat/>
    <w:rPr>
      <w:rFonts w:ascii="Arial Unicode MS" w:eastAsia="Arial Unicode MS" w:hAnsi="Arial Unicode MS"/>
      <w:color w:val="000000"/>
      <w:lang w:val="en-US" w:eastAsia="zh-CN" w:bidi="ar-SA"/>
    </w:rPr>
  </w:style>
  <w:style w:type="character" w:customStyle="1" w:styleId="Char5">
    <w:name w:val="纯文本 Char"/>
    <w:link w:val="PlainText"/>
    <w:qFormat/>
    <w:rPr>
      <w:rFonts w:ascii="宋体" w:eastAsia="宋体" w:hAnsi="Courier New"/>
      <w:kern w:val="2"/>
      <w:sz w:val="21"/>
      <w:lang w:val="en-US" w:eastAsia="zh-CN" w:bidi="ar-SA"/>
    </w:rPr>
  </w:style>
  <w:style w:type="character" w:customStyle="1" w:styleId="Char6">
    <w:name w:val="正文文字首行缩进 Char"/>
    <w:qFormat/>
    <w:rPr>
      <w:kern w:val="2"/>
      <w:sz w:val="21"/>
      <w:szCs w:val="24"/>
    </w:rPr>
  </w:style>
  <w:style w:type="character" w:customStyle="1" w:styleId="Char7">
    <w:name w:val="正文文本 Char"/>
    <w:link w:val="BodyText"/>
    <w:qFormat/>
    <w:rPr>
      <w:rFonts w:eastAsia="宋体"/>
      <w:b/>
      <w:bCs/>
      <w:kern w:val="2"/>
      <w:sz w:val="24"/>
      <w:szCs w:val="24"/>
      <w:lang w:val="en-US" w:eastAsia="zh-CN" w:bidi="ar-SA"/>
    </w:rPr>
  </w:style>
  <w:style w:type="character" w:customStyle="1" w:styleId="2Char0">
    <w:name w:val="正文文本缩进 2 Char"/>
    <w:link w:val="BodyTextIndent2"/>
    <w:qFormat/>
    <w:rPr>
      <w:rFonts w:ascii="宋体" w:eastAsia="宋体" w:hAnsi="宋体"/>
      <w:kern w:val="2"/>
      <w:sz w:val="21"/>
      <w:szCs w:val="24"/>
      <w:lang w:val="en-US" w:eastAsia="zh-CN" w:bidi="ar-SA"/>
    </w:rPr>
  </w:style>
  <w:style w:type="character" w:customStyle="1" w:styleId="Char8">
    <w:name w:val="页眉 Char"/>
    <w:link w:val="Header"/>
    <w:uiPriority w:val="99"/>
    <w:qFormat/>
    <w:rPr>
      <w:rFonts w:eastAsia="宋体"/>
      <w:kern w:val="2"/>
      <w:sz w:val="18"/>
      <w:szCs w:val="18"/>
      <w:lang w:val="en-US" w:eastAsia="zh-CN" w:bidi="ar-SA"/>
    </w:rPr>
  </w:style>
  <w:style w:type="character" w:customStyle="1" w:styleId="3Char0">
    <w:name w:val="正文文本缩进 3 Char"/>
    <w:link w:val="BodyTextIndent3"/>
    <w:qFormat/>
    <w:rPr>
      <w:rFonts w:ascii="宋体" w:eastAsia="宋体"/>
      <w:b/>
      <w:bCs/>
      <w:kern w:val="2"/>
      <w:sz w:val="24"/>
      <w:szCs w:val="24"/>
      <w:lang w:val="en-US" w:eastAsia="zh-CN" w:bidi="ar-SA"/>
    </w:rPr>
  </w:style>
  <w:style w:type="character" w:customStyle="1" w:styleId="2Char1">
    <w:name w:val="正文文本 2 Char"/>
    <w:link w:val="BodyText2"/>
    <w:qFormat/>
    <w:rPr>
      <w:rFonts w:eastAsia="宋体"/>
      <w:kern w:val="2"/>
      <w:sz w:val="24"/>
      <w:szCs w:val="24"/>
      <w:lang w:val="en-US" w:eastAsia="zh-CN" w:bidi="ar-SA"/>
    </w:rPr>
  </w:style>
  <w:style w:type="character" w:customStyle="1" w:styleId="Char9">
    <w:name w:val="页脚 Char"/>
    <w:link w:val="Footer"/>
    <w:qFormat/>
    <w:rPr>
      <w:rFonts w:eastAsia="宋体"/>
      <w:kern w:val="2"/>
      <w:sz w:val="18"/>
      <w:szCs w:val="18"/>
      <w:lang w:val="en-US" w:eastAsia="zh-CN" w:bidi="ar-SA"/>
    </w:rPr>
  </w:style>
  <w:style w:type="character" w:customStyle="1" w:styleId="3Char2">
    <w:name w:val="正文文本 3 Char"/>
    <w:link w:val="BodyText3"/>
    <w:qFormat/>
    <w:rPr>
      <w:rFonts w:eastAsia="宋体"/>
      <w:kern w:val="2"/>
      <w:sz w:val="16"/>
      <w:szCs w:val="16"/>
      <w:lang w:val="en-US" w:eastAsia="zh-CN" w:bidi="ar-SA"/>
    </w:rPr>
  </w:style>
  <w:style w:type="character" w:customStyle="1" w:styleId="Char10">
    <w:name w:val="批注框文本 Char"/>
    <w:link w:val="BalloonText"/>
    <w:uiPriority w:val="99"/>
    <w:semiHidden/>
    <w:qFormat/>
    <w:rPr>
      <w:rFonts w:eastAsia="宋体"/>
      <w:kern w:val="2"/>
      <w:sz w:val="18"/>
      <w:szCs w:val="18"/>
      <w:lang w:val="en-US" w:eastAsia="zh-CN" w:bidi="ar-SA"/>
    </w:rPr>
  </w:style>
  <w:style w:type="paragraph" w:customStyle="1" w:styleId="10">
    <w:name w:val="样式1"/>
    <w:basedOn w:val="Title"/>
    <w:qFormat/>
    <w:pPr>
      <w:spacing w:before="120" w:after="120"/>
    </w:pPr>
    <w:rPr>
      <w:rFonts w:eastAsia="黑体"/>
      <w:b w:val="0"/>
      <w:sz w:val="30"/>
      <w:szCs w:val="21"/>
    </w:rPr>
  </w:style>
  <w:style w:type="paragraph" w:customStyle="1" w:styleId="2">
    <w:name w:val="样式2"/>
    <w:basedOn w:val="Title"/>
    <w:next w:val="10"/>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qFormat/>
    <w:pPr>
      <w:spacing w:line="360" w:lineRule="auto"/>
      <w:ind w:firstLine="200" w:firstLineChars="200"/>
    </w:pPr>
    <w:rPr>
      <w:szCs w:val="20"/>
    </w:rPr>
  </w:style>
  <w:style w:type="paragraph" w:customStyle="1" w:styleId="a4">
    <w:name w:val="设计依据"/>
    <w:basedOn w:val="BodyText"/>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5">
    <w:name w:val="方案要点"/>
    <w:basedOn w:val="Normal"/>
    <w:qFormat/>
    <w:pPr>
      <w:numPr>
        <w:ilvl w:val="0"/>
        <w:numId w:val="4"/>
      </w:numPr>
      <w:spacing w:line="360" w:lineRule="auto"/>
    </w:pPr>
    <w:rPr>
      <w:rFonts w:ascii="仿宋_GB2312" w:eastAsia="仿宋_GB2312" w:hAnsi="宋体"/>
      <w:color w:val="000000"/>
      <w:sz w:val="28"/>
      <w:szCs w:val="28"/>
    </w:rPr>
  </w:style>
  <w:style w:type="paragraph" w:customStyle="1" w:styleId="4">
    <w:name w:val="样式4"/>
    <w:basedOn w:val="Normal"/>
    <w:qFormat/>
    <w:pPr>
      <w:tabs>
        <w:tab w:val="left" w:pos="842"/>
      </w:tabs>
      <w:spacing w:line="360" w:lineRule="auto"/>
      <w:ind w:left="842" w:hanging="420"/>
    </w:pPr>
    <w:rPr>
      <w:sz w:val="24"/>
    </w:rPr>
  </w:style>
  <w:style w:type="paragraph" w:customStyle="1" w:styleId="a6">
    <w:name w:val="文字"/>
    <w:basedOn w:val="Normal"/>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0" w:firstLineChars="0"/>
    </w:pPr>
    <w:rPr>
      <w:sz w:val="20"/>
    </w:rPr>
  </w:style>
  <w:style w:type="paragraph" w:customStyle="1" w:styleId="----0">
    <w:name w:val="--规划-表格-居中"/>
    <w:basedOn w:val="--"/>
    <w:qFormat/>
    <w:pPr>
      <w:spacing w:line="240" w:lineRule="auto"/>
      <w:ind w:firstLine="0" w:firstLineChars="0"/>
      <w:jc w:val="center"/>
    </w:pPr>
    <w:rPr>
      <w:sz w:val="20"/>
    </w:rPr>
  </w:style>
  <w:style w:type="paragraph" w:customStyle="1" w:styleId="--0">
    <w:name w:val="--编号内缩进"/>
    <w:basedOn w:val="Normal"/>
    <w:qFormat/>
    <w:pPr>
      <w:spacing w:line="360" w:lineRule="auto"/>
      <w:ind w:left="420" w:firstLine="200" w:firstLineChars="200"/>
    </w:pPr>
    <w:rPr>
      <w:szCs w:val="21"/>
    </w:rPr>
  </w:style>
  <w:style w:type="paragraph" w:customStyle="1" w:styleId="---">
    <w:name w:val="--规划-题注"/>
    <w:basedOn w:val="Normal"/>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7">
    <w:name w:val="缺省文本"/>
    <w:basedOn w:val="Normal"/>
    <w:qFormat/>
    <w:pPr>
      <w:autoSpaceDE w:val="0"/>
      <w:autoSpaceDN w:val="0"/>
      <w:adjustRightInd w:val="0"/>
      <w:jc w:val="left"/>
    </w:pPr>
    <w:rPr>
      <w:kern w:val="0"/>
    </w:rPr>
  </w:style>
  <w:style w:type="paragraph" w:customStyle="1" w:styleId="a8">
    <w:name w:val="封面文档标题"/>
    <w:basedOn w:val="Normal"/>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Heading1"/>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Normal"/>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9">
    <w:name w:val="列表项目"/>
    <w:basedOn w:val="Normal"/>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DefaultParagraphFont"/>
    <w:qFormat/>
  </w:style>
  <w:style w:type="character" w:customStyle="1" w:styleId="font2">
    <w:name w:val="font2"/>
    <w:basedOn w:val="DefaultParagraphFont"/>
    <w:qFormat/>
  </w:style>
  <w:style w:type="character" w:customStyle="1" w:styleId="font41">
    <w:name w:val="font41"/>
    <w:qFormat/>
    <w:rPr>
      <w:color w:val="000000"/>
      <w:spacing w:val="260"/>
      <w:sz w:val="18"/>
      <w:szCs w:val="18"/>
      <w:u w:val="none"/>
    </w:rPr>
  </w:style>
  <w:style w:type="paragraph" w:customStyle="1" w:styleId="a10">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qFormat/>
    <w:pPr>
      <w:widowControl/>
      <w:spacing w:before="100" w:beforeAutospacing="1" w:after="100" w:afterAutospacing="1"/>
      <w:jc w:val="left"/>
    </w:pPr>
    <w:rPr>
      <w:rFonts w:ascii="宋体" w:hAnsi="宋体"/>
      <w:b/>
      <w:bCs/>
      <w:kern w:val="0"/>
      <w:sz w:val="28"/>
      <w:szCs w:val="28"/>
    </w:rPr>
  </w:style>
  <w:style w:type="character" w:customStyle="1" w:styleId="Char12">
    <w:name w:val="正文首行缩进 Char"/>
    <w:link w:val="BodyTextFirstIndent"/>
    <w:qFormat/>
    <w:rPr>
      <w:rFonts w:eastAsia="宋体"/>
      <w:b/>
      <w:bCs/>
      <w:kern w:val="2"/>
      <w:sz w:val="21"/>
      <w:szCs w:val="24"/>
      <w:lang w:val="en-US" w:eastAsia="zh-CN" w:bidi="ar-SA"/>
    </w:rPr>
  </w:style>
  <w:style w:type="paragraph" w:customStyle="1" w:styleId="Char13">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qFormat/>
  </w:style>
  <w:style w:type="paragraph" w:customStyle="1" w:styleId="9">
    <w:name w:val="9"/>
    <w:basedOn w:val="Normal"/>
    <w:next w:val="NormalIndent"/>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qFormat/>
  </w:style>
  <w:style w:type="paragraph" w:customStyle="1" w:styleId="80">
    <w:name w:val="8"/>
    <w:basedOn w:val="Normal"/>
    <w:next w:val="BodyTextIndent"/>
    <w:qFormat/>
    <w:pPr>
      <w:spacing w:after="120"/>
      <w:ind w:left="420" w:leftChars="200"/>
    </w:pPr>
  </w:style>
  <w:style w:type="paragraph" w:customStyle="1" w:styleId="7">
    <w:name w:val="7"/>
    <w:basedOn w:val="Normal"/>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qFormat/>
    <w:pPr>
      <w:autoSpaceDE w:val="0"/>
      <w:autoSpaceDN w:val="0"/>
      <w:adjustRightInd w:val="0"/>
      <w:jc w:val="left"/>
    </w:pPr>
    <w:rPr>
      <w:rFonts w:ascii="黑体" w:eastAsia="黑体"/>
      <w:b/>
      <w:bCs/>
      <w:kern w:val="0"/>
      <w:sz w:val="20"/>
      <w:szCs w:val="20"/>
    </w:rPr>
  </w:style>
  <w:style w:type="paragraph" w:customStyle="1" w:styleId="5">
    <w:name w:val="5"/>
    <w:basedOn w:val="Normal"/>
    <w:qFormat/>
    <w:pPr>
      <w:autoSpaceDE w:val="0"/>
      <w:autoSpaceDN w:val="0"/>
      <w:adjustRightInd w:val="0"/>
      <w:jc w:val="left"/>
    </w:pPr>
    <w:rPr>
      <w:rFonts w:ascii="宋体"/>
      <w:b/>
      <w:bCs/>
      <w:kern w:val="0"/>
      <w:sz w:val="18"/>
      <w:szCs w:val="18"/>
    </w:rPr>
  </w:style>
  <w:style w:type="paragraph" w:customStyle="1" w:styleId="6">
    <w:name w:val="6"/>
    <w:basedOn w:val="5"/>
    <w:qFormat/>
    <w:pPr>
      <w:spacing w:line="270" w:lineRule="atLeast"/>
      <w:jc w:val="both"/>
    </w:pPr>
    <w:rPr>
      <w:b w:val="0"/>
      <w:bCs w:val="0"/>
    </w:rPr>
  </w:style>
  <w:style w:type="paragraph" w:customStyle="1" w:styleId="a11">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12">
    <w:name w:val="姜文清定义的正文"/>
    <w:basedOn w:val="Normal"/>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Normal"/>
    <w:qFormat/>
    <w:pPr>
      <w:widowControl/>
      <w:spacing w:before="120" w:line="360" w:lineRule="auto"/>
      <w:ind w:firstLine="425"/>
    </w:pPr>
    <w:rPr>
      <w:kern w:val="0"/>
      <w:sz w:val="24"/>
    </w:rPr>
  </w:style>
  <w:style w:type="character" w:customStyle="1" w:styleId="blue">
    <w:name w:val="blue"/>
    <w:basedOn w:val="DefaultParagraphFont"/>
    <w:qFormat/>
  </w:style>
  <w:style w:type="paragraph" w:customStyle="1" w:styleId="blue1">
    <w:name w:val="blue1"/>
    <w:basedOn w:val="Normal"/>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qFormat/>
  </w:style>
  <w:style w:type="character" w:customStyle="1" w:styleId="font11">
    <w:name w:val="font11"/>
    <w:qFormat/>
    <w:rPr>
      <w:rFonts w:ascii="ˎ̥" w:hAnsi="ˎ̥" w:hint="default"/>
    </w:rPr>
  </w:style>
  <w:style w:type="paragraph" w:customStyle="1" w:styleId="a14">
    <w:name w:val="a14"/>
    <w:basedOn w:val="Normal"/>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qFormat/>
  </w:style>
  <w:style w:type="character" w:customStyle="1" w:styleId="prodheadlines">
    <w:name w:val="prodheadlines"/>
    <w:basedOn w:val="DefaultParagraphFont"/>
    <w:qFormat/>
  </w:style>
  <w:style w:type="character" w:customStyle="1" w:styleId="text">
    <w:name w:val="text"/>
    <w:basedOn w:val="DefaultParagraphFont"/>
    <w:qFormat/>
  </w:style>
  <w:style w:type="paragraph" w:customStyle="1" w:styleId="text1">
    <w:name w:val="text1"/>
    <w:basedOn w:val="Normal"/>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hidden/>
    <w:qFormat/>
    <w:pPr>
      <w:widowControl/>
      <w:pBdr>
        <w:top w:val="single" w:sz="6" w:space="1" w:color="auto"/>
      </w:pBdr>
      <w:jc w:val="center"/>
    </w:pPr>
    <w:rPr>
      <w:rFonts w:ascii="Arial" w:hAnsi="Arial" w:cs="Arial"/>
      <w:vanish/>
      <w:kern w:val="0"/>
      <w:sz w:val="16"/>
      <w:szCs w:val="16"/>
    </w:rPr>
  </w:style>
  <w:style w:type="paragraph" w:customStyle="1" w:styleId="a13">
    <w:name w:val="正文样式"/>
    <w:basedOn w:val="Normal"/>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15">
    <w:name w:val="段落正文"/>
    <w:basedOn w:val="PlainText"/>
    <w:qFormat/>
    <w:pPr>
      <w:ind w:firstLine="560" w:firstLineChars="200"/>
    </w:pPr>
    <w:rPr>
      <w:sz w:val="28"/>
    </w:rPr>
  </w:style>
  <w:style w:type="character" w:customStyle="1" w:styleId="gray6">
    <w:name w:val="gray6"/>
    <w:basedOn w:val="DefaultParagraphFont"/>
    <w:qFormat/>
  </w:style>
  <w:style w:type="character" w:customStyle="1" w:styleId="style9">
    <w:name w:val="style9"/>
    <w:basedOn w:val="DefaultParagraphFont"/>
    <w:qFormat/>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qFormat/>
  </w:style>
  <w:style w:type="paragraph" w:customStyle="1" w:styleId="style2">
    <w:name w:val="style2"/>
    <w:basedOn w:val="Normal"/>
    <w:qFormat/>
    <w:pPr>
      <w:widowControl/>
      <w:spacing w:before="100" w:beforeAutospacing="1" w:after="100" w:afterAutospacing="1"/>
      <w:jc w:val="left"/>
    </w:pPr>
    <w:rPr>
      <w:rFonts w:ascii="宋体" w:hAnsi="宋体" w:cs="宋体"/>
      <w:kern w:val="0"/>
      <w:sz w:val="18"/>
      <w:szCs w:val="18"/>
    </w:rPr>
  </w:style>
  <w:style w:type="paragraph" w:customStyle="1" w:styleId="Char14">
    <w:name w:val="Char1"/>
    <w:basedOn w:val="Normal"/>
    <w:qFormat/>
    <w:pPr>
      <w:jc w:val="left"/>
    </w:pPr>
    <w:rPr>
      <w:rFonts w:ascii="Tahoma" w:hAnsi="Tahoma"/>
      <w:sz w:val="24"/>
      <w:szCs w:val="20"/>
    </w:rPr>
  </w:style>
  <w:style w:type="paragraph" w:customStyle="1" w:styleId="11">
    <w:name w:val="编号1"/>
    <w:basedOn w:val="Normal"/>
    <w:qFormat/>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hAnsi="Verdana"/>
      <w:kern w:val="0"/>
      <w:szCs w:val="20"/>
      <w:lang w:eastAsia="en-US"/>
    </w:rPr>
  </w:style>
  <w:style w:type="paragraph" w:customStyle="1" w:styleId="font0">
    <w:name w:val="font0"/>
    <w:basedOn w:val="Normal"/>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16">
    <w:name w:val="表格字"/>
    <w:basedOn w:val="Normal"/>
    <w:qFormat/>
    <w:pPr>
      <w:adjustRightInd w:val="0"/>
      <w:jc w:val="center"/>
    </w:pPr>
    <w:rPr>
      <w:rFonts w:ascii="宋体"/>
      <w:sz w:val="24"/>
      <w:szCs w:val="20"/>
    </w:rPr>
  </w:style>
  <w:style w:type="character" w:customStyle="1" w:styleId="a17">
    <w:name w:val="样式 小三 加粗"/>
    <w:qFormat/>
    <w:rPr>
      <w:rFonts w:eastAsia="宋体"/>
      <w:b/>
      <w:bCs/>
      <w:sz w:val="32"/>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20">
    <w:name w:val="Char2"/>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qFormat/>
  </w:style>
  <w:style w:type="paragraph" w:customStyle="1" w:styleId="a18">
    <w:name w:val="缩进正文"/>
    <w:basedOn w:val="Normal"/>
    <w:link w:val="Char15"/>
    <w:qFormat/>
    <w:pPr>
      <w:ind w:firstLine="560" w:firstLineChars="200"/>
    </w:pPr>
    <w:rPr>
      <w:rFonts w:eastAsia="仿宋_GB2312" w:cs="宋体"/>
      <w:sz w:val="28"/>
      <w:szCs w:val="20"/>
    </w:rPr>
  </w:style>
  <w:style w:type="character" w:customStyle="1" w:styleId="Char15">
    <w:name w:val="缩进正文 Char"/>
    <w:link w:val="a18"/>
    <w:qFormat/>
    <w:rPr>
      <w:rFonts w:eastAsia="仿宋_GB2312" w:cs="宋体"/>
      <w:kern w:val="2"/>
      <w:sz w:val="28"/>
      <w:lang w:val="en-US" w:eastAsia="zh-CN" w:bidi="ar-SA"/>
    </w:rPr>
  </w:style>
  <w:style w:type="paragraph" w:customStyle="1" w:styleId="12">
    <w:name w:val="列出段落1"/>
    <w:basedOn w:val="Normal"/>
    <w:qFormat/>
    <w:pPr>
      <w:ind w:firstLine="420" w:firstLineChars="200"/>
    </w:pPr>
    <w:rPr>
      <w:rFonts w:ascii="Calibri" w:hAnsi="Calibri" w:cs="Calibri"/>
      <w:szCs w:val="21"/>
    </w:rPr>
  </w:style>
  <w:style w:type="character" w:customStyle="1" w:styleId="Char16">
    <w:name w:val="批注文字 Char"/>
    <w:basedOn w:val="DefaultParagraphFont"/>
    <w:link w:val="CommentText"/>
    <w:uiPriority w:val="99"/>
    <w:semiHidden/>
    <w:qFormat/>
    <w:rPr>
      <w:rFonts w:ascii="宋体"/>
      <w:sz w:val="34"/>
    </w:rPr>
  </w:style>
  <w:style w:type="character" w:customStyle="1" w:styleId="Char17">
    <w:name w:val="批注主题 Char"/>
    <w:basedOn w:val="Char16"/>
    <w:link w:val="CommentSubject"/>
    <w:uiPriority w:val="99"/>
    <w:qFormat/>
    <w:rPr>
      <w:rFonts w:ascii="宋体"/>
      <w:sz w:val="34"/>
    </w:rPr>
  </w:style>
  <w:style w:type="paragraph" w:customStyle="1" w:styleId="a19">
    <w:name w:val="评价"/>
    <w:basedOn w:val="Normal"/>
    <w:qFormat/>
    <w:pPr>
      <w:spacing w:afterLines="20"/>
      <w:ind w:firstLine="1446" w:firstLineChars="200"/>
    </w:pPr>
    <w:rPr>
      <w:rFonts w:ascii="Calibri" w:hAnsi="Calibri"/>
      <w:sz w:val="24"/>
    </w:rPr>
  </w:style>
  <w:style w:type="paragraph" w:customStyle="1" w:styleId="13">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lt-edited1">
    <w:name w:val="alt-edited1"/>
    <w:qFormat/>
    <w:rPr>
      <w:color w:val="4D90F0"/>
    </w:rPr>
  </w:style>
  <w:style w:type="paragraph" w:customStyle="1" w:styleId="toc14">
    <w:name w:val="toc 14"/>
    <w:next w:val="Normal"/>
    <w:qFormat/>
    <w:pPr>
      <w:wordWrap w:val="0"/>
      <w:jc w:val="both"/>
    </w:pPr>
    <w:rPr>
      <w:rFonts w:ascii="Calibri" w:eastAsia="宋体" w:hAnsi="Calibri" w:cs="Times New Roman"/>
      <w:sz w:val="21"/>
      <w:lang w:val="en-US" w:eastAsia="zh-CN" w:bidi="ar-SA"/>
    </w:rPr>
  </w:style>
  <w:style w:type="character" w:customStyle="1" w:styleId="Char18">
    <w:name w:val="文档结构图 Char1"/>
    <w:semiHidden/>
    <w:qFormat/>
    <w:rPr>
      <w:sz w:val="20"/>
    </w:rPr>
  </w:style>
  <w:style w:type="character" w:customStyle="1" w:styleId="Char19">
    <w:name w:val="文档结构图 Char"/>
    <w:semiHidden/>
    <w:qFormat/>
    <w:rPr>
      <w:sz w:val="20"/>
    </w:rPr>
  </w:style>
  <w:style w:type="character" w:customStyle="1" w:styleId="shorttext">
    <w:name w:val="short_text"/>
    <w:basedOn w:val="DefaultParagraphFont"/>
    <w:qFormat/>
    <w:rPr>
      <w:sz w:val="20"/>
    </w:rPr>
  </w:style>
  <w:style w:type="character" w:customStyle="1" w:styleId="Char110">
    <w:name w:val="标题 Char1"/>
    <w:qFormat/>
    <w:rPr>
      <w:b/>
      <w:sz w:val="20"/>
    </w:rPr>
  </w:style>
  <w:style w:type="character" w:customStyle="1" w:styleId="3Char10">
    <w:name w:val="正文文本缩进 3 Char1"/>
    <w:semiHidden/>
    <w:qFormat/>
    <w:rPr>
      <w:sz w:val="20"/>
    </w:rPr>
  </w:style>
  <w:style w:type="character" w:customStyle="1" w:styleId="font21">
    <w:name w:val="font21"/>
    <w:qFormat/>
    <w:rPr>
      <w:color w:val="FF0000"/>
      <w:sz w:val="20"/>
      <w:u w:val="none"/>
    </w:rPr>
  </w:style>
  <w:style w:type="character" w:customStyle="1" w:styleId="14">
    <w:name w:val="不明显强调1"/>
    <w:qFormat/>
    <w:rPr>
      <w:i/>
      <w:sz w:val="20"/>
    </w:rPr>
  </w:style>
  <w:style w:type="character" w:customStyle="1" w:styleId="font71">
    <w:name w:val="font71"/>
    <w:qFormat/>
    <w:rPr>
      <w:sz w:val="20"/>
      <w:u w:val="none"/>
    </w:rPr>
  </w:style>
  <w:style w:type="character" w:customStyle="1" w:styleId="Char111">
    <w:name w:val="页眉 Char1"/>
    <w:semiHidden/>
    <w:qFormat/>
    <w:rPr>
      <w:sz w:val="20"/>
    </w:rPr>
  </w:style>
  <w:style w:type="character" w:customStyle="1" w:styleId="2Char10">
    <w:name w:val="正文文本缩进 2 Char1"/>
    <w:semiHidden/>
    <w:qFormat/>
    <w:rPr>
      <w:sz w:val="20"/>
    </w:rPr>
  </w:style>
  <w:style w:type="character" w:customStyle="1" w:styleId="font61">
    <w:name w:val="font61"/>
    <w:qFormat/>
    <w:rPr>
      <w:sz w:val="20"/>
      <w:u w:val="none"/>
    </w:rPr>
  </w:style>
  <w:style w:type="character" w:customStyle="1" w:styleId="Char112">
    <w:name w:val="纯文本 Char1"/>
    <w:semiHidden/>
    <w:qFormat/>
    <w:rPr>
      <w:sz w:val="20"/>
    </w:rPr>
  </w:style>
  <w:style w:type="character" w:customStyle="1" w:styleId="3Char11">
    <w:name w:val="正文文本 3 Char1"/>
    <w:semiHidden/>
    <w:qFormat/>
    <w:rPr>
      <w:sz w:val="20"/>
    </w:rPr>
  </w:style>
  <w:style w:type="character" w:customStyle="1" w:styleId="Char113">
    <w:name w:val="正文文本缩进 Char1"/>
    <w:semiHidden/>
    <w:qFormat/>
    <w:rPr>
      <w:sz w:val="20"/>
    </w:rPr>
  </w:style>
  <w:style w:type="character" w:customStyle="1" w:styleId="15">
    <w:name w:val="明显参考1"/>
    <w:qFormat/>
    <w:rPr>
      <w:b/>
      <w:sz w:val="20"/>
    </w:rPr>
  </w:style>
  <w:style w:type="character" w:customStyle="1" w:styleId="apple-converted-space">
    <w:name w:val="apple-converted-space"/>
    <w:qFormat/>
    <w:rPr>
      <w:sz w:val="20"/>
    </w:rPr>
  </w:style>
  <w:style w:type="character" w:customStyle="1" w:styleId="16">
    <w:name w:val="书籍标题1"/>
    <w:qFormat/>
    <w:rPr>
      <w:b/>
      <w:i/>
      <w:sz w:val="20"/>
    </w:rPr>
  </w:style>
  <w:style w:type="character" w:customStyle="1" w:styleId="longtext">
    <w:name w:val="long_text"/>
    <w:qFormat/>
    <w:rPr>
      <w:sz w:val="20"/>
    </w:rPr>
  </w:style>
  <w:style w:type="character" w:customStyle="1" w:styleId="Char114">
    <w:name w:val="日期 Char1"/>
    <w:semiHidden/>
    <w:qFormat/>
    <w:rPr>
      <w:sz w:val="20"/>
    </w:rPr>
  </w:style>
  <w:style w:type="character" w:customStyle="1" w:styleId="Char115">
    <w:name w:val="批注文字 Char1"/>
    <w:semiHidden/>
    <w:qFormat/>
    <w:rPr>
      <w:sz w:val="20"/>
    </w:rPr>
  </w:style>
  <w:style w:type="character" w:customStyle="1" w:styleId="17">
    <w:name w:val="明显强调1"/>
    <w:qFormat/>
    <w:rPr>
      <w:i/>
      <w:sz w:val="20"/>
    </w:rPr>
  </w:style>
  <w:style w:type="character" w:customStyle="1" w:styleId="160">
    <w:name w:val="16"/>
    <w:qFormat/>
    <w:rPr>
      <w:b/>
      <w:color w:val="FF0356"/>
      <w:sz w:val="20"/>
    </w:rPr>
  </w:style>
  <w:style w:type="character" w:customStyle="1" w:styleId="Char116">
    <w:name w:val="批注主题 Char1"/>
    <w:semiHidden/>
    <w:qFormat/>
    <w:rPr>
      <w:b/>
      <w:sz w:val="20"/>
    </w:rPr>
  </w:style>
  <w:style w:type="character" w:customStyle="1" w:styleId="2Char11">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8">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DefaultParagraphFont"/>
    <w:qFormat/>
    <w:rPr>
      <w:color w:val="FF0000"/>
      <w:sz w:val="20"/>
      <w:u w:val="none"/>
      <w:vertAlign w:val="superscript"/>
    </w:rPr>
  </w:style>
  <w:style w:type="character" w:customStyle="1" w:styleId="Char117">
    <w:name w:val="页脚 Char1"/>
    <w:semiHidden/>
    <w:qFormat/>
    <w:rPr>
      <w:sz w:val="20"/>
    </w:rPr>
  </w:style>
  <w:style w:type="character" w:customStyle="1" w:styleId="Char118">
    <w:name w:val="批注框文本 Char1"/>
    <w:semiHidden/>
    <w:qFormat/>
    <w:rPr>
      <w:sz w:val="20"/>
    </w:rPr>
  </w:style>
  <w:style w:type="paragraph" w:customStyle="1" w:styleId="20">
    <w:name w:val="列出段落2"/>
    <w:basedOn w:val="Normal"/>
    <w:next w:val="toc814"/>
    <w:qFormat/>
    <w:pPr>
      <w:ind w:firstLine="420"/>
    </w:pPr>
    <w:rPr>
      <w:rFonts w:hAnsi="Calibri"/>
      <w:kern w:val="0"/>
      <w:szCs w:val="20"/>
    </w:rPr>
  </w:style>
  <w:style w:type="paragraph" w:customStyle="1" w:styleId="toc814">
    <w:name w:val="toc 814"/>
    <w:next w:val="Normal"/>
    <w:qFormat/>
    <w:pPr>
      <w:wordWrap w:val="0"/>
      <w:ind w:left="2975"/>
      <w:jc w:val="both"/>
    </w:pPr>
    <w:rPr>
      <w:rFonts w:ascii="Calibri" w:eastAsia="宋体" w:hAnsi="Calibri" w:cs="Times New Roman"/>
      <w:sz w:val="21"/>
      <w:lang w:val="en-US" w:eastAsia="zh-CN" w:bidi="ar-SA"/>
    </w:rPr>
  </w:style>
  <w:style w:type="paragraph" w:customStyle="1" w:styleId="toc62">
    <w:name w:val="toc 62"/>
    <w:next w:val="Normal"/>
    <w:qFormat/>
    <w:pPr>
      <w:wordWrap w:val="0"/>
      <w:ind w:left="2125"/>
      <w:jc w:val="both"/>
    </w:pPr>
    <w:rPr>
      <w:rFonts w:ascii="Calibri" w:eastAsia="宋体" w:hAnsi="Calibri" w:cs="Times New Roman"/>
      <w:sz w:val="21"/>
      <w:lang w:val="en-US" w:eastAsia="zh-CN" w:bidi="ar-SA"/>
    </w:rPr>
  </w:style>
  <w:style w:type="paragraph" w:customStyle="1" w:styleId="toc414">
    <w:name w:val="toc 414"/>
    <w:next w:val="Normal"/>
    <w:qFormat/>
    <w:pPr>
      <w:wordWrap w:val="0"/>
      <w:ind w:left="1275"/>
      <w:jc w:val="both"/>
    </w:pPr>
    <w:rPr>
      <w:rFonts w:ascii="Calibri" w:eastAsia="宋体" w:hAnsi="Calibri" w:cs="Times New Roman"/>
      <w:sz w:val="21"/>
      <w:lang w:val="en-US" w:eastAsia="zh-CN" w:bidi="ar-SA"/>
    </w:rPr>
  </w:style>
  <w:style w:type="paragraph" w:customStyle="1" w:styleId="toc411">
    <w:name w:val="toc 411"/>
    <w:next w:val="Normal"/>
    <w:qFormat/>
    <w:pPr>
      <w:wordWrap w:val="0"/>
      <w:ind w:left="1275"/>
      <w:jc w:val="both"/>
    </w:pPr>
    <w:rPr>
      <w:rFonts w:ascii="Calibri" w:eastAsia="宋体" w:hAnsi="Calibri" w:cs="Times New Roman"/>
      <w:sz w:val="21"/>
      <w:lang w:val="en-US" w:eastAsia="zh-CN" w:bidi="ar-SA"/>
    </w:rPr>
  </w:style>
  <w:style w:type="paragraph" w:customStyle="1" w:styleId="xl86">
    <w:name w:val="xl86"/>
    <w:basedOn w:val="Normal"/>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Normal"/>
    <w:qFormat/>
    <w:pPr>
      <w:wordWrap w:val="0"/>
      <w:ind w:left="1700"/>
      <w:jc w:val="both"/>
    </w:pPr>
    <w:rPr>
      <w:rFonts w:ascii="Calibri" w:eastAsia="宋体" w:hAnsi="Calibri" w:cs="Times New Roman"/>
      <w:sz w:val="21"/>
      <w:lang w:val="en-US" w:eastAsia="zh-CN" w:bidi="ar-SA"/>
    </w:rPr>
  </w:style>
  <w:style w:type="paragraph" w:customStyle="1" w:styleId="TOCHeading4">
    <w:name w:val="TOC Heading4"/>
    <w:next w:val="Normal"/>
    <w:qFormat/>
    <w:pPr>
      <w:wordWrap w:val="0"/>
    </w:pPr>
    <w:rPr>
      <w:rFonts w:ascii="Calibri" w:eastAsia="宋体" w:hAnsi="Calibri" w:cs="Times New Roman"/>
      <w:sz w:val="32"/>
      <w:lang w:val="en-US" w:eastAsia="zh-CN" w:bidi="ar-SA"/>
    </w:rPr>
  </w:style>
  <w:style w:type="paragraph" w:customStyle="1" w:styleId="toc15">
    <w:name w:val="toc 15"/>
    <w:next w:val="Normal"/>
    <w:qFormat/>
    <w:pPr>
      <w:wordWrap w:val="0"/>
      <w:jc w:val="both"/>
    </w:pPr>
    <w:rPr>
      <w:rFonts w:ascii="Calibri" w:eastAsia="宋体" w:hAnsi="Calibri" w:cs="Times New Roman"/>
      <w:sz w:val="21"/>
      <w:lang w:val="en-US" w:eastAsia="zh-CN" w:bidi="ar-SA"/>
    </w:rPr>
  </w:style>
  <w:style w:type="paragraph" w:customStyle="1" w:styleId="TOCHeading2">
    <w:name w:val="TOC Heading2"/>
    <w:next w:val="Normal"/>
    <w:qFormat/>
    <w:pPr>
      <w:wordWrap w:val="0"/>
    </w:pPr>
    <w:rPr>
      <w:rFonts w:ascii="Calibri" w:eastAsia="宋体" w:hAnsi="Calibri" w:cs="Times New Roman"/>
      <w:sz w:val="32"/>
      <w:lang w:val="en-US" w:eastAsia="zh-CN" w:bidi="ar-SA"/>
    </w:rPr>
  </w:style>
  <w:style w:type="paragraph" w:customStyle="1" w:styleId="TOCHeading1">
    <w:name w:val="TOC Heading1"/>
    <w:next w:val="Normal"/>
    <w:qFormat/>
    <w:pPr>
      <w:wordWrap w:val="0"/>
    </w:pPr>
    <w:rPr>
      <w:rFonts w:ascii="Calibri" w:eastAsia="宋体" w:hAnsi="Calibri" w:cs="Times New Roman"/>
      <w:sz w:val="32"/>
      <w:lang w:val="en-US" w:eastAsia="zh-CN" w:bidi="ar-SA"/>
    </w:rPr>
  </w:style>
  <w:style w:type="paragraph" w:customStyle="1" w:styleId="toc73">
    <w:name w:val="toc 73"/>
    <w:next w:val="Normal"/>
    <w:qFormat/>
    <w:pPr>
      <w:wordWrap w:val="0"/>
      <w:ind w:left="2550"/>
      <w:jc w:val="both"/>
    </w:pPr>
    <w:rPr>
      <w:rFonts w:ascii="Calibri" w:eastAsia="宋体" w:hAnsi="Calibri" w:cs="Times New Roman"/>
      <w:sz w:val="21"/>
      <w:lang w:val="en-US" w:eastAsia="zh-CN" w:bidi="ar-SA"/>
    </w:rPr>
  </w:style>
  <w:style w:type="paragraph" w:customStyle="1" w:styleId="font7">
    <w:name w:val="font7"/>
    <w:basedOn w:val="Normal"/>
    <w:next w:val="toc810"/>
    <w:qFormat/>
    <w:pPr>
      <w:widowControl/>
      <w:spacing w:before="280" w:after="280"/>
    </w:pPr>
    <w:rPr>
      <w:rFonts w:ascii="Arial" w:hAnsi="Calibri"/>
      <w:kern w:val="0"/>
      <w:sz w:val="18"/>
      <w:szCs w:val="20"/>
    </w:rPr>
  </w:style>
  <w:style w:type="paragraph" w:customStyle="1" w:styleId="toc810">
    <w:name w:val="toc 810"/>
    <w:next w:val="Normal"/>
    <w:qFormat/>
    <w:pPr>
      <w:wordWrap w:val="0"/>
      <w:ind w:left="2975"/>
      <w:jc w:val="both"/>
    </w:pPr>
    <w:rPr>
      <w:rFonts w:ascii="Calibri" w:eastAsia="宋体" w:hAnsi="Calibri" w:cs="Times New Roman"/>
      <w:sz w:val="21"/>
      <w:lang w:val="en-US" w:eastAsia="zh-CN" w:bidi="ar-SA"/>
    </w:rPr>
  </w:style>
  <w:style w:type="paragraph" w:customStyle="1" w:styleId="xl113">
    <w:name w:val="xl113"/>
    <w:basedOn w:val="Normal"/>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Normal"/>
    <w:qFormat/>
    <w:pPr>
      <w:wordWrap w:val="0"/>
    </w:pPr>
    <w:rPr>
      <w:rFonts w:ascii="Calibri" w:eastAsia="宋体" w:hAnsi="Calibri" w:cs="Times New Roman"/>
      <w:sz w:val="32"/>
      <w:lang w:val="en-US" w:eastAsia="zh-CN" w:bidi="ar-SA"/>
    </w:rPr>
  </w:style>
  <w:style w:type="paragraph" w:customStyle="1" w:styleId="toc89">
    <w:name w:val="toc 89"/>
    <w:next w:val="Normal"/>
    <w:qFormat/>
    <w:pPr>
      <w:wordWrap w:val="0"/>
      <w:ind w:left="2975"/>
      <w:jc w:val="both"/>
    </w:pPr>
    <w:rPr>
      <w:rFonts w:ascii="Calibri" w:eastAsia="宋体" w:hAnsi="Calibri" w:cs="Times New Roman"/>
      <w:sz w:val="21"/>
      <w:lang w:val="en-US" w:eastAsia="zh-CN" w:bidi="ar-SA"/>
    </w:rPr>
  </w:style>
  <w:style w:type="paragraph" w:customStyle="1" w:styleId="xl73">
    <w:name w:val="xl73"/>
    <w:basedOn w:val="Normal"/>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Normal"/>
    <w:qFormat/>
    <w:pPr>
      <w:wordWrap w:val="0"/>
      <w:ind w:left="2125"/>
      <w:jc w:val="both"/>
    </w:pPr>
    <w:rPr>
      <w:rFonts w:ascii="Calibri" w:eastAsia="宋体" w:hAnsi="Calibri" w:cs="Times New Roman"/>
      <w:sz w:val="21"/>
      <w:lang w:val="en-US" w:eastAsia="zh-CN" w:bidi="ar-SA"/>
    </w:rPr>
  </w:style>
  <w:style w:type="paragraph" w:customStyle="1" w:styleId="xl79">
    <w:name w:val="xl79"/>
    <w:basedOn w:val="Normal"/>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Normal"/>
    <w:qFormat/>
    <w:pPr>
      <w:wordWrap w:val="0"/>
      <w:ind w:left="2975"/>
      <w:jc w:val="both"/>
    </w:pPr>
    <w:rPr>
      <w:rFonts w:ascii="Calibri" w:eastAsia="宋体" w:hAnsi="Calibri" w:cs="Times New Roman"/>
      <w:sz w:val="21"/>
      <w:lang w:val="en-US" w:eastAsia="zh-CN" w:bidi="ar-SA"/>
    </w:rPr>
  </w:style>
  <w:style w:type="paragraph" w:customStyle="1" w:styleId="toc11">
    <w:name w:val="toc 11"/>
    <w:next w:val="Normal"/>
    <w:qFormat/>
    <w:pPr>
      <w:wordWrap w:val="0"/>
      <w:jc w:val="both"/>
    </w:pPr>
    <w:rPr>
      <w:rFonts w:ascii="Calibri" w:eastAsia="宋体" w:hAnsi="Calibri" w:cs="Times New Roman"/>
      <w:sz w:val="21"/>
      <w:lang w:val="en-US" w:eastAsia="zh-CN" w:bidi="ar-SA"/>
    </w:rPr>
  </w:style>
  <w:style w:type="paragraph" w:customStyle="1" w:styleId="toc410">
    <w:name w:val="toc 410"/>
    <w:next w:val="Normal"/>
    <w:qFormat/>
    <w:pPr>
      <w:wordWrap w:val="0"/>
      <w:ind w:left="1275"/>
      <w:jc w:val="both"/>
    </w:pPr>
    <w:rPr>
      <w:rFonts w:ascii="Calibri" w:eastAsia="宋体" w:hAnsi="Calibri" w:cs="Times New Roman"/>
      <w:sz w:val="21"/>
      <w:lang w:val="en-US" w:eastAsia="zh-CN" w:bidi="ar-SA"/>
    </w:rPr>
  </w:style>
  <w:style w:type="paragraph" w:customStyle="1" w:styleId="toc611">
    <w:name w:val="toc 611"/>
    <w:next w:val="Normal"/>
    <w:qFormat/>
    <w:pPr>
      <w:wordWrap w:val="0"/>
      <w:ind w:left="2125"/>
      <w:jc w:val="both"/>
    </w:pPr>
    <w:rPr>
      <w:rFonts w:ascii="Calibri" w:eastAsia="宋体" w:hAnsi="Calibri" w:cs="Times New Roman"/>
      <w:sz w:val="21"/>
      <w:lang w:val="en-US" w:eastAsia="zh-CN" w:bidi="ar-SA"/>
    </w:rPr>
  </w:style>
  <w:style w:type="paragraph" w:customStyle="1" w:styleId="xl112">
    <w:name w:val="xl112"/>
    <w:basedOn w:val="Normal"/>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Normal"/>
    <w:qFormat/>
    <w:pPr>
      <w:wordWrap w:val="0"/>
      <w:ind w:left="1700"/>
      <w:jc w:val="both"/>
    </w:pPr>
    <w:rPr>
      <w:rFonts w:ascii="Calibri" w:eastAsia="宋体" w:hAnsi="Calibri" w:cs="Times New Roman"/>
      <w:sz w:val="21"/>
      <w:lang w:val="en-US" w:eastAsia="zh-CN" w:bidi="ar-SA"/>
    </w:rPr>
  </w:style>
  <w:style w:type="paragraph" w:customStyle="1" w:styleId="toc44">
    <w:name w:val="toc 44"/>
    <w:next w:val="Normal"/>
    <w:qFormat/>
    <w:pPr>
      <w:wordWrap w:val="0"/>
      <w:ind w:left="1275"/>
      <w:jc w:val="both"/>
    </w:pPr>
    <w:rPr>
      <w:rFonts w:ascii="Calibri" w:eastAsia="宋体" w:hAnsi="Calibri" w:cs="Times New Roman"/>
      <w:sz w:val="21"/>
      <w:lang w:val="en-US" w:eastAsia="zh-CN" w:bidi="ar-SA"/>
    </w:rPr>
  </w:style>
  <w:style w:type="paragraph" w:customStyle="1" w:styleId="toc412">
    <w:name w:val="toc 412"/>
    <w:next w:val="Normal"/>
    <w:qFormat/>
    <w:pPr>
      <w:wordWrap w:val="0"/>
      <w:ind w:left="1275"/>
      <w:jc w:val="both"/>
    </w:pPr>
    <w:rPr>
      <w:rFonts w:ascii="Calibri" w:eastAsia="宋体" w:hAnsi="Calibri" w:cs="Times New Roman"/>
      <w:sz w:val="21"/>
      <w:lang w:val="en-US" w:eastAsia="zh-CN" w:bidi="ar-SA"/>
    </w:rPr>
  </w:style>
  <w:style w:type="paragraph" w:customStyle="1" w:styleId="xl74">
    <w:name w:val="xl74"/>
    <w:basedOn w:val="Normal"/>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Normal"/>
    <w:qFormat/>
    <w:pPr>
      <w:wordWrap w:val="0"/>
      <w:ind w:left="1700"/>
      <w:jc w:val="both"/>
    </w:pPr>
    <w:rPr>
      <w:rFonts w:ascii="Calibri" w:eastAsia="宋体" w:hAnsi="Calibri" w:cs="Times New Roman"/>
      <w:sz w:val="21"/>
      <w:lang w:val="en-US" w:eastAsia="zh-CN" w:bidi="ar-SA"/>
    </w:rPr>
  </w:style>
  <w:style w:type="paragraph" w:customStyle="1" w:styleId="toc912">
    <w:name w:val="toc 912"/>
    <w:next w:val="Normal"/>
    <w:qFormat/>
    <w:pPr>
      <w:wordWrap w:val="0"/>
      <w:ind w:left="3400"/>
      <w:jc w:val="both"/>
    </w:pPr>
    <w:rPr>
      <w:rFonts w:ascii="Calibri" w:eastAsia="宋体" w:hAnsi="Calibri" w:cs="Times New Roman"/>
      <w:sz w:val="21"/>
      <w:lang w:val="en-US" w:eastAsia="zh-CN" w:bidi="ar-SA"/>
    </w:rPr>
  </w:style>
  <w:style w:type="paragraph" w:customStyle="1" w:styleId="toc91">
    <w:name w:val="toc 91"/>
    <w:next w:val="Normal"/>
    <w:qFormat/>
    <w:pPr>
      <w:wordWrap w:val="0"/>
      <w:ind w:left="3400"/>
      <w:jc w:val="both"/>
    </w:pPr>
    <w:rPr>
      <w:rFonts w:ascii="Calibri" w:eastAsia="宋体" w:hAnsi="Calibri" w:cs="Times New Roman"/>
      <w:sz w:val="21"/>
      <w:lang w:val="en-US" w:eastAsia="zh-CN" w:bidi="ar-SA"/>
    </w:rPr>
  </w:style>
  <w:style w:type="paragraph" w:customStyle="1" w:styleId="toc38">
    <w:name w:val="toc 38"/>
    <w:next w:val="Normal"/>
    <w:qFormat/>
    <w:pPr>
      <w:wordWrap w:val="0"/>
      <w:ind w:left="850"/>
      <w:jc w:val="both"/>
    </w:pPr>
    <w:rPr>
      <w:rFonts w:ascii="Calibri" w:eastAsia="宋体" w:hAnsi="Calibri" w:cs="Times New Roman"/>
      <w:sz w:val="21"/>
      <w:lang w:val="en-US" w:eastAsia="zh-CN" w:bidi="ar-SA"/>
    </w:rPr>
  </w:style>
  <w:style w:type="paragraph" w:customStyle="1" w:styleId="toc95">
    <w:name w:val="toc 95"/>
    <w:next w:val="Normal"/>
    <w:qFormat/>
    <w:pPr>
      <w:wordWrap w:val="0"/>
      <w:ind w:left="3400"/>
      <w:jc w:val="both"/>
    </w:pPr>
    <w:rPr>
      <w:rFonts w:ascii="Calibri" w:eastAsia="宋体" w:hAnsi="Calibri" w:cs="Times New Roman"/>
      <w:sz w:val="21"/>
      <w:lang w:val="en-US" w:eastAsia="zh-CN" w:bidi="ar-SA"/>
    </w:rPr>
  </w:style>
  <w:style w:type="paragraph" w:customStyle="1" w:styleId="50">
    <w:name w:val="列出段落5"/>
    <w:basedOn w:val="Normal"/>
    <w:next w:val="toc312"/>
    <w:qFormat/>
    <w:pPr>
      <w:ind w:firstLine="420"/>
    </w:pPr>
    <w:rPr>
      <w:rFonts w:hAnsi="Calibri"/>
      <w:kern w:val="0"/>
      <w:szCs w:val="20"/>
    </w:rPr>
  </w:style>
  <w:style w:type="paragraph" w:customStyle="1" w:styleId="toc312">
    <w:name w:val="toc 312"/>
    <w:next w:val="Normal"/>
    <w:qFormat/>
    <w:pPr>
      <w:wordWrap w:val="0"/>
      <w:ind w:left="850"/>
      <w:jc w:val="both"/>
    </w:pPr>
    <w:rPr>
      <w:rFonts w:ascii="Calibri" w:eastAsia="宋体" w:hAnsi="Calibri" w:cs="Times New Roman"/>
      <w:sz w:val="21"/>
      <w:lang w:val="en-US" w:eastAsia="zh-CN" w:bidi="ar-SA"/>
    </w:rPr>
  </w:style>
  <w:style w:type="paragraph" w:customStyle="1" w:styleId="xl66">
    <w:name w:val="xl66"/>
    <w:basedOn w:val="Normal"/>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Normal"/>
    <w:qFormat/>
    <w:pPr>
      <w:wordWrap w:val="0"/>
      <w:ind w:left="1700"/>
      <w:jc w:val="both"/>
    </w:pPr>
    <w:rPr>
      <w:rFonts w:ascii="Calibri" w:eastAsia="宋体" w:hAnsi="Calibri" w:cs="Times New Roman"/>
      <w:sz w:val="21"/>
      <w:lang w:val="en-US" w:eastAsia="zh-CN" w:bidi="ar-SA"/>
    </w:rPr>
  </w:style>
  <w:style w:type="paragraph" w:customStyle="1" w:styleId="TOCHeading3">
    <w:name w:val="TOC Heading3"/>
    <w:next w:val="Normal"/>
    <w:qFormat/>
    <w:pPr>
      <w:wordWrap w:val="0"/>
    </w:pPr>
    <w:rPr>
      <w:rFonts w:ascii="Calibri" w:eastAsia="宋体" w:hAnsi="Calibri" w:cs="Times New Roman"/>
      <w:sz w:val="32"/>
      <w:lang w:val="en-US" w:eastAsia="zh-CN" w:bidi="ar-SA"/>
    </w:rPr>
  </w:style>
  <w:style w:type="paragraph" w:customStyle="1" w:styleId="toc65">
    <w:name w:val="toc 65"/>
    <w:next w:val="Normal"/>
    <w:qFormat/>
    <w:pPr>
      <w:wordWrap w:val="0"/>
      <w:ind w:left="2125"/>
      <w:jc w:val="both"/>
    </w:pPr>
    <w:rPr>
      <w:rFonts w:ascii="Calibri" w:eastAsia="宋体" w:hAnsi="Calibri" w:cs="Times New Roman"/>
      <w:sz w:val="21"/>
      <w:lang w:val="en-US" w:eastAsia="zh-CN" w:bidi="ar-SA"/>
    </w:rPr>
  </w:style>
  <w:style w:type="paragraph" w:customStyle="1" w:styleId="toc25">
    <w:name w:val="toc 25"/>
    <w:next w:val="Normal"/>
    <w:qFormat/>
    <w:pPr>
      <w:wordWrap w:val="0"/>
      <w:ind w:left="425"/>
      <w:jc w:val="both"/>
    </w:pPr>
    <w:rPr>
      <w:rFonts w:ascii="Calibri" w:eastAsia="宋体" w:hAnsi="Calibri" w:cs="Times New Roman"/>
      <w:sz w:val="21"/>
      <w:lang w:val="en-US" w:eastAsia="zh-CN" w:bidi="ar-SA"/>
    </w:rPr>
  </w:style>
  <w:style w:type="paragraph" w:customStyle="1" w:styleId="xl84">
    <w:name w:val="xl84"/>
    <w:basedOn w:val="Normal"/>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Normal"/>
    <w:qFormat/>
    <w:pPr>
      <w:wordWrap w:val="0"/>
      <w:ind w:left="3400"/>
      <w:jc w:val="both"/>
    </w:pPr>
    <w:rPr>
      <w:rFonts w:ascii="Calibri" w:eastAsia="宋体" w:hAnsi="Calibri" w:cs="Times New Roman"/>
      <w:sz w:val="21"/>
      <w:lang w:val="en-US" w:eastAsia="zh-CN" w:bidi="ar-SA"/>
    </w:rPr>
  </w:style>
  <w:style w:type="paragraph" w:customStyle="1" w:styleId="xl81">
    <w:name w:val="xl81"/>
    <w:basedOn w:val="Normal"/>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Normal"/>
    <w:qFormat/>
    <w:pPr>
      <w:wordWrap w:val="0"/>
      <w:ind w:left="1700"/>
      <w:jc w:val="both"/>
    </w:pPr>
    <w:rPr>
      <w:rFonts w:ascii="Calibri" w:eastAsia="宋体" w:hAnsi="Calibri" w:cs="Times New Roman"/>
      <w:sz w:val="21"/>
      <w:lang w:val="en-US" w:eastAsia="zh-CN" w:bidi="ar-SA"/>
    </w:rPr>
  </w:style>
  <w:style w:type="paragraph" w:customStyle="1" w:styleId="110">
    <w:name w:val="目录 11"/>
    <w:next w:val="Normal"/>
    <w:qFormat/>
    <w:pPr>
      <w:wordWrap w:val="0"/>
      <w:jc w:val="both"/>
    </w:pPr>
    <w:rPr>
      <w:rFonts w:ascii="Calibri" w:eastAsia="宋体" w:hAnsi="Calibri" w:cs="Times New Roman"/>
      <w:sz w:val="21"/>
      <w:lang w:val="en-US" w:eastAsia="zh-CN" w:bidi="ar-SA"/>
    </w:rPr>
  </w:style>
  <w:style w:type="paragraph" w:customStyle="1" w:styleId="toc513">
    <w:name w:val="toc 513"/>
    <w:next w:val="Normal"/>
    <w:qFormat/>
    <w:pPr>
      <w:wordWrap w:val="0"/>
      <w:ind w:left="1700"/>
      <w:jc w:val="both"/>
    </w:pPr>
    <w:rPr>
      <w:rFonts w:ascii="Calibri" w:eastAsia="宋体" w:hAnsi="Calibri" w:cs="Times New Roman"/>
      <w:sz w:val="21"/>
      <w:lang w:val="en-US" w:eastAsia="zh-CN" w:bidi="ar-SA"/>
    </w:rPr>
  </w:style>
  <w:style w:type="paragraph" w:customStyle="1" w:styleId="TOCHeading12">
    <w:name w:val="TOC Heading12"/>
    <w:next w:val="Normal"/>
    <w:qFormat/>
    <w:pPr>
      <w:wordWrap w:val="0"/>
    </w:pPr>
    <w:rPr>
      <w:rFonts w:ascii="Calibri" w:eastAsia="宋体" w:hAnsi="Calibri" w:cs="Times New Roman"/>
      <w:sz w:val="32"/>
      <w:lang w:val="en-US" w:eastAsia="zh-CN" w:bidi="ar-SA"/>
    </w:rPr>
  </w:style>
  <w:style w:type="paragraph" w:customStyle="1" w:styleId="TOCHeading8">
    <w:name w:val="TOC Heading8"/>
    <w:next w:val="Normal"/>
    <w:qFormat/>
    <w:pPr>
      <w:wordWrap w:val="0"/>
    </w:pPr>
    <w:rPr>
      <w:rFonts w:ascii="Calibri" w:eastAsia="宋体" w:hAnsi="Calibri" w:cs="Times New Roman"/>
      <w:sz w:val="32"/>
      <w:lang w:val="en-US" w:eastAsia="zh-CN" w:bidi="ar-SA"/>
    </w:rPr>
  </w:style>
  <w:style w:type="paragraph" w:customStyle="1" w:styleId="toc711">
    <w:name w:val="toc 711"/>
    <w:next w:val="Normal"/>
    <w:qFormat/>
    <w:pPr>
      <w:wordWrap w:val="0"/>
      <w:ind w:left="2550"/>
      <w:jc w:val="both"/>
    </w:pPr>
    <w:rPr>
      <w:rFonts w:ascii="Calibri" w:eastAsia="宋体" w:hAnsi="Calibri" w:cs="Times New Roman"/>
      <w:sz w:val="21"/>
      <w:lang w:val="en-US" w:eastAsia="zh-CN" w:bidi="ar-SA"/>
    </w:rPr>
  </w:style>
  <w:style w:type="paragraph" w:customStyle="1" w:styleId="toc212">
    <w:name w:val="toc 212"/>
    <w:next w:val="Normal"/>
    <w:qFormat/>
    <w:pPr>
      <w:wordWrap w:val="0"/>
      <w:ind w:left="425"/>
      <w:jc w:val="both"/>
    </w:pPr>
    <w:rPr>
      <w:rFonts w:ascii="Calibri" w:eastAsia="宋体" w:hAnsi="Calibri" w:cs="Times New Roman"/>
      <w:sz w:val="21"/>
      <w:lang w:val="en-US" w:eastAsia="zh-CN" w:bidi="ar-SA"/>
    </w:rPr>
  </w:style>
  <w:style w:type="paragraph" w:customStyle="1" w:styleId="21">
    <w:name w:val="目录 21"/>
    <w:next w:val="Normal"/>
    <w:qFormat/>
    <w:pPr>
      <w:wordWrap w:val="0"/>
      <w:ind w:left="425"/>
      <w:jc w:val="both"/>
    </w:pPr>
    <w:rPr>
      <w:rFonts w:ascii="Calibri" w:eastAsia="宋体" w:hAnsi="Calibri" w:cs="Times New Roman"/>
      <w:sz w:val="21"/>
      <w:lang w:val="en-US" w:eastAsia="zh-CN" w:bidi="ar-SA"/>
    </w:rPr>
  </w:style>
  <w:style w:type="paragraph" w:customStyle="1" w:styleId="toc45">
    <w:name w:val="toc 45"/>
    <w:next w:val="Normal"/>
    <w:qFormat/>
    <w:pPr>
      <w:wordWrap w:val="0"/>
      <w:ind w:left="1275"/>
      <w:jc w:val="both"/>
    </w:pPr>
    <w:rPr>
      <w:rFonts w:ascii="Calibri" w:eastAsia="宋体" w:hAnsi="Calibri" w:cs="Times New Roman"/>
      <w:sz w:val="21"/>
      <w:lang w:val="en-US" w:eastAsia="zh-CN" w:bidi="ar-SA"/>
    </w:rPr>
  </w:style>
  <w:style w:type="paragraph" w:customStyle="1" w:styleId="xl116">
    <w:name w:val="xl116"/>
    <w:basedOn w:val="Normal"/>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Normal"/>
    <w:qFormat/>
    <w:pPr>
      <w:wordWrap w:val="0"/>
      <w:ind w:left="2550"/>
      <w:jc w:val="both"/>
    </w:pPr>
    <w:rPr>
      <w:rFonts w:ascii="Calibri" w:eastAsia="宋体" w:hAnsi="Calibri" w:cs="Times New Roman"/>
      <w:sz w:val="21"/>
      <w:lang w:val="en-US" w:eastAsia="zh-CN" w:bidi="ar-SA"/>
    </w:rPr>
  </w:style>
  <w:style w:type="paragraph" w:customStyle="1" w:styleId="font8">
    <w:name w:val="font8"/>
    <w:basedOn w:val="Normal"/>
    <w:next w:val="TOCHeading11"/>
    <w:qFormat/>
    <w:pPr>
      <w:widowControl/>
      <w:spacing w:before="280" w:after="280"/>
    </w:pPr>
    <w:rPr>
      <w:rFonts w:ascii="Arial" w:hAnsi="Calibri"/>
      <w:kern w:val="0"/>
      <w:sz w:val="20"/>
      <w:szCs w:val="20"/>
    </w:rPr>
  </w:style>
  <w:style w:type="paragraph" w:customStyle="1" w:styleId="TOCHeading11">
    <w:name w:val="TOC Heading11"/>
    <w:next w:val="Normal"/>
    <w:qFormat/>
    <w:pPr>
      <w:wordWrap w:val="0"/>
    </w:pPr>
    <w:rPr>
      <w:rFonts w:ascii="Calibri" w:eastAsia="宋体" w:hAnsi="Calibri" w:cs="Times New Roman"/>
      <w:sz w:val="32"/>
      <w:lang w:val="en-US" w:eastAsia="zh-CN" w:bidi="ar-SA"/>
    </w:rPr>
  </w:style>
  <w:style w:type="paragraph" w:customStyle="1" w:styleId="xl69">
    <w:name w:val="xl69"/>
    <w:basedOn w:val="Normal"/>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Normal"/>
    <w:qFormat/>
    <w:pPr>
      <w:wordWrap w:val="0"/>
      <w:ind w:left="1275"/>
      <w:jc w:val="both"/>
    </w:pPr>
    <w:rPr>
      <w:rFonts w:ascii="Calibri" w:eastAsia="宋体" w:hAnsi="Calibri" w:cs="Times New Roman"/>
      <w:sz w:val="21"/>
      <w:lang w:val="en-US" w:eastAsia="zh-CN" w:bidi="ar-SA"/>
    </w:rPr>
  </w:style>
  <w:style w:type="paragraph" w:customStyle="1" w:styleId="toc813">
    <w:name w:val="toc 813"/>
    <w:next w:val="Normal"/>
    <w:qFormat/>
    <w:pPr>
      <w:wordWrap w:val="0"/>
      <w:ind w:left="2975"/>
      <w:jc w:val="both"/>
    </w:pPr>
    <w:rPr>
      <w:rFonts w:ascii="Calibri" w:eastAsia="宋体" w:hAnsi="Calibri" w:cs="Times New Roman"/>
      <w:sz w:val="21"/>
      <w:lang w:val="en-US" w:eastAsia="zh-CN" w:bidi="ar-SA"/>
    </w:rPr>
  </w:style>
  <w:style w:type="paragraph" w:customStyle="1" w:styleId="91">
    <w:name w:val="目录 91"/>
    <w:next w:val="Normal"/>
    <w:qFormat/>
    <w:pPr>
      <w:wordWrap w:val="0"/>
      <w:ind w:left="3400"/>
      <w:jc w:val="both"/>
    </w:pPr>
    <w:rPr>
      <w:rFonts w:ascii="Calibri" w:eastAsia="宋体" w:hAnsi="Calibri" w:cs="Times New Roman"/>
      <w:sz w:val="21"/>
      <w:lang w:val="en-US" w:eastAsia="zh-CN" w:bidi="ar-SA"/>
    </w:rPr>
  </w:style>
  <w:style w:type="paragraph" w:customStyle="1" w:styleId="30">
    <w:name w:val="列出段落3"/>
    <w:basedOn w:val="Normal"/>
    <w:next w:val="toc213"/>
    <w:qFormat/>
    <w:pPr>
      <w:ind w:firstLine="420"/>
    </w:pPr>
    <w:rPr>
      <w:rFonts w:hAnsi="Calibri"/>
      <w:kern w:val="0"/>
      <w:szCs w:val="20"/>
    </w:rPr>
  </w:style>
  <w:style w:type="paragraph" w:customStyle="1" w:styleId="toc213">
    <w:name w:val="toc 213"/>
    <w:next w:val="Normal"/>
    <w:qFormat/>
    <w:pPr>
      <w:wordWrap w:val="0"/>
      <w:ind w:left="425"/>
      <w:jc w:val="both"/>
    </w:pPr>
    <w:rPr>
      <w:rFonts w:ascii="Calibri" w:eastAsia="宋体" w:hAnsi="Calibri" w:cs="Times New Roman"/>
      <w:sz w:val="21"/>
      <w:lang w:val="en-US" w:eastAsia="zh-CN" w:bidi="ar-SA"/>
    </w:rPr>
  </w:style>
  <w:style w:type="paragraph" w:customStyle="1" w:styleId="TOC10">
    <w:name w:val="TOC 标题1"/>
    <w:next w:val="Normal"/>
    <w:qFormat/>
    <w:pPr>
      <w:wordWrap w:val="0"/>
    </w:pPr>
    <w:rPr>
      <w:rFonts w:ascii="Calibri" w:eastAsia="宋体" w:hAnsi="Calibri" w:cs="Times New Roman"/>
      <w:sz w:val="32"/>
      <w:lang w:val="en-US" w:eastAsia="zh-CN" w:bidi="ar-SA"/>
    </w:rPr>
  </w:style>
  <w:style w:type="paragraph" w:customStyle="1" w:styleId="TOCHeading5">
    <w:name w:val="TOC Heading5"/>
    <w:next w:val="Normal"/>
    <w:qFormat/>
    <w:pPr>
      <w:wordWrap w:val="0"/>
    </w:pPr>
    <w:rPr>
      <w:rFonts w:ascii="Calibri" w:eastAsia="宋体" w:hAnsi="Calibri" w:cs="Times New Roman"/>
      <w:sz w:val="32"/>
      <w:lang w:val="en-US" w:eastAsia="zh-CN" w:bidi="ar-SA"/>
    </w:rPr>
  </w:style>
  <w:style w:type="paragraph" w:customStyle="1" w:styleId="toc313">
    <w:name w:val="toc 313"/>
    <w:next w:val="Normal"/>
    <w:qFormat/>
    <w:pPr>
      <w:wordWrap w:val="0"/>
      <w:ind w:left="850"/>
      <w:jc w:val="both"/>
    </w:pPr>
    <w:rPr>
      <w:rFonts w:ascii="Calibri" w:eastAsia="宋体" w:hAnsi="Calibri" w:cs="Times New Roman"/>
      <w:sz w:val="21"/>
      <w:lang w:val="en-US" w:eastAsia="zh-CN" w:bidi="ar-SA"/>
    </w:rPr>
  </w:style>
  <w:style w:type="paragraph" w:customStyle="1" w:styleId="toc716">
    <w:name w:val="toc 716"/>
    <w:next w:val="Normal"/>
    <w:qFormat/>
    <w:pPr>
      <w:wordWrap w:val="0"/>
      <w:ind w:left="2550"/>
      <w:jc w:val="both"/>
    </w:pPr>
    <w:rPr>
      <w:rFonts w:ascii="Calibri" w:eastAsia="宋体" w:hAnsi="Calibri" w:cs="Times New Roman"/>
      <w:sz w:val="21"/>
      <w:lang w:val="en-US" w:eastAsia="zh-CN" w:bidi="ar-SA"/>
    </w:rPr>
  </w:style>
  <w:style w:type="paragraph" w:customStyle="1" w:styleId="xl115">
    <w:name w:val="xl115"/>
    <w:basedOn w:val="Normal"/>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Normal"/>
    <w:qFormat/>
    <w:pPr>
      <w:wordWrap w:val="0"/>
      <w:ind w:left="2550"/>
      <w:jc w:val="both"/>
    </w:pPr>
    <w:rPr>
      <w:rFonts w:ascii="Calibri" w:eastAsia="宋体" w:hAnsi="Calibri" w:cs="Times New Roman"/>
      <w:sz w:val="21"/>
      <w:lang w:val="en-US" w:eastAsia="zh-CN" w:bidi="ar-SA"/>
    </w:rPr>
  </w:style>
  <w:style w:type="paragraph" w:customStyle="1" w:styleId="toc64">
    <w:name w:val="toc 64"/>
    <w:next w:val="Normal"/>
    <w:qFormat/>
    <w:pPr>
      <w:wordWrap w:val="0"/>
      <w:ind w:left="2125"/>
      <w:jc w:val="both"/>
    </w:pPr>
    <w:rPr>
      <w:rFonts w:ascii="Calibri" w:eastAsia="宋体" w:hAnsi="Calibri" w:cs="Times New Roman"/>
      <w:sz w:val="21"/>
      <w:lang w:val="en-US" w:eastAsia="zh-CN" w:bidi="ar-SA"/>
    </w:rPr>
  </w:style>
  <w:style w:type="paragraph" w:customStyle="1" w:styleId="toc24">
    <w:name w:val="toc 24"/>
    <w:next w:val="Normal"/>
    <w:qFormat/>
    <w:pPr>
      <w:wordWrap w:val="0"/>
      <w:ind w:left="425"/>
      <w:jc w:val="both"/>
    </w:pPr>
    <w:rPr>
      <w:rFonts w:ascii="Calibri" w:eastAsia="宋体" w:hAnsi="Calibri" w:cs="Times New Roman"/>
      <w:sz w:val="21"/>
      <w:lang w:val="en-US" w:eastAsia="zh-CN" w:bidi="ar-SA"/>
    </w:rPr>
  </w:style>
  <w:style w:type="paragraph" w:customStyle="1" w:styleId="toc54">
    <w:name w:val="toc 54"/>
    <w:next w:val="Normal"/>
    <w:qFormat/>
    <w:pPr>
      <w:wordWrap w:val="0"/>
      <w:ind w:left="1700"/>
      <w:jc w:val="both"/>
    </w:pPr>
    <w:rPr>
      <w:rFonts w:ascii="Calibri" w:eastAsia="宋体" w:hAnsi="Calibri" w:cs="Times New Roman"/>
      <w:sz w:val="21"/>
      <w:lang w:val="en-US" w:eastAsia="zh-CN" w:bidi="ar-SA"/>
    </w:rPr>
  </w:style>
  <w:style w:type="paragraph" w:customStyle="1" w:styleId="xl93">
    <w:name w:val="xl93"/>
    <w:basedOn w:val="Normal"/>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Normal"/>
    <w:qFormat/>
    <w:pPr>
      <w:wordWrap w:val="0"/>
      <w:jc w:val="both"/>
    </w:pPr>
    <w:rPr>
      <w:rFonts w:ascii="Calibri" w:eastAsia="宋体" w:hAnsi="Calibri" w:cs="Times New Roman"/>
      <w:sz w:val="21"/>
      <w:lang w:val="en-US" w:eastAsia="zh-CN" w:bidi="ar-SA"/>
    </w:rPr>
  </w:style>
  <w:style w:type="paragraph" w:customStyle="1" w:styleId="xl96">
    <w:name w:val="xl96"/>
    <w:basedOn w:val="Normal"/>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Normal"/>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Normal"/>
    <w:qFormat/>
    <w:pPr>
      <w:wordWrap w:val="0"/>
      <w:ind w:left="850"/>
      <w:jc w:val="both"/>
    </w:pPr>
    <w:rPr>
      <w:rFonts w:ascii="Calibri" w:eastAsia="宋体" w:hAnsi="Calibri" w:cs="Times New Roman"/>
      <w:sz w:val="21"/>
      <w:lang w:val="en-US" w:eastAsia="zh-CN" w:bidi="ar-SA"/>
    </w:rPr>
  </w:style>
  <w:style w:type="paragraph" w:customStyle="1" w:styleId="TOCHeading14">
    <w:name w:val="TOC Heading14"/>
    <w:next w:val="Normal"/>
    <w:qFormat/>
    <w:pPr>
      <w:wordWrap w:val="0"/>
    </w:pPr>
    <w:rPr>
      <w:rFonts w:ascii="Calibri" w:eastAsia="宋体" w:hAnsi="Calibri" w:cs="Times New Roman"/>
      <w:sz w:val="32"/>
      <w:lang w:val="en-US" w:eastAsia="zh-CN" w:bidi="ar-SA"/>
    </w:rPr>
  </w:style>
  <w:style w:type="paragraph" w:customStyle="1" w:styleId="CharCharCharCharCharCharChar1">
    <w:name w:val="Char Char Char Char Char Char Char1"/>
    <w:basedOn w:val="Normal"/>
    <w:next w:val="toc67"/>
    <w:qFormat/>
    <w:pPr>
      <w:widowControl/>
      <w:spacing w:after="160" w:line="240" w:lineRule="exact"/>
    </w:pPr>
    <w:rPr>
      <w:rFonts w:hAnsi="Calibri"/>
      <w:kern w:val="0"/>
      <w:szCs w:val="20"/>
    </w:rPr>
  </w:style>
  <w:style w:type="paragraph" w:customStyle="1" w:styleId="toc67">
    <w:name w:val="toc 67"/>
    <w:next w:val="Normal"/>
    <w:qFormat/>
    <w:pPr>
      <w:wordWrap w:val="0"/>
      <w:ind w:left="2125"/>
      <w:jc w:val="both"/>
    </w:pPr>
    <w:rPr>
      <w:rFonts w:ascii="Calibri" w:eastAsia="宋体" w:hAnsi="Calibri" w:cs="Times New Roman"/>
      <w:sz w:val="21"/>
      <w:lang w:val="en-US" w:eastAsia="zh-CN" w:bidi="ar-SA"/>
    </w:rPr>
  </w:style>
  <w:style w:type="paragraph" w:customStyle="1" w:styleId="40">
    <w:name w:val="列出段落4"/>
    <w:basedOn w:val="Normal"/>
    <w:next w:val="TOCHeading9"/>
    <w:qFormat/>
    <w:pPr>
      <w:ind w:firstLine="420"/>
    </w:pPr>
    <w:rPr>
      <w:rFonts w:hAnsi="Calibri"/>
      <w:kern w:val="0"/>
      <w:szCs w:val="20"/>
    </w:rPr>
  </w:style>
  <w:style w:type="paragraph" w:customStyle="1" w:styleId="TOCHeading9">
    <w:name w:val="TOC Heading9"/>
    <w:next w:val="Normal"/>
    <w:qFormat/>
    <w:pPr>
      <w:wordWrap w:val="0"/>
    </w:pPr>
    <w:rPr>
      <w:rFonts w:ascii="Calibri" w:eastAsia="宋体" w:hAnsi="Calibri" w:cs="Times New Roman"/>
      <w:sz w:val="32"/>
      <w:lang w:val="en-US" w:eastAsia="zh-CN" w:bidi="ar-SA"/>
    </w:rPr>
  </w:style>
  <w:style w:type="paragraph" w:customStyle="1" w:styleId="xl71">
    <w:name w:val="xl71"/>
    <w:basedOn w:val="Normal"/>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Normal"/>
    <w:qFormat/>
    <w:pPr>
      <w:wordWrap w:val="0"/>
      <w:jc w:val="both"/>
    </w:pPr>
    <w:rPr>
      <w:rFonts w:ascii="Calibri" w:eastAsia="宋体" w:hAnsi="Calibri" w:cs="Times New Roman"/>
      <w:sz w:val="21"/>
      <w:lang w:val="en-US" w:eastAsia="zh-CN" w:bidi="ar-SA"/>
    </w:rPr>
  </w:style>
  <w:style w:type="paragraph" w:customStyle="1" w:styleId="toc51">
    <w:name w:val="toc 51"/>
    <w:next w:val="Normal"/>
    <w:qFormat/>
    <w:pPr>
      <w:wordWrap w:val="0"/>
      <w:ind w:left="1700"/>
      <w:jc w:val="both"/>
    </w:pPr>
    <w:rPr>
      <w:rFonts w:ascii="Calibri" w:eastAsia="宋体" w:hAnsi="Calibri" w:cs="Times New Roman"/>
      <w:sz w:val="21"/>
      <w:lang w:val="en-US" w:eastAsia="zh-CN" w:bidi="ar-SA"/>
    </w:rPr>
  </w:style>
  <w:style w:type="paragraph" w:customStyle="1" w:styleId="toc47">
    <w:name w:val="toc 47"/>
    <w:next w:val="Normal"/>
    <w:qFormat/>
    <w:pPr>
      <w:wordWrap w:val="0"/>
      <w:ind w:left="1275"/>
      <w:jc w:val="both"/>
    </w:pPr>
    <w:rPr>
      <w:rFonts w:ascii="Calibri" w:eastAsia="宋体" w:hAnsi="Calibri" w:cs="Times New Roman"/>
      <w:sz w:val="21"/>
      <w:lang w:val="en-US" w:eastAsia="zh-CN" w:bidi="ar-SA"/>
    </w:rPr>
  </w:style>
  <w:style w:type="paragraph" w:customStyle="1" w:styleId="xl108">
    <w:name w:val="xl108"/>
    <w:basedOn w:val="Normal"/>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Normal"/>
    <w:qFormat/>
    <w:pPr>
      <w:wordWrap w:val="0"/>
      <w:jc w:val="both"/>
    </w:pPr>
    <w:rPr>
      <w:rFonts w:ascii="Calibri" w:eastAsia="宋体" w:hAnsi="Calibri" w:cs="Times New Roman"/>
      <w:sz w:val="21"/>
      <w:lang w:val="en-US" w:eastAsia="zh-CN" w:bidi="ar-SA"/>
    </w:rPr>
  </w:style>
  <w:style w:type="paragraph" w:customStyle="1" w:styleId="TOCHeading7">
    <w:name w:val="TOC Heading7"/>
    <w:next w:val="Normal"/>
    <w:qFormat/>
    <w:pPr>
      <w:wordWrap w:val="0"/>
    </w:pPr>
    <w:rPr>
      <w:rFonts w:ascii="Calibri" w:eastAsia="宋体" w:hAnsi="Calibri" w:cs="Times New Roman"/>
      <w:sz w:val="32"/>
      <w:lang w:val="en-US" w:eastAsia="zh-CN" w:bidi="ar-SA"/>
    </w:rPr>
  </w:style>
  <w:style w:type="character" w:customStyle="1" w:styleId="Char21">
    <w:name w:val="副标题 Char"/>
    <w:basedOn w:val="DefaultParagraphFont"/>
    <w:link w:val="Subtitle"/>
    <w:qFormat/>
    <w:rPr>
      <w:rFonts w:ascii="Calibri" w:hAnsi="Calibri"/>
      <w:sz w:val="24"/>
    </w:rPr>
  </w:style>
  <w:style w:type="paragraph" w:customStyle="1" w:styleId="71">
    <w:name w:val="目录 71"/>
    <w:next w:val="Normal"/>
    <w:qFormat/>
    <w:pPr>
      <w:wordWrap w:val="0"/>
      <w:ind w:left="2550"/>
      <w:jc w:val="both"/>
    </w:pPr>
    <w:rPr>
      <w:rFonts w:ascii="Calibri" w:eastAsia="宋体" w:hAnsi="Calibri" w:cs="Times New Roman"/>
      <w:sz w:val="21"/>
      <w:lang w:val="en-US" w:eastAsia="zh-CN" w:bidi="ar-SA"/>
    </w:rPr>
  </w:style>
  <w:style w:type="paragraph" w:customStyle="1" w:styleId="toc413">
    <w:name w:val="toc 413"/>
    <w:next w:val="Normal"/>
    <w:qFormat/>
    <w:pPr>
      <w:wordWrap w:val="0"/>
      <w:ind w:left="1275"/>
      <w:jc w:val="both"/>
    </w:pPr>
    <w:rPr>
      <w:rFonts w:ascii="Calibri" w:eastAsia="宋体" w:hAnsi="Calibri" w:cs="Times New Roman"/>
      <w:sz w:val="21"/>
      <w:lang w:val="en-US" w:eastAsia="zh-CN" w:bidi="ar-SA"/>
    </w:rPr>
  </w:style>
  <w:style w:type="paragraph" w:customStyle="1" w:styleId="toc85">
    <w:name w:val="toc 85"/>
    <w:next w:val="Normal"/>
    <w:qFormat/>
    <w:pPr>
      <w:wordWrap w:val="0"/>
      <w:ind w:left="2975"/>
      <w:jc w:val="both"/>
    </w:pPr>
    <w:rPr>
      <w:rFonts w:ascii="Calibri" w:eastAsia="宋体" w:hAnsi="Calibri" w:cs="Times New Roman"/>
      <w:sz w:val="21"/>
      <w:lang w:val="en-US" w:eastAsia="zh-CN" w:bidi="ar-SA"/>
    </w:rPr>
  </w:style>
  <w:style w:type="paragraph" w:customStyle="1" w:styleId="60">
    <w:name w:val="列出段落6"/>
    <w:basedOn w:val="Normal"/>
    <w:next w:val="toc86"/>
    <w:qFormat/>
    <w:pPr>
      <w:ind w:firstLine="420"/>
    </w:pPr>
    <w:rPr>
      <w:rFonts w:hAnsi="Calibri"/>
      <w:kern w:val="0"/>
      <w:szCs w:val="20"/>
    </w:rPr>
  </w:style>
  <w:style w:type="paragraph" w:customStyle="1" w:styleId="toc86">
    <w:name w:val="toc 86"/>
    <w:next w:val="Normal"/>
    <w:qFormat/>
    <w:pPr>
      <w:wordWrap w:val="0"/>
      <w:ind w:left="2975"/>
      <w:jc w:val="both"/>
    </w:pPr>
    <w:rPr>
      <w:rFonts w:ascii="Calibri" w:eastAsia="宋体" w:hAnsi="Calibri" w:cs="Times New Roman"/>
      <w:sz w:val="21"/>
      <w:lang w:val="en-US" w:eastAsia="zh-CN" w:bidi="ar-SA"/>
    </w:rPr>
  </w:style>
  <w:style w:type="paragraph" w:customStyle="1" w:styleId="xl80">
    <w:name w:val="xl80"/>
    <w:basedOn w:val="Normal"/>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Normal"/>
    <w:qFormat/>
    <w:pPr>
      <w:wordWrap w:val="0"/>
      <w:ind w:left="1275"/>
      <w:jc w:val="both"/>
    </w:pPr>
    <w:rPr>
      <w:rFonts w:ascii="Calibri" w:eastAsia="宋体" w:hAnsi="Calibri" w:cs="Times New Roman"/>
      <w:sz w:val="21"/>
      <w:lang w:val="en-US" w:eastAsia="zh-CN" w:bidi="ar-SA"/>
    </w:rPr>
  </w:style>
  <w:style w:type="paragraph" w:customStyle="1" w:styleId="CharCharCharChar1">
    <w:name w:val="Char Char Char Char1"/>
    <w:basedOn w:val="Normal"/>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Normal"/>
    <w:qFormat/>
    <w:pPr>
      <w:wordWrap w:val="0"/>
      <w:ind w:left="2550"/>
      <w:jc w:val="both"/>
    </w:pPr>
    <w:rPr>
      <w:rFonts w:ascii="Calibri" w:eastAsia="宋体" w:hAnsi="Calibri" w:cs="Times New Roman"/>
      <w:sz w:val="21"/>
      <w:lang w:val="en-US" w:eastAsia="zh-CN" w:bidi="ar-SA"/>
    </w:rPr>
  </w:style>
  <w:style w:type="paragraph" w:customStyle="1" w:styleId="xl102">
    <w:name w:val="xl102"/>
    <w:basedOn w:val="Normal"/>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Normal"/>
    <w:qFormat/>
    <w:pPr>
      <w:wordWrap w:val="0"/>
      <w:jc w:val="both"/>
    </w:pPr>
    <w:rPr>
      <w:rFonts w:ascii="Calibri" w:eastAsia="宋体" w:hAnsi="Calibri" w:cs="Times New Roman"/>
      <w:sz w:val="21"/>
      <w:lang w:val="en-US" w:eastAsia="zh-CN" w:bidi="ar-SA"/>
    </w:rPr>
  </w:style>
  <w:style w:type="paragraph" w:customStyle="1" w:styleId="toc46">
    <w:name w:val="toc 46"/>
    <w:next w:val="Normal"/>
    <w:qFormat/>
    <w:pPr>
      <w:wordWrap w:val="0"/>
      <w:ind w:left="1275"/>
      <w:jc w:val="both"/>
    </w:pPr>
    <w:rPr>
      <w:rFonts w:ascii="Calibri" w:eastAsia="宋体" w:hAnsi="Calibri" w:cs="Times New Roman"/>
      <w:sz w:val="21"/>
      <w:lang w:val="en-US" w:eastAsia="zh-CN" w:bidi="ar-SA"/>
    </w:rPr>
  </w:style>
  <w:style w:type="paragraph" w:customStyle="1" w:styleId="toc311">
    <w:name w:val="toc 311"/>
    <w:next w:val="Normal"/>
    <w:qFormat/>
    <w:pPr>
      <w:wordWrap w:val="0"/>
      <w:ind w:left="850"/>
      <w:jc w:val="both"/>
    </w:pPr>
    <w:rPr>
      <w:rFonts w:ascii="Calibri" w:eastAsia="宋体" w:hAnsi="Calibri" w:cs="Times New Roman"/>
      <w:sz w:val="21"/>
      <w:lang w:val="en-US" w:eastAsia="zh-CN" w:bidi="ar-SA"/>
    </w:rPr>
  </w:style>
  <w:style w:type="paragraph" w:customStyle="1" w:styleId="xl65">
    <w:name w:val="xl65"/>
    <w:basedOn w:val="Normal"/>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Normal"/>
    <w:qFormat/>
    <w:pPr>
      <w:wordWrap w:val="0"/>
      <w:ind w:left="3400"/>
      <w:jc w:val="both"/>
    </w:pPr>
    <w:rPr>
      <w:rFonts w:ascii="Calibri" w:eastAsia="宋体" w:hAnsi="Calibri" w:cs="Times New Roman"/>
      <w:sz w:val="21"/>
      <w:lang w:val="en-US" w:eastAsia="zh-CN" w:bidi="ar-SA"/>
    </w:rPr>
  </w:style>
  <w:style w:type="paragraph" w:customStyle="1" w:styleId="toc55">
    <w:name w:val="toc 55"/>
    <w:next w:val="Normal"/>
    <w:qFormat/>
    <w:pPr>
      <w:wordWrap w:val="0"/>
      <w:ind w:left="1700"/>
      <w:jc w:val="both"/>
    </w:pPr>
    <w:rPr>
      <w:rFonts w:ascii="Calibri" w:eastAsia="宋体" w:hAnsi="Calibri" w:cs="Times New Roman"/>
      <w:sz w:val="21"/>
      <w:lang w:val="en-US" w:eastAsia="zh-CN" w:bidi="ar-SA"/>
    </w:rPr>
  </w:style>
  <w:style w:type="paragraph" w:customStyle="1" w:styleId="toc812">
    <w:name w:val="toc 812"/>
    <w:next w:val="Normal"/>
    <w:qFormat/>
    <w:pPr>
      <w:wordWrap w:val="0"/>
      <w:ind w:left="2975"/>
      <w:jc w:val="both"/>
    </w:pPr>
    <w:rPr>
      <w:rFonts w:ascii="Calibri" w:eastAsia="宋体" w:hAnsi="Calibri" w:cs="Times New Roman"/>
      <w:sz w:val="21"/>
      <w:lang w:val="en-US" w:eastAsia="zh-CN" w:bidi="ar-SA"/>
    </w:rPr>
  </w:style>
  <w:style w:type="paragraph" w:customStyle="1" w:styleId="xl75">
    <w:name w:val="xl75"/>
    <w:basedOn w:val="Normal"/>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Normal"/>
    <w:qFormat/>
    <w:pPr>
      <w:wordWrap w:val="0"/>
      <w:ind w:left="3400"/>
      <w:jc w:val="both"/>
    </w:pPr>
    <w:rPr>
      <w:rFonts w:ascii="Calibri" w:eastAsia="宋体" w:hAnsi="Calibri" w:cs="Times New Roman"/>
      <w:sz w:val="21"/>
      <w:lang w:val="en-US" w:eastAsia="zh-CN" w:bidi="ar-SA"/>
    </w:rPr>
  </w:style>
  <w:style w:type="paragraph" w:customStyle="1" w:styleId="toc19">
    <w:name w:val="toc 19"/>
    <w:next w:val="Normal"/>
    <w:qFormat/>
    <w:pPr>
      <w:wordWrap w:val="0"/>
      <w:jc w:val="both"/>
    </w:pPr>
    <w:rPr>
      <w:rFonts w:ascii="Calibri" w:eastAsia="宋体" w:hAnsi="Calibri" w:cs="Times New Roman"/>
      <w:sz w:val="21"/>
      <w:lang w:val="en-US" w:eastAsia="zh-CN" w:bidi="ar-SA"/>
    </w:rPr>
  </w:style>
  <w:style w:type="paragraph" w:customStyle="1" w:styleId="TOCHeading6">
    <w:name w:val="TOC Heading6"/>
    <w:next w:val="Normal"/>
    <w:qFormat/>
    <w:pPr>
      <w:wordWrap w:val="0"/>
    </w:pPr>
    <w:rPr>
      <w:rFonts w:ascii="Calibri" w:eastAsia="宋体" w:hAnsi="Calibri" w:cs="Times New Roman"/>
      <w:sz w:val="32"/>
      <w:lang w:val="en-US" w:eastAsia="zh-CN" w:bidi="ar-SA"/>
    </w:rPr>
  </w:style>
  <w:style w:type="paragraph" w:customStyle="1" w:styleId="toc52">
    <w:name w:val="toc 52"/>
    <w:next w:val="Normal"/>
    <w:qFormat/>
    <w:pPr>
      <w:wordWrap w:val="0"/>
      <w:ind w:left="1700"/>
      <w:jc w:val="both"/>
    </w:pPr>
    <w:rPr>
      <w:rFonts w:ascii="Calibri" w:eastAsia="宋体" w:hAnsi="Calibri" w:cs="Times New Roman"/>
      <w:sz w:val="21"/>
      <w:lang w:val="en-US" w:eastAsia="zh-CN" w:bidi="ar-SA"/>
    </w:rPr>
  </w:style>
  <w:style w:type="paragraph" w:customStyle="1" w:styleId="toc36">
    <w:name w:val="toc 36"/>
    <w:next w:val="Normal"/>
    <w:qFormat/>
    <w:pPr>
      <w:wordWrap w:val="0"/>
      <w:ind w:left="850"/>
      <w:jc w:val="both"/>
    </w:pPr>
    <w:rPr>
      <w:rFonts w:ascii="Calibri" w:eastAsia="宋体" w:hAnsi="Calibri" w:cs="Times New Roman"/>
      <w:sz w:val="21"/>
      <w:lang w:val="en-US" w:eastAsia="zh-CN" w:bidi="ar-SA"/>
    </w:rPr>
  </w:style>
  <w:style w:type="paragraph" w:customStyle="1" w:styleId="toc82">
    <w:name w:val="toc 82"/>
    <w:next w:val="Normal"/>
    <w:qFormat/>
    <w:pPr>
      <w:wordWrap w:val="0"/>
      <w:ind w:left="2975"/>
      <w:jc w:val="both"/>
    </w:pPr>
    <w:rPr>
      <w:rFonts w:ascii="Calibri" w:eastAsia="宋体" w:hAnsi="Calibri" w:cs="Times New Roman"/>
      <w:sz w:val="21"/>
      <w:lang w:val="en-US" w:eastAsia="zh-CN" w:bidi="ar-SA"/>
    </w:rPr>
  </w:style>
  <w:style w:type="paragraph" w:customStyle="1" w:styleId="xl104">
    <w:name w:val="xl104"/>
    <w:basedOn w:val="Normal"/>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Normal"/>
    <w:qFormat/>
    <w:pPr>
      <w:wordWrap w:val="0"/>
      <w:ind w:left="425"/>
      <w:jc w:val="both"/>
    </w:pPr>
    <w:rPr>
      <w:rFonts w:ascii="Calibri" w:eastAsia="宋体" w:hAnsi="Calibri" w:cs="Times New Roman"/>
      <w:sz w:val="21"/>
      <w:lang w:val="en-US" w:eastAsia="zh-CN" w:bidi="ar-SA"/>
    </w:rPr>
  </w:style>
  <w:style w:type="paragraph" w:customStyle="1" w:styleId="toc110">
    <w:name w:val="toc 110"/>
    <w:next w:val="Normal"/>
    <w:qFormat/>
    <w:pPr>
      <w:wordWrap w:val="0"/>
      <w:jc w:val="both"/>
    </w:pPr>
    <w:rPr>
      <w:rFonts w:ascii="Calibri" w:eastAsia="宋体" w:hAnsi="Calibri" w:cs="Times New Roman"/>
      <w:sz w:val="21"/>
      <w:lang w:val="en-US" w:eastAsia="zh-CN" w:bidi="ar-SA"/>
    </w:rPr>
  </w:style>
  <w:style w:type="paragraph" w:customStyle="1" w:styleId="toc66">
    <w:name w:val="toc 66"/>
    <w:next w:val="Normal"/>
    <w:qFormat/>
    <w:pPr>
      <w:wordWrap w:val="0"/>
      <w:ind w:left="2125"/>
      <w:jc w:val="both"/>
    </w:pPr>
    <w:rPr>
      <w:rFonts w:ascii="Calibri" w:eastAsia="宋体" w:hAnsi="Calibri" w:cs="Times New Roman"/>
      <w:sz w:val="21"/>
      <w:lang w:val="en-US" w:eastAsia="zh-CN" w:bidi="ar-SA"/>
    </w:rPr>
  </w:style>
  <w:style w:type="paragraph" w:customStyle="1" w:styleId="toc31">
    <w:name w:val="toc 31"/>
    <w:next w:val="Normal"/>
    <w:qFormat/>
    <w:pPr>
      <w:wordWrap w:val="0"/>
      <w:ind w:left="850"/>
      <w:jc w:val="both"/>
    </w:pPr>
    <w:rPr>
      <w:rFonts w:ascii="Calibri" w:eastAsia="宋体" w:hAnsi="Calibri" w:cs="Times New Roman"/>
      <w:sz w:val="21"/>
      <w:lang w:val="en-US" w:eastAsia="zh-CN" w:bidi="ar-SA"/>
    </w:rPr>
  </w:style>
  <w:style w:type="paragraph" w:customStyle="1" w:styleId="toc93">
    <w:name w:val="toc 93"/>
    <w:next w:val="Normal"/>
    <w:qFormat/>
    <w:pPr>
      <w:wordWrap w:val="0"/>
      <w:ind w:left="3400"/>
      <w:jc w:val="both"/>
    </w:pPr>
    <w:rPr>
      <w:rFonts w:ascii="Calibri" w:eastAsia="宋体" w:hAnsi="Calibri" w:cs="Times New Roman"/>
      <w:sz w:val="21"/>
      <w:lang w:val="en-US" w:eastAsia="zh-CN" w:bidi="ar-SA"/>
    </w:rPr>
  </w:style>
  <w:style w:type="paragraph" w:customStyle="1" w:styleId="toc614">
    <w:name w:val="toc 614"/>
    <w:next w:val="Normal"/>
    <w:qFormat/>
    <w:pPr>
      <w:wordWrap w:val="0"/>
      <w:ind w:left="2125"/>
      <w:jc w:val="both"/>
    </w:pPr>
    <w:rPr>
      <w:rFonts w:ascii="Calibri" w:eastAsia="宋体" w:hAnsi="Calibri" w:cs="Times New Roman"/>
      <w:sz w:val="21"/>
      <w:lang w:val="en-US" w:eastAsia="zh-CN" w:bidi="ar-SA"/>
    </w:rPr>
  </w:style>
  <w:style w:type="paragraph" w:customStyle="1" w:styleId="19">
    <w:name w:val="无间隔1"/>
    <w:next w:val="toc110"/>
    <w:qFormat/>
    <w:pPr>
      <w:widowControl w:val="0"/>
      <w:jc w:val="both"/>
    </w:pPr>
    <w:rPr>
      <w:rFonts w:ascii="Calibri" w:eastAsia="宋体" w:hAnsi="Calibri" w:cs="Times New Roman"/>
      <w:sz w:val="22"/>
      <w:lang w:val="en-US" w:eastAsia="zh-CN" w:bidi="ar-SA"/>
    </w:rPr>
  </w:style>
  <w:style w:type="paragraph" w:customStyle="1" w:styleId="410">
    <w:name w:val="目录 41"/>
    <w:next w:val="Normal"/>
    <w:qFormat/>
    <w:pPr>
      <w:wordWrap w:val="0"/>
      <w:ind w:left="1275"/>
      <w:jc w:val="both"/>
    </w:pPr>
    <w:rPr>
      <w:rFonts w:ascii="Calibri" w:eastAsia="宋体" w:hAnsi="Calibri" w:cs="Times New Roman"/>
      <w:sz w:val="21"/>
      <w:lang w:val="en-US" w:eastAsia="zh-CN" w:bidi="ar-SA"/>
    </w:rPr>
  </w:style>
  <w:style w:type="paragraph" w:customStyle="1" w:styleId="xl105">
    <w:name w:val="xl105"/>
    <w:basedOn w:val="Normal"/>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Normal"/>
    <w:qFormat/>
    <w:pPr>
      <w:wordWrap w:val="0"/>
      <w:ind w:left="2125"/>
      <w:jc w:val="both"/>
    </w:pPr>
    <w:rPr>
      <w:rFonts w:ascii="Calibri" w:eastAsia="宋体" w:hAnsi="Calibri" w:cs="Times New Roman"/>
      <w:sz w:val="21"/>
      <w:lang w:val="en-US" w:eastAsia="zh-CN" w:bidi="ar-SA"/>
    </w:rPr>
  </w:style>
  <w:style w:type="paragraph" w:customStyle="1" w:styleId="toc41">
    <w:name w:val="toc 41"/>
    <w:next w:val="Normal"/>
    <w:qFormat/>
    <w:pPr>
      <w:wordWrap w:val="0"/>
      <w:ind w:left="1275"/>
      <w:jc w:val="both"/>
    </w:pPr>
    <w:rPr>
      <w:rFonts w:ascii="Calibri" w:eastAsia="宋体" w:hAnsi="Calibri" w:cs="Times New Roman"/>
      <w:sz w:val="21"/>
      <w:lang w:val="en-US" w:eastAsia="zh-CN" w:bidi="ar-SA"/>
    </w:rPr>
  </w:style>
  <w:style w:type="paragraph" w:customStyle="1" w:styleId="toc81">
    <w:name w:val="toc 81"/>
    <w:next w:val="Normal"/>
    <w:qFormat/>
    <w:pPr>
      <w:wordWrap w:val="0"/>
      <w:ind w:left="2975"/>
      <w:jc w:val="both"/>
    </w:pPr>
    <w:rPr>
      <w:rFonts w:ascii="Calibri" w:eastAsia="宋体" w:hAnsi="Calibri" w:cs="Times New Roman"/>
      <w:sz w:val="21"/>
      <w:lang w:val="en-US" w:eastAsia="zh-CN" w:bidi="ar-SA"/>
    </w:rPr>
  </w:style>
  <w:style w:type="paragraph" w:customStyle="1" w:styleId="xl111">
    <w:name w:val="xl111"/>
    <w:basedOn w:val="Normal"/>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Normal"/>
    <w:qFormat/>
    <w:pPr>
      <w:wordWrap w:val="0"/>
      <w:ind w:left="2975"/>
      <w:jc w:val="both"/>
    </w:pPr>
    <w:rPr>
      <w:rFonts w:ascii="Calibri" w:eastAsia="宋体" w:hAnsi="Calibri" w:cs="Times New Roman"/>
      <w:sz w:val="21"/>
      <w:lang w:val="en-US" w:eastAsia="zh-CN" w:bidi="ar-SA"/>
    </w:rPr>
  </w:style>
  <w:style w:type="paragraph" w:customStyle="1" w:styleId="toc84">
    <w:name w:val="toc 84"/>
    <w:next w:val="Normal"/>
    <w:qFormat/>
    <w:pPr>
      <w:wordWrap w:val="0"/>
      <w:ind w:left="2975"/>
      <w:jc w:val="both"/>
    </w:pPr>
    <w:rPr>
      <w:rFonts w:ascii="Calibri" w:eastAsia="宋体" w:hAnsi="Calibri" w:cs="Times New Roman"/>
      <w:sz w:val="21"/>
      <w:lang w:val="en-US" w:eastAsia="zh-CN" w:bidi="ar-SA"/>
    </w:rPr>
  </w:style>
  <w:style w:type="paragraph" w:customStyle="1" w:styleId="p0">
    <w:name w:val="p0"/>
    <w:basedOn w:val="Normal"/>
    <w:next w:val="toc69"/>
    <w:qFormat/>
    <w:pPr>
      <w:widowControl/>
      <w:spacing w:before="280" w:after="280"/>
    </w:pPr>
    <w:rPr>
      <w:rFonts w:ascii="宋体" w:hAnsi="Calibri"/>
      <w:kern w:val="0"/>
      <w:sz w:val="24"/>
      <w:szCs w:val="20"/>
    </w:rPr>
  </w:style>
  <w:style w:type="paragraph" w:customStyle="1" w:styleId="toc69">
    <w:name w:val="toc 69"/>
    <w:next w:val="Normal"/>
    <w:qFormat/>
    <w:pPr>
      <w:wordWrap w:val="0"/>
      <w:ind w:left="2125"/>
      <w:jc w:val="both"/>
    </w:pPr>
    <w:rPr>
      <w:rFonts w:ascii="Calibri" w:eastAsia="宋体" w:hAnsi="Calibri" w:cs="Times New Roman"/>
      <w:sz w:val="21"/>
      <w:lang w:val="en-US" w:eastAsia="zh-CN" w:bidi="ar-SA"/>
    </w:rPr>
  </w:style>
  <w:style w:type="paragraph" w:customStyle="1" w:styleId="111">
    <w:name w:val="列出段落11"/>
    <w:basedOn w:val="Normal"/>
    <w:next w:val="toc214"/>
    <w:qFormat/>
    <w:pPr>
      <w:widowControl/>
      <w:spacing w:line="360" w:lineRule="auto"/>
      <w:ind w:firstLine="420"/>
    </w:pPr>
    <w:rPr>
      <w:rFonts w:eastAsia="微软雅黑" w:hAnsi="Calibri"/>
      <w:kern w:val="0"/>
      <w:sz w:val="24"/>
      <w:szCs w:val="20"/>
    </w:rPr>
  </w:style>
  <w:style w:type="paragraph" w:customStyle="1" w:styleId="toc214">
    <w:name w:val="toc 214"/>
    <w:next w:val="Normal"/>
    <w:qFormat/>
    <w:pPr>
      <w:wordWrap w:val="0"/>
      <w:ind w:left="425"/>
      <w:jc w:val="both"/>
    </w:pPr>
    <w:rPr>
      <w:rFonts w:ascii="Calibri" w:eastAsia="宋体" w:hAnsi="Calibri" w:cs="Times New Roman"/>
      <w:sz w:val="21"/>
      <w:lang w:val="en-US" w:eastAsia="zh-CN" w:bidi="ar-SA"/>
    </w:rPr>
  </w:style>
  <w:style w:type="paragraph" w:customStyle="1" w:styleId="toc63">
    <w:name w:val="toc 63"/>
    <w:next w:val="Normal"/>
    <w:qFormat/>
    <w:pPr>
      <w:wordWrap w:val="0"/>
      <w:ind w:left="2125"/>
      <w:jc w:val="both"/>
    </w:pPr>
    <w:rPr>
      <w:rFonts w:ascii="Calibri" w:eastAsia="宋体" w:hAnsi="Calibri" w:cs="Times New Roman"/>
      <w:sz w:val="21"/>
      <w:lang w:val="en-US" w:eastAsia="zh-CN" w:bidi="ar-SA"/>
    </w:rPr>
  </w:style>
  <w:style w:type="paragraph" w:customStyle="1" w:styleId="xl91">
    <w:name w:val="xl91"/>
    <w:basedOn w:val="Normal"/>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Normal"/>
    <w:qFormat/>
    <w:pPr>
      <w:wordWrap w:val="0"/>
      <w:ind w:left="850"/>
      <w:jc w:val="both"/>
    </w:pPr>
    <w:rPr>
      <w:rFonts w:ascii="Calibri" w:eastAsia="宋体" w:hAnsi="Calibri" w:cs="Times New Roman"/>
      <w:sz w:val="21"/>
      <w:lang w:val="en-US" w:eastAsia="zh-CN" w:bidi="ar-SA"/>
    </w:rPr>
  </w:style>
  <w:style w:type="paragraph" w:customStyle="1" w:styleId="Style1">
    <w:name w:val="_Style 1"/>
    <w:basedOn w:val="Normal"/>
    <w:next w:val="TOCHeading13"/>
    <w:qFormat/>
    <w:pPr>
      <w:ind w:firstLine="420"/>
    </w:pPr>
    <w:rPr>
      <w:rFonts w:hAnsi="Calibri"/>
      <w:kern w:val="0"/>
      <w:szCs w:val="20"/>
    </w:rPr>
  </w:style>
  <w:style w:type="paragraph" w:customStyle="1" w:styleId="TOCHeading13">
    <w:name w:val="TOC Heading13"/>
    <w:next w:val="Normal"/>
    <w:qFormat/>
    <w:pPr>
      <w:wordWrap w:val="0"/>
    </w:pPr>
    <w:rPr>
      <w:rFonts w:ascii="Calibri" w:eastAsia="宋体" w:hAnsi="Calibri" w:cs="Times New Roman"/>
      <w:sz w:val="32"/>
      <w:lang w:val="en-US" w:eastAsia="zh-CN" w:bidi="ar-SA"/>
    </w:rPr>
  </w:style>
  <w:style w:type="paragraph" w:customStyle="1" w:styleId="toc116">
    <w:name w:val="toc 116"/>
    <w:next w:val="Normal"/>
    <w:qFormat/>
    <w:pPr>
      <w:wordWrap w:val="0"/>
      <w:jc w:val="both"/>
    </w:pPr>
    <w:rPr>
      <w:rFonts w:ascii="Calibri" w:eastAsia="宋体" w:hAnsi="Calibri" w:cs="Times New Roman"/>
      <w:sz w:val="21"/>
      <w:lang w:val="en-US" w:eastAsia="zh-CN" w:bidi="ar-SA"/>
    </w:rPr>
  </w:style>
  <w:style w:type="paragraph" w:customStyle="1" w:styleId="toc72">
    <w:name w:val="toc 72"/>
    <w:next w:val="Normal"/>
    <w:qFormat/>
    <w:pPr>
      <w:wordWrap w:val="0"/>
      <w:ind w:left="2550"/>
      <w:jc w:val="both"/>
    </w:pPr>
    <w:rPr>
      <w:rFonts w:ascii="Calibri" w:eastAsia="宋体" w:hAnsi="Calibri" w:cs="Times New Roman"/>
      <w:sz w:val="21"/>
      <w:lang w:val="en-US" w:eastAsia="zh-CN" w:bidi="ar-SA"/>
    </w:rPr>
  </w:style>
  <w:style w:type="paragraph" w:customStyle="1" w:styleId="xmsonormal">
    <w:name w:val="x_msonormal"/>
    <w:basedOn w:val="Normal"/>
    <w:next w:val="toc413"/>
    <w:qFormat/>
    <w:pPr>
      <w:widowControl/>
      <w:spacing w:before="280" w:after="280"/>
    </w:pPr>
    <w:rPr>
      <w:rFonts w:ascii="PMingLiU" w:eastAsia="PMingLiU" w:hAnsi="Calibri"/>
      <w:kern w:val="0"/>
      <w:sz w:val="24"/>
      <w:szCs w:val="20"/>
    </w:rPr>
  </w:style>
  <w:style w:type="paragraph" w:customStyle="1" w:styleId="toc310">
    <w:name w:val="toc 310"/>
    <w:next w:val="Normal"/>
    <w:qFormat/>
    <w:pPr>
      <w:wordWrap w:val="0"/>
      <w:ind w:left="850"/>
      <w:jc w:val="both"/>
    </w:pPr>
    <w:rPr>
      <w:rFonts w:ascii="Calibri" w:eastAsia="宋体" w:hAnsi="Calibri" w:cs="Times New Roman"/>
      <w:sz w:val="21"/>
      <w:lang w:val="en-US" w:eastAsia="zh-CN" w:bidi="ar-SA"/>
    </w:rPr>
  </w:style>
  <w:style w:type="paragraph" w:customStyle="1" w:styleId="toc83">
    <w:name w:val="toc 83"/>
    <w:next w:val="Normal"/>
    <w:qFormat/>
    <w:pPr>
      <w:wordWrap w:val="0"/>
      <w:ind w:left="2975"/>
      <w:jc w:val="both"/>
    </w:pPr>
    <w:rPr>
      <w:rFonts w:ascii="Calibri" w:eastAsia="宋体" w:hAnsi="Calibri" w:cs="Times New Roman"/>
      <w:sz w:val="21"/>
      <w:lang w:val="en-US" w:eastAsia="zh-CN" w:bidi="ar-SA"/>
    </w:rPr>
  </w:style>
  <w:style w:type="paragraph" w:customStyle="1" w:styleId="TOCHeading17">
    <w:name w:val="TOC Heading17"/>
    <w:next w:val="Normal"/>
    <w:qFormat/>
    <w:pPr>
      <w:wordWrap w:val="0"/>
    </w:pPr>
    <w:rPr>
      <w:rFonts w:ascii="Calibri" w:eastAsia="宋体" w:hAnsi="Calibri" w:cs="Times New Roman"/>
      <w:sz w:val="32"/>
      <w:lang w:val="en-US" w:eastAsia="zh-CN" w:bidi="ar-SA"/>
    </w:rPr>
  </w:style>
  <w:style w:type="paragraph" w:customStyle="1" w:styleId="toc911">
    <w:name w:val="toc 911"/>
    <w:next w:val="Normal"/>
    <w:qFormat/>
    <w:pPr>
      <w:wordWrap w:val="0"/>
      <w:ind w:left="3400"/>
      <w:jc w:val="both"/>
    </w:pPr>
    <w:rPr>
      <w:rFonts w:ascii="Calibri" w:eastAsia="宋体" w:hAnsi="Calibri" w:cs="Times New Roman"/>
      <w:sz w:val="21"/>
      <w:lang w:val="en-US" w:eastAsia="zh-CN" w:bidi="ar-SA"/>
    </w:rPr>
  </w:style>
  <w:style w:type="paragraph" w:customStyle="1" w:styleId="toc811">
    <w:name w:val="toc 811"/>
    <w:next w:val="Normal"/>
    <w:qFormat/>
    <w:pPr>
      <w:wordWrap w:val="0"/>
      <w:ind w:left="2975"/>
      <w:jc w:val="both"/>
    </w:pPr>
    <w:rPr>
      <w:rFonts w:ascii="Calibri" w:eastAsia="宋体" w:hAnsi="Calibri" w:cs="Times New Roman"/>
      <w:sz w:val="21"/>
      <w:lang w:val="en-US" w:eastAsia="zh-CN" w:bidi="ar-SA"/>
    </w:rPr>
  </w:style>
  <w:style w:type="paragraph" w:customStyle="1" w:styleId="31">
    <w:name w:val="目录 31"/>
    <w:next w:val="Normal"/>
    <w:qFormat/>
    <w:pPr>
      <w:wordWrap w:val="0"/>
      <w:ind w:left="850"/>
      <w:jc w:val="both"/>
    </w:pPr>
    <w:rPr>
      <w:rFonts w:ascii="Calibri" w:eastAsia="宋体" w:hAnsi="Calibri" w:cs="Times New Roman"/>
      <w:sz w:val="21"/>
      <w:lang w:val="en-US" w:eastAsia="zh-CN" w:bidi="ar-SA"/>
    </w:rPr>
  </w:style>
  <w:style w:type="paragraph" w:customStyle="1" w:styleId="xl118">
    <w:name w:val="xl118"/>
    <w:basedOn w:val="Normal"/>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Normal"/>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Normal"/>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Normal"/>
    <w:qFormat/>
    <w:pPr>
      <w:wordWrap w:val="0"/>
      <w:jc w:val="both"/>
    </w:pPr>
    <w:rPr>
      <w:rFonts w:ascii="Calibri" w:eastAsia="宋体" w:hAnsi="Calibri" w:cs="Times New Roman"/>
      <w:sz w:val="21"/>
      <w:lang w:val="en-US" w:eastAsia="zh-CN" w:bidi="ar-SA"/>
    </w:rPr>
  </w:style>
  <w:style w:type="paragraph" w:customStyle="1" w:styleId="xl68">
    <w:name w:val="xl68"/>
    <w:basedOn w:val="Normal"/>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Normal"/>
    <w:qFormat/>
    <w:pPr>
      <w:wordWrap w:val="0"/>
    </w:pPr>
    <w:rPr>
      <w:rFonts w:ascii="Calibri" w:eastAsia="宋体" w:hAnsi="Calibri" w:cs="Times New Roman"/>
      <w:sz w:val="32"/>
      <w:lang w:val="en-US" w:eastAsia="zh-CN" w:bidi="ar-SA"/>
    </w:rPr>
  </w:style>
  <w:style w:type="paragraph" w:customStyle="1" w:styleId="toc113">
    <w:name w:val="toc 113"/>
    <w:next w:val="Normal"/>
    <w:qFormat/>
    <w:pPr>
      <w:wordWrap w:val="0"/>
      <w:jc w:val="both"/>
    </w:pPr>
    <w:rPr>
      <w:rFonts w:ascii="Calibri" w:eastAsia="宋体" w:hAnsi="Calibri" w:cs="Times New Roman"/>
      <w:sz w:val="21"/>
      <w:lang w:val="en-US" w:eastAsia="zh-CN" w:bidi="ar-SA"/>
    </w:rPr>
  </w:style>
  <w:style w:type="paragraph" w:customStyle="1" w:styleId="xl94">
    <w:name w:val="xl94"/>
    <w:basedOn w:val="Normal"/>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Normal"/>
    <w:qFormat/>
    <w:pPr>
      <w:wordWrap w:val="0"/>
      <w:ind w:left="1700"/>
      <w:jc w:val="both"/>
    </w:pPr>
    <w:rPr>
      <w:rFonts w:ascii="Calibri" w:eastAsia="宋体" w:hAnsi="Calibri" w:cs="Times New Roman"/>
      <w:sz w:val="21"/>
      <w:lang w:val="en-US" w:eastAsia="zh-CN" w:bidi="ar-SA"/>
    </w:rPr>
  </w:style>
  <w:style w:type="paragraph" w:customStyle="1" w:styleId="xl92">
    <w:name w:val="xl92"/>
    <w:basedOn w:val="Normal"/>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Normal"/>
    <w:qFormat/>
    <w:pPr>
      <w:wordWrap w:val="0"/>
      <w:ind w:left="3400"/>
      <w:jc w:val="both"/>
    </w:pPr>
    <w:rPr>
      <w:rFonts w:ascii="Calibri" w:eastAsia="宋体" w:hAnsi="Calibri" w:cs="Times New Roman"/>
      <w:sz w:val="21"/>
      <w:lang w:val="en-US" w:eastAsia="zh-CN" w:bidi="ar-SA"/>
    </w:rPr>
  </w:style>
  <w:style w:type="paragraph" w:customStyle="1" w:styleId="toc512">
    <w:name w:val="toc 512"/>
    <w:next w:val="Normal"/>
    <w:qFormat/>
    <w:pPr>
      <w:wordWrap w:val="0"/>
      <w:ind w:left="1700"/>
      <w:jc w:val="both"/>
    </w:pPr>
    <w:rPr>
      <w:rFonts w:ascii="Calibri" w:eastAsia="宋体" w:hAnsi="Calibri" w:cs="Times New Roman"/>
      <w:sz w:val="21"/>
      <w:lang w:val="en-US" w:eastAsia="zh-CN" w:bidi="ar-SA"/>
    </w:rPr>
  </w:style>
  <w:style w:type="paragraph" w:customStyle="1" w:styleId="81">
    <w:name w:val="目录 81"/>
    <w:next w:val="Normal"/>
    <w:qFormat/>
    <w:pPr>
      <w:wordWrap w:val="0"/>
      <w:ind w:left="2975"/>
      <w:jc w:val="both"/>
    </w:pPr>
    <w:rPr>
      <w:rFonts w:ascii="Calibri" w:eastAsia="宋体" w:hAnsi="Calibri" w:cs="Times New Roman"/>
      <w:sz w:val="21"/>
      <w:lang w:val="en-US" w:eastAsia="zh-CN" w:bidi="ar-SA"/>
    </w:rPr>
  </w:style>
  <w:style w:type="paragraph" w:customStyle="1" w:styleId="a20">
    <w:name w:val="正文表标题"/>
    <w:next w:val="Normal"/>
    <w:qFormat/>
    <w:pPr>
      <w:ind w:left="630"/>
      <w:jc w:val="center"/>
    </w:pPr>
    <w:rPr>
      <w:rFonts w:ascii="黑体" w:eastAsia="黑体" w:hAnsi="Calibri" w:cs="Times New Roman"/>
      <w:sz w:val="21"/>
      <w:lang w:val="en-US" w:eastAsia="zh-CN" w:bidi="ar-SA"/>
    </w:rPr>
  </w:style>
  <w:style w:type="paragraph" w:customStyle="1" w:styleId="toc28">
    <w:name w:val="toc 28"/>
    <w:next w:val="Normal"/>
    <w:qFormat/>
    <w:pPr>
      <w:wordWrap w:val="0"/>
      <w:ind w:left="425"/>
      <w:jc w:val="both"/>
    </w:pPr>
    <w:rPr>
      <w:rFonts w:ascii="Calibri" w:eastAsia="宋体" w:hAnsi="Calibri" w:cs="Times New Roman"/>
      <w:sz w:val="21"/>
      <w:lang w:val="en-US" w:eastAsia="zh-CN" w:bidi="ar-SA"/>
    </w:rPr>
  </w:style>
  <w:style w:type="paragraph" w:customStyle="1" w:styleId="toc79">
    <w:name w:val="toc 79"/>
    <w:next w:val="Normal"/>
    <w:qFormat/>
    <w:pPr>
      <w:wordWrap w:val="0"/>
      <w:ind w:left="2550"/>
      <w:jc w:val="both"/>
    </w:pPr>
    <w:rPr>
      <w:rFonts w:ascii="Calibri" w:eastAsia="宋体" w:hAnsi="Calibri" w:cs="Times New Roman"/>
      <w:sz w:val="21"/>
      <w:lang w:val="en-US" w:eastAsia="zh-CN" w:bidi="ar-SA"/>
    </w:rPr>
  </w:style>
  <w:style w:type="paragraph" w:customStyle="1" w:styleId="xl110">
    <w:name w:val="xl110"/>
    <w:basedOn w:val="Normal"/>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Normal"/>
    <w:qFormat/>
    <w:pPr>
      <w:wordWrap w:val="0"/>
      <w:ind w:left="1700"/>
      <w:jc w:val="both"/>
    </w:pPr>
    <w:rPr>
      <w:rFonts w:ascii="Calibri" w:eastAsia="宋体" w:hAnsi="Calibri" w:cs="Times New Roman"/>
      <w:sz w:val="21"/>
      <w:lang w:val="en-US" w:eastAsia="zh-CN" w:bidi="ar-SA"/>
    </w:rPr>
  </w:style>
  <w:style w:type="paragraph" w:customStyle="1" w:styleId="toc416">
    <w:name w:val="toc 416"/>
    <w:next w:val="Normal"/>
    <w:qFormat/>
    <w:pPr>
      <w:wordWrap w:val="0"/>
      <w:ind w:left="1275"/>
      <w:jc w:val="both"/>
    </w:pPr>
    <w:rPr>
      <w:rFonts w:ascii="Calibri" w:eastAsia="宋体" w:hAnsi="Calibri" w:cs="Times New Roman"/>
      <w:sz w:val="21"/>
      <w:lang w:val="en-US" w:eastAsia="zh-CN" w:bidi="ar-SA"/>
    </w:rPr>
  </w:style>
  <w:style w:type="paragraph" w:customStyle="1" w:styleId="xl85">
    <w:name w:val="xl85"/>
    <w:basedOn w:val="Normal"/>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Normal"/>
    <w:qFormat/>
    <w:pPr>
      <w:wordWrap w:val="0"/>
      <w:ind w:left="2550"/>
      <w:jc w:val="both"/>
    </w:pPr>
    <w:rPr>
      <w:rFonts w:ascii="Calibri" w:eastAsia="宋体" w:hAnsi="Calibri" w:cs="Times New Roman"/>
      <w:sz w:val="21"/>
      <w:lang w:val="en-US" w:eastAsia="zh-CN" w:bidi="ar-SA"/>
    </w:rPr>
  </w:style>
  <w:style w:type="paragraph" w:customStyle="1" w:styleId="toc27">
    <w:name w:val="toc 27"/>
    <w:next w:val="Normal"/>
    <w:qFormat/>
    <w:pPr>
      <w:wordWrap w:val="0"/>
      <w:ind w:left="425"/>
      <w:jc w:val="both"/>
    </w:pPr>
    <w:rPr>
      <w:rFonts w:ascii="Calibri" w:eastAsia="宋体" w:hAnsi="Calibri" w:cs="Times New Roman"/>
      <w:sz w:val="21"/>
      <w:lang w:val="en-US" w:eastAsia="zh-CN" w:bidi="ar-SA"/>
    </w:rPr>
  </w:style>
  <w:style w:type="paragraph" w:customStyle="1" w:styleId="toc916">
    <w:name w:val="toc 916"/>
    <w:next w:val="Normal"/>
    <w:qFormat/>
    <w:pPr>
      <w:wordWrap w:val="0"/>
      <w:ind w:left="3400"/>
      <w:jc w:val="both"/>
    </w:pPr>
    <w:rPr>
      <w:rFonts w:ascii="Calibri" w:eastAsia="宋体" w:hAnsi="Calibri" w:cs="Times New Roman"/>
      <w:sz w:val="21"/>
      <w:lang w:val="en-US" w:eastAsia="zh-CN" w:bidi="ar-SA"/>
    </w:rPr>
  </w:style>
  <w:style w:type="paragraph" w:customStyle="1" w:styleId="toc77">
    <w:name w:val="toc 77"/>
    <w:next w:val="Normal"/>
    <w:qFormat/>
    <w:pPr>
      <w:wordWrap w:val="0"/>
      <w:ind w:left="2550"/>
      <w:jc w:val="both"/>
    </w:pPr>
    <w:rPr>
      <w:rFonts w:ascii="Calibri" w:eastAsia="宋体" w:hAnsi="Calibri" w:cs="Times New Roman"/>
      <w:sz w:val="21"/>
      <w:lang w:val="en-US" w:eastAsia="zh-CN" w:bidi="ar-SA"/>
    </w:rPr>
  </w:style>
  <w:style w:type="paragraph" w:customStyle="1" w:styleId="toc211">
    <w:name w:val="toc 211"/>
    <w:next w:val="Normal"/>
    <w:qFormat/>
    <w:pPr>
      <w:wordWrap w:val="0"/>
      <w:ind w:left="425"/>
      <w:jc w:val="both"/>
    </w:pPr>
    <w:rPr>
      <w:rFonts w:ascii="Calibri" w:eastAsia="宋体" w:hAnsi="Calibri" w:cs="Times New Roman"/>
      <w:sz w:val="21"/>
      <w:lang w:val="en-US" w:eastAsia="zh-CN" w:bidi="ar-SA"/>
    </w:rPr>
  </w:style>
  <w:style w:type="paragraph" w:customStyle="1" w:styleId="toc815">
    <w:name w:val="toc 815"/>
    <w:next w:val="Normal"/>
    <w:qFormat/>
    <w:pPr>
      <w:wordWrap w:val="0"/>
      <w:ind w:left="2975"/>
      <w:jc w:val="both"/>
    </w:pPr>
    <w:rPr>
      <w:rFonts w:ascii="Calibri" w:eastAsia="宋体" w:hAnsi="Calibri" w:cs="Times New Roman"/>
      <w:sz w:val="21"/>
      <w:lang w:val="en-US" w:eastAsia="zh-CN" w:bidi="ar-SA"/>
    </w:rPr>
  </w:style>
  <w:style w:type="paragraph" w:customStyle="1" w:styleId="xl99">
    <w:name w:val="xl99"/>
    <w:basedOn w:val="Normal"/>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Normal"/>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Normal"/>
    <w:qFormat/>
    <w:pPr>
      <w:wordWrap w:val="0"/>
      <w:ind w:left="2125"/>
      <w:jc w:val="both"/>
    </w:pPr>
    <w:rPr>
      <w:rFonts w:ascii="Calibri" w:eastAsia="宋体" w:hAnsi="Calibri" w:cs="Times New Roman"/>
      <w:sz w:val="21"/>
      <w:lang w:val="en-US" w:eastAsia="zh-CN" w:bidi="ar-SA"/>
    </w:rPr>
  </w:style>
  <w:style w:type="paragraph" w:customStyle="1" w:styleId="toc315">
    <w:name w:val="toc 315"/>
    <w:next w:val="Normal"/>
    <w:qFormat/>
    <w:pPr>
      <w:wordWrap w:val="0"/>
      <w:ind w:left="850"/>
      <w:jc w:val="both"/>
    </w:pPr>
    <w:rPr>
      <w:rFonts w:ascii="Calibri" w:eastAsia="宋体" w:hAnsi="Calibri" w:cs="Times New Roman"/>
      <w:sz w:val="21"/>
      <w:lang w:val="en-US" w:eastAsia="zh-CN" w:bidi="ar-SA"/>
    </w:rPr>
  </w:style>
  <w:style w:type="paragraph" w:customStyle="1" w:styleId="TOCHeading15">
    <w:name w:val="TOC Heading15"/>
    <w:next w:val="Normal"/>
    <w:qFormat/>
    <w:pPr>
      <w:wordWrap w:val="0"/>
    </w:pPr>
    <w:rPr>
      <w:rFonts w:ascii="Calibri" w:eastAsia="宋体" w:hAnsi="Calibri" w:cs="Times New Roman"/>
      <w:sz w:val="32"/>
      <w:lang w:val="en-US" w:eastAsia="zh-CN" w:bidi="ar-SA"/>
    </w:rPr>
  </w:style>
  <w:style w:type="paragraph" w:customStyle="1" w:styleId="toc915">
    <w:name w:val="toc 915"/>
    <w:next w:val="Normal"/>
    <w:qFormat/>
    <w:pPr>
      <w:wordWrap w:val="0"/>
      <w:ind w:left="3400"/>
      <w:jc w:val="both"/>
    </w:pPr>
    <w:rPr>
      <w:rFonts w:ascii="Calibri" w:eastAsia="宋体" w:hAnsi="Calibri" w:cs="Times New Roman"/>
      <w:sz w:val="21"/>
      <w:lang w:val="en-US" w:eastAsia="zh-CN" w:bidi="ar-SA"/>
    </w:rPr>
  </w:style>
  <w:style w:type="paragraph" w:customStyle="1" w:styleId="toc39">
    <w:name w:val="toc 39"/>
    <w:next w:val="Normal"/>
    <w:qFormat/>
    <w:pPr>
      <w:wordWrap w:val="0"/>
      <w:ind w:left="850"/>
      <w:jc w:val="both"/>
    </w:pPr>
    <w:rPr>
      <w:rFonts w:ascii="Calibri" w:eastAsia="宋体" w:hAnsi="Calibri" w:cs="Times New Roman"/>
      <w:sz w:val="21"/>
      <w:lang w:val="en-US" w:eastAsia="zh-CN" w:bidi="ar-SA"/>
    </w:rPr>
  </w:style>
  <w:style w:type="paragraph" w:customStyle="1" w:styleId="toc710">
    <w:name w:val="toc 710"/>
    <w:next w:val="Normal"/>
    <w:qFormat/>
    <w:pPr>
      <w:wordWrap w:val="0"/>
      <w:ind w:left="2550"/>
      <w:jc w:val="both"/>
    </w:pPr>
    <w:rPr>
      <w:rFonts w:ascii="Calibri" w:eastAsia="宋体" w:hAnsi="Calibri" w:cs="Times New Roman"/>
      <w:sz w:val="21"/>
      <w:lang w:val="en-US" w:eastAsia="zh-CN" w:bidi="ar-SA"/>
    </w:rPr>
  </w:style>
  <w:style w:type="paragraph" w:customStyle="1" w:styleId="toc12">
    <w:name w:val="toc 12"/>
    <w:next w:val="Normal"/>
    <w:qFormat/>
    <w:pPr>
      <w:wordWrap w:val="0"/>
      <w:jc w:val="both"/>
    </w:pPr>
    <w:rPr>
      <w:rFonts w:ascii="Calibri" w:eastAsia="宋体" w:hAnsi="Calibri" w:cs="Times New Roman"/>
      <w:sz w:val="21"/>
      <w:lang w:val="en-US" w:eastAsia="zh-CN" w:bidi="ar-SA"/>
    </w:rPr>
  </w:style>
  <w:style w:type="paragraph" w:customStyle="1" w:styleId="xl95">
    <w:name w:val="xl95"/>
    <w:basedOn w:val="Normal"/>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Normal"/>
    <w:qFormat/>
    <w:pPr>
      <w:wordWrap w:val="0"/>
      <w:ind w:left="1275"/>
      <w:jc w:val="both"/>
    </w:pPr>
    <w:rPr>
      <w:rFonts w:ascii="Calibri" w:eastAsia="宋体" w:hAnsi="Calibri" w:cs="Times New Roman"/>
      <w:sz w:val="21"/>
      <w:lang w:val="en-US" w:eastAsia="zh-CN" w:bidi="ar-SA"/>
    </w:rPr>
  </w:style>
  <w:style w:type="paragraph" w:customStyle="1" w:styleId="toc29">
    <w:name w:val="toc 29"/>
    <w:next w:val="Normal"/>
    <w:qFormat/>
    <w:pPr>
      <w:wordWrap w:val="0"/>
      <w:ind w:left="425"/>
      <w:jc w:val="both"/>
    </w:pPr>
    <w:rPr>
      <w:rFonts w:ascii="Calibri" w:eastAsia="宋体" w:hAnsi="Calibri" w:cs="Times New Roman"/>
      <w:sz w:val="21"/>
      <w:lang w:val="en-US" w:eastAsia="zh-CN" w:bidi="ar-SA"/>
    </w:rPr>
  </w:style>
  <w:style w:type="paragraph" w:customStyle="1" w:styleId="xl67">
    <w:name w:val="xl67"/>
    <w:basedOn w:val="Normal"/>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Normal"/>
    <w:qFormat/>
    <w:pPr>
      <w:wordWrap w:val="0"/>
      <w:ind w:left="2550"/>
      <w:jc w:val="both"/>
    </w:pPr>
    <w:rPr>
      <w:rFonts w:ascii="Calibri" w:eastAsia="宋体" w:hAnsi="Calibri" w:cs="Times New Roman"/>
      <w:sz w:val="21"/>
      <w:lang w:val="en-US" w:eastAsia="zh-CN" w:bidi="ar-SA"/>
    </w:rPr>
  </w:style>
  <w:style w:type="paragraph" w:customStyle="1" w:styleId="toc21">
    <w:name w:val="toc 21"/>
    <w:next w:val="Normal"/>
    <w:qFormat/>
    <w:pPr>
      <w:wordWrap w:val="0"/>
      <w:ind w:left="425"/>
      <w:jc w:val="both"/>
    </w:pPr>
    <w:rPr>
      <w:rFonts w:ascii="Calibri" w:eastAsia="宋体" w:hAnsi="Calibri" w:cs="Times New Roman"/>
      <w:sz w:val="21"/>
      <w:lang w:val="en-US" w:eastAsia="zh-CN" w:bidi="ar-SA"/>
    </w:rPr>
  </w:style>
  <w:style w:type="paragraph" w:customStyle="1" w:styleId="A21">
    <w:name w:val="正文 A"/>
    <w:next w:val="toc812"/>
    <w:qFormat/>
    <w:rPr>
      <w:rFonts w:ascii="Arial" w:eastAsia="Arial Unicode MS" w:hAnsi="Calibri" w:cs="Times New Roman"/>
      <w:color w:val="000000"/>
      <w:sz w:val="21"/>
      <w:lang w:val="en-US" w:eastAsia="zh-CN" w:bidi="ar-SA"/>
    </w:rPr>
  </w:style>
  <w:style w:type="paragraph" w:customStyle="1" w:styleId="toc68">
    <w:name w:val="toc 68"/>
    <w:next w:val="Normal"/>
    <w:qFormat/>
    <w:pPr>
      <w:wordWrap w:val="0"/>
      <w:ind w:left="2125"/>
      <w:jc w:val="both"/>
    </w:pPr>
    <w:rPr>
      <w:rFonts w:ascii="Calibri" w:eastAsia="宋体" w:hAnsi="Calibri" w:cs="Times New Roman"/>
      <w:sz w:val="21"/>
      <w:lang w:val="en-US" w:eastAsia="zh-CN" w:bidi="ar-SA"/>
    </w:rPr>
  </w:style>
  <w:style w:type="paragraph" w:customStyle="1" w:styleId="toc58">
    <w:name w:val="toc 58"/>
    <w:next w:val="Normal"/>
    <w:qFormat/>
    <w:pPr>
      <w:wordWrap w:val="0"/>
      <w:ind w:left="1700"/>
      <w:jc w:val="both"/>
    </w:pPr>
    <w:rPr>
      <w:rFonts w:ascii="Calibri" w:eastAsia="宋体" w:hAnsi="Calibri" w:cs="Times New Roman"/>
      <w:sz w:val="21"/>
      <w:lang w:val="en-US" w:eastAsia="zh-CN" w:bidi="ar-SA"/>
    </w:rPr>
  </w:style>
  <w:style w:type="paragraph" w:customStyle="1" w:styleId="xl88">
    <w:name w:val="xl88"/>
    <w:basedOn w:val="Normal"/>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Normal"/>
    <w:qFormat/>
    <w:pPr>
      <w:wordWrap w:val="0"/>
      <w:ind w:left="2550"/>
      <w:jc w:val="both"/>
    </w:pPr>
    <w:rPr>
      <w:rFonts w:ascii="Calibri" w:eastAsia="宋体" w:hAnsi="Calibri" w:cs="Times New Roman"/>
      <w:sz w:val="21"/>
      <w:lang w:val="en-US" w:eastAsia="zh-CN" w:bidi="ar-SA"/>
    </w:rPr>
  </w:style>
  <w:style w:type="paragraph" w:customStyle="1" w:styleId="xl100">
    <w:name w:val="xl100"/>
    <w:basedOn w:val="Normal"/>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Normal"/>
    <w:qFormat/>
    <w:pPr>
      <w:wordWrap w:val="0"/>
      <w:ind w:left="1700"/>
      <w:jc w:val="both"/>
    </w:pPr>
    <w:rPr>
      <w:rFonts w:ascii="Calibri" w:eastAsia="宋体" w:hAnsi="Calibri" w:cs="Times New Roman"/>
      <w:sz w:val="21"/>
      <w:lang w:val="en-US" w:eastAsia="zh-CN" w:bidi="ar-SA"/>
    </w:rPr>
  </w:style>
  <w:style w:type="paragraph" w:customStyle="1" w:styleId="toc314">
    <w:name w:val="toc 314"/>
    <w:next w:val="Normal"/>
    <w:qFormat/>
    <w:pPr>
      <w:wordWrap w:val="0"/>
      <w:ind w:left="850"/>
      <w:jc w:val="both"/>
    </w:pPr>
    <w:rPr>
      <w:rFonts w:ascii="Calibri" w:eastAsia="宋体" w:hAnsi="Calibri" w:cs="Times New Roman"/>
      <w:sz w:val="21"/>
      <w:lang w:val="en-US" w:eastAsia="zh-CN" w:bidi="ar-SA"/>
    </w:rPr>
  </w:style>
  <w:style w:type="paragraph" w:customStyle="1" w:styleId="xl114">
    <w:name w:val="xl114"/>
    <w:basedOn w:val="Normal"/>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Normal"/>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Normal"/>
    <w:qFormat/>
    <w:pPr>
      <w:wordWrap w:val="0"/>
      <w:ind w:left="2125"/>
      <w:jc w:val="both"/>
    </w:pPr>
    <w:rPr>
      <w:rFonts w:ascii="Calibri" w:eastAsia="宋体" w:hAnsi="Calibri" w:cs="Times New Roman"/>
      <w:sz w:val="21"/>
      <w:lang w:val="en-US" w:eastAsia="zh-CN" w:bidi="ar-SA"/>
    </w:rPr>
  </w:style>
  <w:style w:type="paragraph" w:customStyle="1" w:styleId="toc22">
    <w:name w:val="toc 22"/>
    <w:next w:val="Normal"/>
    <w:qFormat/>
    <w:pPr>
      <w:wordWrap w:val="0"/>
      <w:ind w:left="425"/>
      <w:jc w:val="both"/>
    </w:pPr>
    <w:rPr>
      <w:rFonts w:ascii="Calibri" w:eastAsia="宋体" w:hAnsi="Calibri" w:cs="Times New Roman"/>
      <w:sz w:val="21"/>
      <w:lang w:val="en-US" w:eastAsia="zh-CN" w:bidi="ar-SA"/>
    </w:rPr>
  </w:style>
  <w:style w:type="paragraph" w:customStyle="1" w:styleId="xl90">
    <w:name w:val="xl90"/>
    <w:basedOn w:val="Normal"/>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Normal"/>
    <w:qFormat/>
    <w:pPr>
      <w:wordWrap w:val="0"/>
      <w:ind w:left="2125"/>
      <w:jc w:val="both"/>
    </w:pPr>
    <w:rPr>
      <w:rFonts w:ascii="Calibri" w:eastAsia="宋体" w:hAnsi="Calibri" w:cs="Times New Roman"/>
      <w:sz w:val="21"/>
      <w:lang w:val="en-US" w:eastAsia="zh-CN" w:bidi="ar-SA"/>
    </w:rPr>
  </w:style>
  <w:style w:type="paragraph" w:customStyle="1" w:styleId="toc96">
    <w:name w:val="toc 96"/>
    <w:next w:val="Normal"/>
    <w:qFormat/>
    <w:pPr>
      <w:wordWrap w:val="0"/>
      <w:ind w:left="3400"/>
      <w:jc w:val="both"/>
    </w:pPr>
    <w:rPr>
      <w:rFonts w:ascii="Calibri" w:eastAsia="宋体" w:hAnsi="Calibri" w:cs="Times New Roman"/>
      <w:sz w:val="21"/>
      <w:lang w:val="en-US" w:eastAsia="zh-CN" w:bidi="ar-SA"/>
    </w:rPr>
  </w:style>
  <w:style w:type="paragraph" w:customStyle="1" w:styleId="toc42">
    <w:name w:val="toc 42"/>
    <w:next w:val="Normal"/>
    <w:qFormat/>
    <w:pPr>
      <w:wordWrap w:val="0"/>
      <w:ind w:left="1275"/>
      <w:jc w:val="both"/>
    </w:pPr>
    <w:rPr>
      <w:rFonts w:ascii="Calibri" w:eastAsia="宋体" w:hAnsi="Calibri" w:cs="Times New Roman"/>
      <w:sz w:val="21"/>
      <w:lang w:val="en-US" w:eastAsia="zh-CN" w:bidi="ar-SA"/>
    </w:rPr>
  </w:style>
  <w:style w:type="paragraph" w:customStyle="1" w:styleId="xl117">
    <w:name w:val="xl117"/>
    <w:basedOn w:val="Normal"/>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Normal"/>
    <w:next w:val="toc412"/>
    <w:qFormat/>
    <w:pPr>
      <w:widowControl/>
      <w:ind w:firstLine="420"/>
    </w:pPr>
    <w:rPr>
      <w:rFonts w:hAnsi="Calibri"/>
      <w:kern w:val="0"/>
      <w:szCs w:val="20"/>
    </w:rPr>
  </w:style>
  <w:style w:type="paragraph" w:customStyle="1" w:styleId="xl87">
    <w:name w:val="xl87"/>
    <w:basedOn w:val="Normal"/>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Normal"/>
    <w:qFormat/>
    <w:pPr>
      <w:wordWrap w:val="0"/>
      <w:ind w:left="3400"/>
      <w:jc w:val="both"/>
    </w:pPr>
    <w:rPr>
      <w:rFonts w:ascii="Calibri" w:eastAsia="宋体" w:hAnsi="Calibri" w:cs="Times New Roman"/>
      <w:sz w:val="21"/>
      <w:lang w:val="en-US" w:eastAsia="zh-CN" w:bidi="ar-SA"/>
    </w:rPr>
  </w:style>
  <w:style w:type="paragraph" w:customStyle="1" w:styleId="70">
    <w:name w:val="列出段落7"/>
    <w:basedOn w:val="Normal"/>
    <w:next w:val="toc58"/>
    <w:qFormat/>
    <w:pPr>
      <w:ind w:firstLine="420"/>
    </w:pPr>
    <w:rPr>
      <w:rFonts w:hAnsi="Calibri"/>
      <w:kern w:val="0"/>
      <w:szCs w:val="20"/>
    </w:rPr>
  </w:style>
  <w:style w:type="paragraph" w:customStyle="1" w:styleId="xl78">
    <w:name w:val="xl78"/>
    <w:basedOn w:val="Normal"/>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Normal"/>
    <w:qFormat/>
    <w:pPr>
      <w:wordWrap w:val="0"/>
      <w:ind w:left="1700"/>
      <w:jc w:val="both"/>
    </w:pPr>
    <w:rPr>
      <w:rFonts w:ascii="Calibri" w:eastAsia="宋体" w:hAnsi="Calibri" w:cs="Times New Roman"/>
      <w:sz w:val="21"/>
      <w:lang w:val="en-US" w:eastAsia="zh-CN" w:bidi="ar-SA"/>
    </w:rPr>
  </w:style>
  <w:style w:type="paragraph" w:customStyle="1" w:styleId="xl89">
    <w:name w:val="xl89"/>
    <w:basedOn w:val="Normal"/>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Normal"/>
    <w:qFormat/>
    <w:pPr>
      <w:wordWrap w:val="0"/>
      <w:ind w:left="3400"/>
      <w:jc w:val="both"/>
    </w:pPr>
    <w:rPr>
      <w:rFonts w:ascii="Calibri" w:eastAsia="宋体" w:hAnsi="Calibri" w:cs="Times New Roman"/>
      <w:sz w:val="21"/>
      <w:lang w:val="en-US" w:eastAsia="zh-CN" w:bidi="ar-SA"/>
    </w:rPr>
  </w:style>
  <w:style w:type="paragraph" w:customStyle="1" w:styleId="toc34">
    <w:name w:val="toc 34"/>
    <w:next w:val="Normal"/>
    <w:qFormat/>
    <w:pPr>
      <w:wordWrap w:val="0"/>
      <w:ind w:left="850"/>
      <w:jc w:val="both"/>
    </w:pPr>
    <w:rPr>
      <w:rFonts w:ascii="Calibri" w:eastAsia="宋体" w:hAnsi="Calibri" w:cs="Times New Roman"/>
      <w:sz w:val="21"/>
      <w:lang w:val="en-US" w:eastAsia="zh-CN" w:bidi="ar-SA"/>
    </w:rPr>
  </w:style>
  <w:style w:type="paragraph" w:customStyle="1" w:styleId="toc816">
    <w:name w:val="toc 816"/>
    <w:next w:val="Normal"/>
    <w:qFormat/>
    <w:pPr>
      <w:wordWrap w:val="0"/>
      <w:ind w:left="2975"/>
      <w:jc w:val="both"/>
    </w:pPr>
    <w:rPr>
      <w:rFonts w:ascii="Calibri" w:eastAsia="宋体" w:hAnsi="Calibri" w:cs="Times New Roman"/>
      <w:sz w:val="21"/>
      <w:lang w:val="en-US" w:eastAsia="zh-CN" w:bidi="ar-SA"/>
    </w:rPr>
  </w:style>
  <w:style w:type="paragraph" w:customStyle="1" w:styleId="toc43">
    <w:name w:val="toc 43"/>
    <w:next w:val="Normal"/>
    <w:qFormat/>
    <w:pPr>
      <w:wordWrap w:val="0"/>
      <w:ind w:left="1275"/>
      <w:jc w:val="both"/>
    </w:pPr>
    <w:rPr>
      <w:rFonts w:ascii="Calibri" w:eastAsia="宋体" w:hAnsi="Calibri" w:cs="Times New Roman"/>
      <w:sz w:val="21"/>
      <w:lang w:val="en-US" w:eastAsia="zh-CN" w:bidi="ar-SA"/>
    </w:rPr>
  </w:style>
  <w:style w:type="paragraph" w:customStyle="1" w:styleId="toc16">
    <w:name w:val="toc 16"/>
    <w:next w:val="Normal"/>
    <w:qFormat/>
    <w:pPr>
      <w:wordWrap w:val="0"/>
      <w:jc w:val="both"/>
    </w:pPr>
    <w:rPr>
      <w:rFonts w:ascii="Calibri" w:eastAsia="宋体" w:hAnsi="Calibri" w:cs="Times New Roman"/>
      <w:sz w:val="21"/>
      <w:lang w:val="en-US" w:eastAsia="zh-CN" w:bidi="ar-SA"/>
    </w:rPr>
  </w:style>
  <w:style w:type="character" w:customStyle="1" w:styleId="Char22">
    <w:name w:val="引用 Char"/>
    <w:basedOn w:val="DefaultParagraphFont"/>
    <w:link w:val="Quote"/>
    <w:qFormat/>
    <w:rPr>
      <w:rFonts w:ascii="Calibri" w:hAnsi="Calibri"/>
      <w:i/>
      <w:sz w:val="21"/>
    </w:rPr>
  </w:style>
  <w:style w:type="paragraph" w:customStyle="1" w:styleId="toc114">
    <w:name w:val="toc 114"/>
    <w:next w:val="Normal"/>
    <w:qFormat/>
    <w:pPr>
      <w:wordWrap w:val="0"/>
      <w:jc w:val="both"/>
    </w:pPr>
    <w:rPr>
      <w:rFonts w:ascii="Calibri" w:eastAsia="宋体" w:hAnsi="Calibri" w:cs="Times New Roman"/>
      <w:sz w:val="21"/>
      <w:lang w:val="en-US" w:eastAsia="zh-CN" w:bidi="ar-SA"/>
    </w:rPr>
  </w:style>
  <w:style w:type="paragraph" w:customStyle="1" w:styleId="xl119">
    <w:name w:val="xl119"/>
    <w:basedOn w:val="Normal"/>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Normal"/>
    <w:qFormat/>
    <w:pPr>
      <w:wordWrap w:val="0"/>
      <w:ind w:left="850"/>
      <w:jc w:val="both"/>
    </w:pPr>
    <w:rPr>
      <w:rFonts w:ascii="Calibri" w:eastAsia="宋体" w:hAnsi="Calibri" w:cs="Times New Roman"/>
      <w:sz w:val="21"/>
      <w:lang w:val="en-US" w:eastAsia="zh-CN" w:bidi="ar-SA"/>
    </w:rPr>
  </w:style>
  <w:style w:type="paragraph" w:customStyle="1" w:styleId="xl109">
    <w:name w:val="xl109"/>
    <w:basedOn w:val="Normal"/>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Normal"/>
    <w:qFormat/>
    <w:pPr>
      <w:wordWrap w:val="0"/>
      <w:ind w:left="425"/>
      <w:jc w:val="both"/>
    </w:pPr>
    <w:rPr>
      <w:rFonts w:ascii="Calibri" w:eastAsia="宋体" w:hAnsi="Calibri" w:cs="Times New Roman"/>
      <w:sz w:val="21"/>
      <w:lang w:val="en-US" w:eastAsia="zh-CN" w:bidi="ar-SA"/>
    </w:rPr>
  </w:style>
  <w:style w:type="paragraph" w:customStyle="1" w:styleId="xl76">
    <w:name w:val="xl76"/>
    <w:basedOn w:val="Normal"/>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Normal"/>
    <w:qFormat/>
    <w:pPr>
      <w:wordWrap w:val="0"/>
      <w:ind w:left="3400"/>
      <w:jc w:val="both"/>
    </w:pPr>
    <w:rPr>
      <w:rFonts w:ascii="Calibri" w:eastAsia="宋体" w:hAnsi="Calibri" w:cs="Times New Roman"/>
      <w:sz w:val="21"/>
      <w:lang w:val="en-US" w:eastAsia="zh-CN" w:bidi="ar-SA"/>
    </w:rPr>
  </w:style>
  <w:style w:type="paragraph" w:customStyle="1" w:styleId="toc216">
    <w:name w:val="toc 216"/>
    <w:next w:val="Normal"/>
    <w:qFormat/>
    <w:pPr>
      <w:wordWrap w:val="0"/>
      <w:ind w:left="425"/>
      <w:jc w:val="both"/>
    </w:pPr>
    <w:rPr>
      <w:rFonts w:ascii="Calibri" w:eastAsia="宋体" w:hAnsi="Calibri" w:cs="Times New Roman"/>
      <w:sz w:val="21"/>
      <w:lang w:val="en-US" w:eastAsia="zh-CN" w:bidi="ar-SA"/>
    </w:rPr>
  </w:style>
  <w:style w:type="paragraph" w:customStyle="1" w:styleId="xl70">
    <w:name w:val="xl70"/>
    <w:basedOn w:val="Normal"/>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Normal"/>
    <w:qFormat/>
    <w:pPr>
      <w:wordWrap w:val="0"/>
      <w:ind w:left="850"/>
      <w:jc w:val="both"/>
    </w:pPr>
    <w:rPr>
      <w:rFonts w:ascii="Calibri" w:eastAsia="宋体" w:hAnsi="Calibri" w:cs="Times New Roman"/>
      <w:sz w:val="21"/>
      <w:lang w:val="en-US" w:eastAsia="zh-CN" w:bidi="ar-SA"/>
    </w:rPr>
  </w:style>
  <w:style w:type="paragraph" w:customStyle="1" w:styleId="toc61">
    <w:name w:val="toc 61"/>
    <w:next w:val="Normal"/>
    <w:qFormat/>
    <w:pPr>
      <w:wordWrap w:val="0"/>
      <w:ind w:left="2125"/>
      <w:jc w:val="both"/>
    </w:pPr>
    <w:rPr>
      <w:rFonts w:ascii="Calibri" w:eastAsia="宋体" w:hAnsi="Calibri" w:cs="Times New Roman"/>
      <w:sz w:val="21"/>
      <w:lang w:val="en-US" w:eastAsia="zh-CN" w:bidi="ar-SA"/>
    </w:rPr>
  </w:style>
  <w:style w:type="paragraph" w:customStyle="1" w:styleId="xl98">
    <w:name w:val="xl98"/>
    <w:basedOn w:val="Normal"/>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Normal"/>
    <w:qFormat/>
    <w:pPr>
      <w:wordWrap w:val="0"/>
      <w:ind w:left="425"/>
      <w:jc w:val="both"/>
    </w:pPr>
    <w:rPr>
      <w:rFonts w:ascii="Calibri" w:eastAsia="宋体" w:hAnsi="Calibri" w:cs="Times New Roman"/>
      <w:sz w:val="21"/>
      <w:lang w:val="en-US" w:eastAsia="zh-CN" w:bidi="ar-SA"/>
    </w:rPr>
  </w:style>
  <w:style w:type="paragraph" w:customStyle="1" w:styleId="toc13">
    <w:name w:val="toc 13"/>
    <w:next w:val="Normal"/>
    <w:qFormat/>
    <w:pPr>
      <w:wordWrap w:val="0"/>
      <w:jc w:val="both"/>
    </w:pPr>
    <w:rPr>
      <w:rFonts w:ascii="Calibri" w:eastAsia="宋体" w:hAnsi="Calibri" w:cs="Times New Roman"/>
      <w:sz w:val="21"/>
      <w:lang w:val="en-US" w:eastAsia="zh-CN" w:bidi="ar-SA"/>
    </w:rPr>
  </w:style>
  <w:style w:type="paragraph" w:customStyle="1" w:styleId="51">
    <w:name w:val="目录 51"/>
    <w:next w:val="Normal"/>
    <w:qFormat/>
    <w:pPr>
      <w:wordWrap w:val="0"/>
      <w:ind w:left="1700"/>
      <w:jc w:val="both"/>
    </w:pPr>
    <w:rPr>
      <w:rFonts w:ascii="Calibri" w:eastAsia="宋体" w:hAnsi="Calibri" w:cs="Times New Roman"/>
      <w:sz w:val="21"/>
      <w:lang w:val="en-US" w:eastAsia="zh-CN" w:bidi="ar-SA"/>
    </w:rPr>
  </w:style>
  <w:style w:type="paragraph" w:customStyle="1" w:styleId="xl101">
    <w:name w:val="xl101"/>
    <w:basedOn w:val="Normal"/>
    <w:next w:val="toc96"/>
    <w:qFormat/>
    <w:pPr>
      <w:widowControl/>
      <w:spacing w:before="280" w:after="280"/>
    </w:pPr>
    <w:rPr>
      <w:rFonts w:ascii="宋体" w:hAnsi="Calibri"/>
      <w:kern w:val="0"/>
      <w:sz w:val="20"/>
      <w:szCs w:val="20"/>
    </w:rPr>
  </w:style>
  <w:style w:type="paragraph" w:customStyle="1" w:styleId="toc75">
    <w:name w:val="toc 75"/>
    <w:next w:val="Normal"/>
    <w:qFormat/>
    <w:pPr>
      <w:wordWrap w:val="0"/>
      <w:ind w:left="2550"/>
      <w:jc w:val="both"/>
    </w:pPr>
    <w:rPr>
      <w:rFonts w:ascii="Calibri" w:eastAsia="宋体" w:hAnsi="Calibri" w:cs="Times New Roman"/>
      <w:sz w:val="21"/>
      <w:lang w:val="en-US" w:eastAsia="zh-CN" w:bidi="ar-SA"/>
    </w:rPr>
  </w:style>
  <w:style w:type="paragraph" w:customStyle="1" w:styleId="toc715">
    <w:name w:val="toc 715"/>
    <w:next w:val="Normal"/>
    <w:qFormat/>
    <w:pPr>
      <w:wordWrap w:val="0"/>
      <w:ind w:left="2550"/>
      <w:jc w:val="both"/>
    </w:pPr>
    <w:rPr>
      <w:rFonts w:ascii="Calibri" w:eastAsia="宋体" w:hAnsi="Calibri" w:cs="Times New Roman"/>
      <w:sz w:val="21"/>
      <w:lang w:val="en-US" w:eastAsia="zh-CN" w:bidi="ar-SA"/>
    </w:rPr>
  </w:style>
  <w:style w:type="paragraph" w:styleId="IntenseQuote">
    <w:name w:val="Intense Quote"/>
    <w:next w:val="Normal"/>
    <w:link w:val="Char23"/>
    <w:qFormat/>
    <w:pPr>
      <w:wordWrap w:val="0"/>
      <w:spacing w:before="360" w:after="360"/>
      <w:ind w:left="950" w:right="950"/>
      <w:jc w:val="center"/>
    </w:pPr>
    <w:rPr>
      <w:rFonts w:ascii="Calibri" w:eastAsia="宋体" w:hAnsi="Calibri" w:cs="Times New Roman"/>
      <w:i/>
      <w:sz w:val="21"/>
      <w:lang w:val="en-US" w:eastAsia="zh-CN" w:bidi="ar-SA"/>
    </w:rPr>
  </w:style>
  <w:style w:type="character" w:customStyle="1" w:styleId="Char23">
    <w:name w:val="明显引用 Char"/>
    <w:basedOn w:val="DefaultParagraphFont"/>
    <w:link w:val="IntenseQuote"/>
    <w:qFormat/>
    <w:rPr>
      <w:rFonts w:ascii="Calibri" w:hAnsi="Calibri"/>
      <w:i/>
      <w:sz w:val="21"/>
    </w:rPr>
  </w:style>
  <w:style w:type="paragraph" w:customStyle="1" w:styleId="CharCharCharCharCharCharChar">
    <w:name w:val="Char Char Char Char Char Char Char"/>
    <w:basedOn w:val="Normal"/>
    <w:next w:val="toc215"/>
    <w:qFormat/>
    <w:pPr>
      <w:widowControl/>
      <w:spacing w:after="160" w:line="240" w:lineRule="exact"/>
    </w:pPr>
    <w:rPr>
      <w:rFonts w:hAnsi="Calibri"/>
      <w:kern w:val="0"/>
      <w:szCs w:val="20"/>
    </w:rPr>
  </w:style>
  <w:style w:type="paragraph" w:customStyle="1" w:styleId="toc23">
    <w:name w:val="toc 23"/>
    <w:next w:val="Normal"/>
    <w:qFormat/>
    <w:pPr>
      <w:wordWrap w:val="0"/>
      <w:ind w:left="425"/>
      <w:jc w:val="both"/>
    </w:pPr>
    <w:rPr>
      <w:rFonts w:ascii="Calibri" w:eastAsia="宋体" w:hAnsi="Calibri" w:cs="Times New Roman"/>
      <w:sz w:val="21"/>
      <w:lang w:val="en-US" w:eastAsia="zh-CN" w:bidi="ar-SA"/>
    </w:rPr>
  </w:style>
  <w:style w:type="paragraph" w:customStyle="1" w:styleId="61">
    <w:name w:val="目录 61"/>
    <w:next w:val="Normal"/>
    <w:qFormat/>
    <w:pPr>
      <w:wordWrap w:val="0"/>
      <w:ind w:left="2125"/>
      <w:jc w:val="both"/>
    </w:pPr>
    <w:rPr>
      <w:rFonts w:ascii="Calibri" w:eastAsia="宋体" w:hAnsi="Calibri" w:cs="Times New Roman"/>
      <w:sz w:val="21"/>
      <w:lang w:val="en-US" w:eastAsia="zh-CN" w:bidi="ar-SA"/>
    </w:rPr>
  </w:style>
  <w:style w:type="paragraph" w:customStyle="1" w:styleId="toc97">
    <w:name w:val="toc 97"/>
    <w:next w:val="Normal"/>
    <w:qFormat/>
    <w:pPr>
      <w:wordWrap w:val="0"/>
      <w:ind w:left="3400"/>
      <w:jc w:val="both"/>
    </w:pPr>
    <w:rPr>
      <w:rFonts w:ascii="Calibri" w:eastAsia="宋体" w:hAnsi="Calibri" w:cs="Times New Roman"/>
      <w:sz w:val="21"/>
      <w:lang w:val="en-US" w:eastAsia="zh-CN" w:bidi="ar-SA"/>
    </w:rPr>
  </w:style>
  <w:style w:type="paragraph" w:customStyle="1" w:styleId="toc74">
    <w:name w:val="toc 74"/>
    <w:next w:val="Normal"/>
    <w:qFormat/>
    <w:pPr>
      <w:wordWrap w:val="0"/>
      <w:ind w:left="2550"/>
      <w:jc w:val="both"/>
    </w:pPr>
    <w:rPr>
      <w:rFonts w:ascii="Calibri" w:eastAsia="宋体" w:hAnsi="Calibri" w:cs="Times New Roman"/>
      <w:sz w:val="21"/>
      <w:lang w:val="en-US" w:eastAsia="zh-CN" w:bidi="ar-SA"/>
    </w:rPr>
  </w:style>
  <w:style w:type="paragraph" w:customStyle="1" w:styleId="xl64">
    <w:name w:val="xl64"/>
    <w:basedOn w:val="Normal"/>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Normal"/>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Normal"/>
    <w:qFormat/>
    <w:pPr>
      <w:wordWrap w:val="0"/>
      <w:ind w:left="850"/>
      <w:jc w:val="both"/>
    </w:pPr>
    <w:rPr>
      <w:rFonts w:ascii="Calibri" w:eastAsia="宋体" w:hAnsi="Calibri" w:cs="Times New Roman"/>
      <w:sz w:val="21"/>
      <w:lang w:val="en-US" w:eastAsia="zh-CN" w:bidi="ar-SA"/>
    </w:rPr>
  </w:style>
  <w:style w:type="paragraph" w:customStyle="1" w:styleId="xl77">
    <w:name w:val="xl77"/>
    <w:basedOn w:val="Normal"/>
    <w:next w:val="toc910"/>
    <w:qFormat/>
    <w:pPr>
      <w:widowControl/>
      <w:shd w:val="clear" w:color="000000" w:fill="FFFFFF"/>
      <w:spacing w:before="280" w:after="280"/>
      <w:jc w:val="center"/>
    </w:pPr>
    <w:rPr>
      <w:rFonts w:ascii="宋体" w:hAnsi="Calibri"/>
      <w:kern w:val="0"/>
      <w:sz w:val="20"/>
      <w:szCs w:val="20"/>
    </w:rPr>
  </w:style>
  <w:style w:type="character" w:customStyle="1" w:styleId="Char119">
    <w:name w:val="正文缩进 Char1"/>
    <w:qFormat/>
    <w:rPr>
      <w:rFonts w:eastAsia="宋体"/>
      <w:kern w:val="2"/>
      <w:sz w:val="21"/>
      <w:lang w:val="en-US" w:eastAsia="zh-CN" w:bidi="ar-SA"/>
    </w:rPr>
  </w:style>
  <w:style w:type="character" w:customStyle="1" w:styleId="fielderror">
    <w:name w:val="fielderror"/>
    <w:basedOn w:val="DefaultParagraphFont"/>
    <w:qFormat/>
    <w:rPr>
      <w:color w:val="800000"/>
    </w:rPr>
  </w:style>
  <w:style w:type="character" w:customStyle="1" w:styleId="hilite6">
    <w:name w:val="hilite6"/>
    <w:basedOn w:val="DefaultParagraphFont"/>
    <w:qFormat/>
    <w:rPr>
      <w:color w:val="000000"/>
    </w:rPr>
  </w:style>
  <w:style w:type="character" w:customStyle="1" w:styleId="active6">
    <w:name w:val="active6"/>
    <w:basedOn w:val="DefaultParagraphFont"/>
    <w:qFormat/>
    <w:rPr>
      <w:color w:val="FFFFFF"/>
    </w:rPr>
  </w:style>
  <w:style w:type="character" w:customStyle="1" w:styleId="inline-help">
    <w:name w:val="inline-help"/>
    <w:basedOn w:val="DefaultParagraphFont"/>
    <w:qFormat/>
  </w:style>
  <w:style w:type="character" w:customStyle="1" w:styleId="active">
    <w:name w:val="active"/>
    <w:basedOn w:val="DefaultParagraphFont"/>
    <w:qFormat/>
    <w:rPr>
      <w:color w:val="FFFFFF"/>
    </w:rPr>
  </w:style>
  <w:style w:type="table" w:customStyle="1" w:styleId="112">
    <w:name w:val="网格型1"/>
    <w:basedOn w:val="TableNormal"/>
    <w:uiPriority w:val="39"/>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rPr>
      <w:color w:val="2590EB"/>
      <w:shd w:val="clear" w:color="auto" w:fill="E9F4FD"/>
    </w:rPr>
  </w:style>
  <w:style w:type="table" w:customStyle="1" w:styleId="TableNormal0">
    <w:name w:val="Table Normal_0"/>
    <w:semiHidden/>
    <w:unhideWhenUsed/>
    <w:qFormat/>
    <w:rPr>
      <w:rFonts w:ascii="Arial" w:hAnsi="Arial" w:cs="Arial"/>
    </w:rPr>
    <w:tblPr>
      <w:tblCellMar>
        <w:top w:w="0" w:type="dxa"/>
        <w:left w:w="0" w:type="dxa"/>
        <w:bottom w:w="0" w:type="dxa"/>
        <w:right w:w="0" w:type="dxa"/>
      </w:tblCellMar>
    </w:tblPr>
  </w:style>
  <w:style w:type="paragraph" w:customStyle="1" w:styleId="a22">
    <w:name w:val="表格文字"/>
    <w:basedOn w:val="Normal"/>
    <w:qFormat/>
    <w:pPr>
      <w:widowControl w:val="0"/>
      <w:spacing w:before="25" w:after="25"/>
      <w:jc w:val="both"/>
    </w:pPr>
    <w:rPr>
      <w:rFonts w:asciiTheme="minorHAnsi" w:hAnsiTheme="minorHAnsi" w:cstheme="minorBidi"/>
      <w:spacing w:val="10"/>
      <w:kern w:val="2"/>
      <w:szCs w:val="22"/>
    </w:rPr>
  </w:style>
  <w:style w:type="table" w:customStyle="1" w:styleId="TableNormal00">
    <w:name w:val="Table Normal_0_0"/>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TotalTime>
  <Pages>64</Pages>
  <Words>57454</Words>
  <Characters>60388</Characters>
  <Application>Microsoft Office Word</Application>
  <DocSecurity>0</DocSecurity>
  <Lines>368</Lines>
  <Paragraphs>103</Paragraphs>
  <ScaleCrop>false</ScaleCrop>
  <Company>Microsoft</Company>
  <LinksUpToDate>false</LinksUpToDate>
  <CharactersWithSpaces>64138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LLL</cp:lastModifiedBy>
  <cp:revision>123</cp:revision>
  <cp:lastPrinted>2021-05-16T11:04:00Z</cp:lastPrinted>
  <dcterms:created xsi:type="dcterms:W3CDTF">2021-05-07T05:47:00Z</dcterms:created>
  <dcterms:modified xsi:type="dcterms:W3CDTF">2025-12-01T11:10:35Z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BC86F46184924A7FA485DD2E71E3B605_13</vt:lpwstr>
  </property>
  <property fmtid="{D5CDD505-2E9C-101B-9397-08002B2CF9AE}" pid="3" name="KSOProductBuildVer">
    <vt:lpwstr>2052-11.1.0.14309</vt:lpwstr>
  </property>
  <property fmtid="{D5CDD505-2E9C-101B-9397-08002B2CF9AE}" pid="4" name="KSOTemplateDocerSaveRecord">
    <vt:lpwstr>eyJoZGlkIjoiNWMyOTMyNTQ1MWRmNGI0N2FlNmM4NDMxM2EyYTMzOGMiLCJ1c2VySWQiOiIxMTc1MzY1NzI0In0=</vt:lpwstr>
  </property>
</Properties>
</file>