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rFonts w:hint="eastAsia" w:eastAsia="宋体"/>
                <w:sz w:val="30"/>
                <w:szCs w:val="30"/>
                <w:lang w:val="en-US" w:eastAsia="zh-CN"/>
              </w:rPr>
            </w:pPr>
            <w:r>
              <w:rPr>
                <w:rFonts w:hint="eastAsia"/>
                <w:sz w:val="30"/>
                <w:szCs w:val="30"/>
              </w:rPr>
              <w:t>DPZXCG-2025-0004</w:t>
            </w:r>
            <w:r>
              <w:rPr>
                <w:rFonts w:hint="eastAsia"/>
                <w:sz w:val="30"/>
                <w:szCs w:val="30"/>
                <w:lang w:val="en-US" w:eastAsia="zh-CN"/>
              </w:rPr>
              <w:t>6</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default" w:eastAsia="宋体"/>
                <w:sz w:val="30"/>
                <w:szCs w:val="30"/>
                <w:lang w:val="en-US" w:eastAsia="zh-CN"/>
              </w:rPr>
            </w:pPr>
            <w:r>
              <w:rPr>
                <w:rFonts w:hint="eastAsia"/>
                <w:sz w:val="30"/>
                <w:szCs w:val="30"/>
              </w:rPr>
              <w:t>远程心电</w:t>
            </w:r>
            <w:r>
              <w:rPr>
                <w:rFonts w:hint="eastAsia"/>
                <w:sz w:val="30"/>
                <w:szCs w:val="30"/>
                <w:lang w:val="en-US" w:eastAsia="zh-CN"/>
              </w:rPr>
              <w:t>设备采购项目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所投产品一般技术参数（非▲参数）响应情况评价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50</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用户需求书”“技术要求”如实填写《技术要求偏离表》，评审委员会根据投标人的参数响应情况进行评价，所投产品一般技术参数（非“▲”指标项技术参数）全部满足得100分；有负偏离的，每负偏离一项扣</w:t>
            </w:r>
            <w:r>
              <w:rPr>
                <w:rFonts w:hint="eastAsia" w:ascii="宋体" w:hAnsi="宋体" w:cs="宋体"/>
                <w:sz w:val="21"/>
                <w:szCs w:val="21"/>
                <w:lang w:val="en-US" w:eastAsia="zh-CN"/>
              </w:rPr>
              <w:t>4.6</w:t>
            </w:r>
            <w:r>
              <w:rPr>
                <w:rFonts w:hint="eastAsia" w:ascii="宋体" w:hAnsi="宋体" w:eastAsia="宋体" w:cs="宋体"/>
                <w:sz w:val="21"/>
                <w:szCs w:val="21"/>
              </w:rPr>
              <w:t>分，扣完为止。</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以</w:t>
            </w:r>
            <w:r>
              <w:rPr>
                <w:rFonts w:hint="eastAsia" w:ascii="宋体" w:hAnsi="宋体" w:eastAsia="宋体" w:cs="宋体"/>
                <w:sz w:val="21"/>
                <w:szCs w:val="21"/>
              </w:rPr>
              <w:t>《技术要求偏离表》</w:t>
            </w:r>
            <w:r>
              <w:rPr>
                <w:rFonts w:hint="eastAsia" w:ascii="宋体" w:hAnsi="宋体" w:eastAsia="宋体" w:cs="宋体"/>
                <w:sz w:val="21"/>
                <w:szCs w:val="21"/>
                <w:lang w:val="en-US" w:eastAsia="zh-CN"/>
              </w:rPr>
              <w:t>为准。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lang w:val="en-US" w:eastAsia="zh-CN"/>
              </w:rPr>
              <w:t>投标人</w:t>
            </w:r>
            <w:r>
              <w:rPr>
                <w:rFonts w:hint="eastAsia" w:ascii="宋体" w:hAnsi="宋体" w:eastAsia="宋体" w:cs="宋体"/>
                <w:sz w:val="21"/>
                <w:szCs w:val="21"/>
              </w:rPr>
              <w:t>提供配项目实施方案，内容</w:t>
            </w:r>
            <w:r>
              <w:rPr>
                <w:rFonts w:hint="eastAsia" w:ascii="宋体" w:hAnsi="宋体" w:eastAsia="宋体" w:cs="宋体"/>
                <w:sz w:val="21"/>
                <w:szCs w:val="21"/>
                <w:lang w:val="en-US" w:eastAsia="zh-CN"/>
              </w:rPr>
              <w:t>包括以下内容</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eastAsia="宋体" w:cs="宋体"/>
                <w:sz w:val="21"/>
                <w:szCs w:val="21"/>
                <w:lang w:eastAsia="zh-CN"/>
              </w:rPr>
              <w:t>；</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sz w:val="21"/>
                <w:szCs w:val="21"/>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在满足提供主机及配件免费保修期要求的情况下，提供主机及配件免费保修期每增加1年得50分，最高得100分。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投标人提供承诺函（格式自拟），</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本项目所投核心产品的销售业绩，每提供1份得50分，本项累计最高得100分。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投标人同时提供以下证明文件：</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w:t>
            </w:r>
          </w:p>
          <w:p>
            <w:pPr>
              <w:rPr>
                <w:rFonts w:hint="eastAsia" w:ascii="宋体" w:hAnsi="宋体" w:eastAsia="宋体" w:cs="宋体"/>
                <w:sz w:val="21"/>
                <w:szCs w:val="21"/>
              </w:rPr>
            </w:pPr>
            <w:r>
              <w:rPr>
                <w:rFonts w:hint="eastAsia" w:ascii="宋体" w:hAnsi="宋体" w:eastAsia="宋体" w:cs="宋体"/>
                <w:sz w:val="21"/>
                <w:szCs w:val="21"/>
                <w:lang w:val="en-US" w:eastAsia="zh-CN"/>
              </w:rPr>
              <w:t>2.履约评价为合格或满意或同等最高评价的履约评价文件或验收合格的验收报告</w:t>
            </w:r>
            <w:r>
              <w:rPr>
                <w:rFonts w:hint="eastAsia"/>
              </w:rPr>
              <w:t>（需加盖甲方公章或业务章）</w:t>
            </w:r>
            <w:r>
              <w:rPr>
                <w:rFonts w:hint="eastAsia" w:ascii="宋体" w:hAnsi="宋体" w:eastAsia="宋体" w:cs="宋体"/>
                <w:sz w:val="21"/>
                <w:szCs w:val="21"/>
              </w:rPr>
              <w:t>。</w:t>
            </w:r>
          </w:p>
          <w:p>
            <w:pPr>
              <w:rPr>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以上证明文件原件备查，</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pPr>
        <w:pStyle w:val="2"/>
        <w:rPr>
          <w:color w:val="FF0000"/>
          <w:sz w:val="24"/>
        </w:rPr>
      </w:pPr>
      <w:bookmarkStart w:id="6" w:name="bt技术标投标文件格式"/>
      <w:bookmarkEnd w:id="6"/>
      <w:bookmarkStart w:id="7" w:name="bt本工程承诺书"/>
      <w:bookmarkEnd w:id="7"/>
      <w:bookmarkStart w:id="8" w:name="bt商务标投标文件格式"/>
      <w:bookmarkEnd w:id="8"/>
      <w:bookmarkStart w:id="9" w:name="bt说明"/>
      <w:bookmarkEnd w:id="9"/>
      <w:bookmarkStart w:id="10" w:name="bt投标报价汇总表"/>
      <w:bookmarkEnd w:id="10"/>
      <w:bookmarkStart w:id="11" w:name="bt开标一览表"/>
      <w:bookmarkEnd w:id="11"/>
      <w:bookmarkStart w:id="12" w:name="bt合同条款"/>
      <w:bookmarkEnd w:id="12"/>
      <w:bookmarkStart w:id="13" w:name="bt其他资料由投标人自定"/>
      <w:bookmarkEnd w:id="13"/>
      <w:bookmarkStart w:id="14" w:name="bt投标人须知"/>
      <w:bookmarkEnd w:id="14"/>
      <w:bookmarkStart w:id="15" w:name="bt其他资料2"/>
      <w:bookmarkEnd w:id="15"/>
      <w:bookmarkStart w:id="16" w:name="合同格式"/>
      <w:bookmarkEnd w:id="16"/>
      <w:bookmarkStart w:id="17" w:name="bt投标文件签署授权委托书"/>
      <w:bookmarkEnd w:id="17"/>
      <w:bookmarkStart w:id="18" w:name="bt合同条款及格式"/>
      <w:bookmarkEnd w:id="18"/>
      <w:bookmarkStart w:id="19" w:name="bt项目管理班子配备情况"/>
      <w:bookmarkEnd w:id="19"/>
      <w:bookmarkStart w:id="20" w:name="bt合同格式"/>
      <w:bookmarkEnd w:id="20"/>
      <w:bookmarkStart w:id="21" w:name="bt投标人情况介绍"/>
      <w:bookmarkEnd w:id="21"/>
      <w:bookmarkStart w:id="22" w:name="bt投标函"/>
      <w:bookmarkEnd w:id="22"/>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color w:val="auto"/>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w:t>
      </w:r>
      <w:bookmarkEnd w:id="23"/>
      <w:r>
        <w:rPr>
          <w:rFonts w:hint="eastAsia"/>
          <w:lang w:eastAsia="zh-CN"/>
        </w:rPr>
        <w:t>；</w:t>
      </w:r>
    </w:p>
    <w:p>
      <w:pPr>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2.本项目不接受联合体投标，</w:t>
      </w:r>
      <w:r>
        <w:rPr>
          <w:rFonts w:hint="eastAsia" w:ascii="宋体" w:hAnsi="宋体" w:cs="宋体"/>
          <w:color w:val="auto"/>
          <w:kern w:val="0"/>
          <w:szCs w:val="21"/>
          <w:lang w:val="en-US" w:eastAsia="zh-CN"/>
        </w:rPr>
        <w:t>不允许</w:t>
      </w:r>
      <w:r>
        <w:rPr>
          <w:rFonts w:hint="eastAsia" w:ascii="宋体" w:hAnsi="宋体" w:cs="宋体"/>
          <w:color w:val="auto"/>
          <w:kern w:val="0"/>
          <w:szCs w:val="21"/>
        </w:rPr>
        <w:t>投标人选用进口产品参与投标</w:t>
      </w:r>
      <w:r>
        <w:rPr>
          <w:rFonts w:hint="eastAsia" w:ascii="宋体" w:hAnsi="宋体" w:cs="宋体"/>
          <w:color w:val="auto"/>
          <w:kern w:val="0"/>
          <w:szCs w:val="21"/>
          <w:lang w:eastAsia="zh-CN"/>
        </w:rPr>
        <w:t>，</w:t>
      </w:r>
      <w:r>
        <w:rPr>
          <w:rFonts w:hint="eastAsia" w:ascii="宋体" w:hAnsi="宋体" w:cs="宋体"/>
          <w:color w:val="auto"/>
          <w:kern w:val="0"/>
          <w:szCs w:val="21"/>
        </w:rPr>
        <w:t>详见招标文件</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第三章 用户需求书</w:t>
      </w:r>
      <w:r>
        <w:rPr>
          <w:rFonts w:hint="eastAsia" w:ascii="宋体" w:hAnsi="宋体" w:cs="宋体"/>
          <w:color w:val="auto"/>
          <w:kern w:val="0"/>
          <w:szCs w:val="21"/>
        </w:rPr>
        <w:t>”；</w:t>
      </w:r>
      <w:r>
        <w:rPr>
          <w:rFonts w:hint="eastAsia" w:ascii="宋体" w:hAnsi="宋体" w:cs="宋体"/>
          <w:color w:val="auto"/>
          <w:kern w:val="0"/>
          <w:szCs w:val="21"/>
          <w:lang w:val="en-US" w:eastAsia="zh-CN"/>
        </w:rPr>
        <w:t>不接受分包；</w:t>
      </w:r>
    </w:p>
    <w:p>
      <w:pPr>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具备《中华人民共和国政府采购法》第二十二条第一款的条件（由供应商在《政府采购投标及履约承诺函》中作出声明）；</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6.不存在《深圳市财政局政府采购供应商信用信息管理办法》（深财规〔2023〕3号）列明的严重违法失信行为</w:t>
      </w:r>
      <w:r>
        <w:rPr>
          <w:rFonts w:hint="eastAsia" w:ascii="宋体" w:hAnsi="宋体" w:cs="宋体"/>
          <w:color w:val="auto"/>
          <w:kern w:val="0"/>
          <w:szCs w:val="21"/>
        </w:rPr>
        <w:t>（由供应商在《政府采购投标及履约承诺函》中作出声明）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7</w:t>
      </w:r>
      <w:r>
        <w:rPr>
          <w:rFonts w:hint="eastAsia" w:ascii="宋体" w:hAnsi="宋体" w:cs="宋体"/>
          <w:color w:val="auto"/>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color w:val="auto"/>
          <w:kern w:val="0"/>
          <w:szCs w:val="21"/>
          <w:lang w:val="en-US" w:eastAsia="zh-CN"/>
        </w:rPr>
        <w:t>；</w:t>
      </w:r>
    </w:p>
    <w:p>
      <w:pPr>
        <w:pStyle w:val="54"/>
        <w:ind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9</w:t>
      </w:r>
      <w:r>
        <w:rPr>
          <w:rFonts w:hint="eastAsia" w:ascii="宋体" w:hAnsi="宋体" w:cs="宋体"/>
          <w:color w:val="auto"/>
          <w:kern w:val="0"/>
          <w:szCs w:val="21"/>
        </w:rPr>
        <w:t>.本项目</w:t>
      </w:r>
      <w:r>
        <w:rPr>
          <w:rFonts w:hint="eastAsia" w:ascii="宋体" w:hAnsi="宋体" w:cs="宋体"/>
          <w:color w:val="auto"/>
          <w:kern w:val="0"/>
          <w:szCs w:val="21"/>
          <w:lang w:val="en-US" w:eastAsia="zh-CN"/>
        </w:rPr>
        <w:t>全部</w:t>
      </w:r>
      <w:r>
        <w:rPr>
          <w:rFonts w:hint="eastAsia" w:ascii="宋体" w:hAnsi="宋体" w:cs="宋体"/>
          <w:color w:val="auto"/>
          <w:kern w:val="0"/>
          <w:szCs w:val="21"/>
        </w:rPr>
        <w:t>专门面向中小企业采购：</w:t>
      </w:r>
      <w:r>
        <w:rPr>
          <w:rFonts w:hint="eastAsia" w:ascii="宋体" w:hAnsi="宋体" w:cs="宋体"/>
          <w:color w:val="auto"/>
          <w:kern w:val="0"/>
          <w:szCs w:val="21"/>
          <w:lang w:val="en-US" w:eastAsia="zh-CN"/>
        </w:rPr>
        <w:t>否</w:t>
      </w:r>
      <w:r>
        <w:rPr>
          <w:rFonts w:hint="eastAsia" w:ascii="宋体" w:hAnsi="宋体" w:cs="宋体"/>
          <w:color w:val="auto"/>
          <w:kern w:val="0"/>
          <w:szCs w:val="21"/>
          <w:lang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ind w:firstLine="420" w:firstLineChars="200"/>
        <w:rPr>
          <w:rFonts w:hint="eastAsia" w:eastAsia="宋体"/>
          <w:color w:val="auto"/>
          <w:lang w:val="en-US" w:eastAsia="zh-CN"/>
        </w:rPr>
      </w:pPr>
      <w:r>
        <w:rPr>
          <w:rFonts w:hint="eastAsia" w:ascii="宋体" w:hAnsi="宋体" w:cs="宋体"/>
          <w:color w:val="auto"/>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hint="eastAsia" w:ascii="宋体" w:hAnsi="宋体" w:cs="宋体"/>
          <w:color w:val="auto"/>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color w:val="auto"/>
          <w:kern w:val="0"/>
          <w:szCs w:val="21"/>
        </w:rPr>
        <w:t>注：（1）“信用中国”（www.creditchina.gov.cn</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查询</w:t>
      </w:r>
      <w:r>
        <w:rPr>
          <w:rFonts w:hint="eastAsia" w:ascii="宋体" w:hAnsi="宋体" w:cs="宋体"/>
          <w:color w:val="auto"/>
          <w:kern w:val="0"/>
          <w:szCs w:val="21"/>
        </w:rPr>
        <w:t>“信用服务”栏的“重大税收违法失信主体”“失信被执行人”</w:t>
      </w:r>
      <w:r>
        <w:rPr>
          <w:rFonts w:hint="eastAsia" w:ascii="宋体" w:hAnsi="宋体" w:cs="宋体"/>
          <w:color w:val="auto"/>
          <w:kern w:val="0"/>
          <w:szCs w:val="21"/>
          <w:lang w:val="en-US" w:eastAsia="zh-CN"/>
        </w:rPr>
        <w:t>或者下载信用信息报告）</w:t>
      </w:r>
      <w:r>
        <w:rPr>
          <w:rFonts w:hint="eastAsia" w:ascii="宋体" w:hAnsi="宋体" w:cs="宋体"/>
          <w:color w:val="auto"/>
          <w:kern w:val="0"/>
          <w:szCs w:val="21"/>
        </w:rPr>
        <w:t>，“中国政府采购网”（www.ccgp.gov.cn）中的“政府采购严重违法失信行为记录名单”，以及“深圳</w:t>
      </w:r>
      <w:r>
        <w:rPr>
          <w:rFonts w:hint="eastAsia" w:ascii="宋体" w:hAnsi="宋体" w:cs="宋体"/>
          <w:kern w:val="0"/>
          <w:szCs w:val="21"/>
        </w:rPr>
        <w:t>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pPr>
        <w:pStyle w:val="5"/>
        <w:spacing w:before="120" w:beforeLines="50" w:after="120" w:afterLines="50"/>
        <w:rPr>
          <w:szCs w:val="24"/>
        </w:rPr>
      </w:pPr>
      <w:bookmarkStart w:id="25" w:name="_Toc100052364"/>
      <w:bookmarkStart w:id="26" w:name="_Toc73518117"/>
      <w:bookmarkStart w:id="27" w:name="_Toc101074876"/>
      <w:bookmarkStart w:id="28" w:name="_Toc73521635"/>
      <w:bookmarkStart w:id="29" w:name="_Toc73517639"/>
      <w:bookmarkStart w:id="30" w:name="_Toc60560625"/>
      <w:bookmarkStart w:id="31" w:name="_Toc73521547"/>
      <w:bookmarkStart w:id="32" w:name="_Toc60631620"/>
      <w:r>
        <w:rPr>
          <w:rFonts w:hint="eastAsia"/>
          <w:szCs w:val="24"/>
        </w:rPr>
        <w:t>一、对通用条款的补充内容</w:t>
      </w:r>
    </w:p>
    <w:bookmarkEnd w:id="25"/>
    <w:bookmarkEnd w:id="26"/>
    <w:bookmarkEnd w:id="27"/>
    <w:bookmarkEnd w:id="28"/>
    <w:bookmarkEnd w:id="29"/>
    <w:bookmarkEnd w:id="30"/>
    <w:bookmarkEnd w:id="31"/>
    <w:bookmarkEnd w:id="32"/>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3"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hint="default" w:ascii="宋体" w:hAnsi="宋体" w:eastAsia="宋体"/>
                <w:lang w:val="en-US" w:eastAsia="zh-CN"/>
              </w:rPr>
            </w:pPr>
            <w:r>
              <w:rPr>
                <w:rFonts w:hint="eastAsia" w:ascii="宋体" w:hAnsi="宋体"/>
                <w:lang w:val="en-US" w:eastAsia="zh-CN"/>
              </w:rPr>
              <w:t>深圳市大鹏新区医疗健康集团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lang w:val="en-US" w:eastAsia="zh-CN"/>
              </w:rPr>
              <w:t>需要，详见招标文件第三章用户需求书</w:t>
            </w:r>
          </w:p>
        </w:tc>
      </w:tr>
    </w:tbl>
    <w:p>
      <w:pPr>
        <w:rPr>
          <w:b/>
        </w:rPr>
      </w:pPr>
      <w:r>
        <w:rPr>
          <w:rFonts w:hint="eastAsia"/>
          <w:szCs w:val="21"/>
        </w:rPr>
        <w:t>备注：本表是通用条款相关条款的补充和明确，如与通用条款内容相冲突的，以本表为准。</w:t>
      </w:r>
    </w:p>
    <w:bookmarkEnd w:id="33"/>
    <w:p>
      <w:pPr>
        <w:pStyle w:val="5"/>
        <w:spacing w:before="120" w:beforeLines="50" w:after="120" w:afterLines="50"/>
        <w:rPr>
          <w:szCs w:val="24"/>
        </w:rPr>
      </w:pPr>
      <w:bookmarkStart w:id="35" w:name="_Hlk72218117"/>
      <w:r>
        <w:rPr>
          <w:rFonts w:hint="eastAsia"/>
          <w:szCs w:val="24"/>
        </w:rPr>
        <w:t>二、其他关键信息</w:t>
      </w:r>
    </w:p>
    <w:p>
      <w:pPr>
        <w:ind w:firstLine="422" w:firstLineChars="200"/>
        <w:rPr>
          <w:b/>
          <w:bCs/>
        </w:rPr>
      </w:pPr>
      <w:bookmarkStart w:id="36"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579" w:type="dxa"/>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579" w:type="dxa"/>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579" w:type="dxa"/>
          </w:tcPr>
          <w:p>
            <w:pPr>
              <w:jc w:val="center"/>
            </w:pPr>
            <w:r>
              <w:rPr>
                <w:rFonts w:hint="eastAsia"/>
              </w:rPr>
              <w:t>1</w:t>
            </w:r>
          </w:p>
        </w:tc>
      </w:tr>
    </w:tbl>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6"/>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7"/>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65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szCs w:val="21"/>
              </w:rPr>
            </w:pPr>
            <w:r>
              <w:rPr>
                <w:rFonts w:hint="eastAsia"/>
                <w:bCs/>
                <w:szCs w:val="21"/>
              </w:rPr>
              <w:t>序号</w:t>
            </w:r>
          </w:p>
        </w:tc>
        <w:tc>
          <w:tcPr>
            <w:tcW w:w="4657" w:type="dxa"/>
            <w:vAlign w:val="center"/>
          </w:tcPr>
          <w:p>
            <w:pPr>
              <w:jc w:val="center"/>
              <w:rPr>
                <w:bCs/>
                <w:szCs w:val="21"/>
              </w:rPr>
            </w:pPr>
            <w:r>
              <w:rPr>
                <w:rFonts w:hint="eastAsia"/>
                <w:bCs/>
                <w:szCs w:val="21"/>
              </w:rPr>
              <w:t>采购项目名称</w:t>
            </w:r>
          </w:p>
        </w:tc>
        <w:tc>
          <w:tcPr>
            <w:tcW w:w="3015" w:type="dxa"/>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color w:val="FF0000"/>
                <w:szCs w:val="21"/>
              </w:rPr>
            </w:pPr>
            <w:r>
              <w:rPr>
                <w:rFonts w:hint="eastAsia"/>
                <w:bCs/>
                <w:color w:val="FF0000"/>
                <w:szCs w:val="21"/>
              </w:rPr>
              <w:t>1</w:t>
            </w:r>
          </w:p>
        </w:tc>
        <w:tc>
          <w:tcPr>
            <w:tcW w:w="4657" w:type="dxa"/>
            <w:vAlign w:val="center"/>
          </w:tcPr>
          <w:p>
            <w:pPr>
              <w:jc w:val="center"/>
              <w:rPr>
                <w:rFonts w:hint="default" w:eastAsia="宋体"/>
                <w:b/>
                <w:bCs/>
                <w:color w:val="FF0000"/>
                <w:szCs w:val="21"/>
                <w:lang w:val="en-US" w:eastAsia="zh-CN"/>
              </w:rPr>
            </w:pPr>
            <w:r>
              <w:rPr>
                <w:rFonts w:hint="default" w:eastAsia="宋体"/>
                <w:b/>
                <w:bCs/>
                <w:color w:val="FF0000"/>
                <w:szCs w:val="21"/>
                <w:lang w:val="en-US" w:eastAsia="zh-CN"/>
              </w:rPr>
              <w:t>远程心电设备</w:t>
            </w:r>
            <w:r>
              <w:rPr>
                <w:rFonts w:hint="eastAsia"/>
                <w:b/>
                <w:bCs/>
                <w:color w:val="FF0000"/>
                <w:szCs w:val="21"/>
                <w:lang w:val="en-US" w:eastAsia="zh-CN"/>
              </w:rPr>
              <w:t>采购项目</w:t>
            </w:r>
          </w:p>
        </w:tc>
        <w:tc>
          <w:tcPr>
            <w:tcW w:w="3015" w:type="dxa"/>
            <w:vAlign w:val="center"/>
          </w:tcPr>
          <w:p>
            <w:pPr>
              <w:jc w:val="center"/>
              <w:rPr>
                <w:rFonts w:hint="default" w:eastAsia="宋体"/>
                <w:bCs/>
                <w:color w:val="FF0000"/>
                <w:szCs w:val="21"/>
                <w:lang w:val="en-US" w:eastAsia="zh-CN"/>
              </w:rPr>
            </w:pPr>
            <w:r>
              <w:rPr>
                <w:rFonts w:hint="eastAsia"/>
                <w:bCs/>
                <w:color w:val="FF0000"/>
                <w:szCs w:val="21"/>
                <w:lang w:val="en-US" w:eastAsia="zh-CN"/>
              </w:rPr>
              <w:t>115500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tbl>
      <w:tblPr>
        <w:tblStyle w:val="44"/>
        <w:tblW w:w="5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5"/>
        <w:gridCol w:w="825"/>
        <w:gridCol w:w="921"/>
        <w:gridCol w:w="1224"/>
        <w:gridCol w:w="1224"/>
        <w:gridCol w:w="138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货物名称（标的名称）</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w:t>
            </w:r>
          </w:p>
        </w:tc>
        <w:tc>
          <w:tcPr>
            <w:tcW w:w="63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最高单价限价（元）</w:t>
            </w:r>
          </w:p>
        </w:tc>
        <w:tc>
          <w:tcPr>
            <w:tcW w:w="63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是否接受进口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是否专门面向中小企业</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color w:val="auto"/>
                <w:sz w:val="21"/>
                <w:szCs w:val="21"/>
                <w:lang w:val="en-US" w:eastAsia="zh-CN"/>
              </w:rPr>
              <w:t>动态心电记录仪（含工作站）</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21300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color w:val="auto"/>
                <w:sz w:val="21"/>
                <w:szCs w:val="21"/>
                <w:lang w:val="en-US" w:eastAsia="zh-CN"/>
              </w:rPr>
              <w:t>动态血压监测仪（含工作站）</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24300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工业</w:t>
            </w:r>
          </w:p>
        </w:tc>
      </w:tr>
    </w:tbl>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highlight w:val="yellow"/>
        </w:rPr>
        <w:t>动态血压监测仪（含工作站）</w:t>
      </w:r>
      <w:r>
        <w:rPr>
          <w:rFonts w:hint="eastAsia" w:ascii="宋体" w:hAnsi="宋体"/>
          <w:b/>
          <w:color w:val="FF0000"/>
          <w:szCs w:val="21"/>
          <w:highlight w:val="yellow"/>
          <w:u w:val="single"/>
        </w:rPr>
        <w:t xml:space="preserve"> </w:t>
      </w:r>
      <w:r>
        <w:rPr>
          <w:rFonts w:hint="eastAsia" w:ascii="宋体" w:hAnsi="宋体"/>
          <w:b/>
          <w:color w:val="FF0000"/>
          <w:szCs w:val="21"/>
        </w:rPr>
        <w:t>。</w:t>
      </w:r>
    </w:p>
    <w:bookmarkEnd w:id="38"/>
    <w:p>
      <w:pPr>
        <w:rPr>
          <w:rFonts w:ascii="宋体" w:hAnsi="宋体"/>
          <w:b/>
          <w:color w:val="FF0000"/>
          <w:szCs w:val="21"/>
        </w:rPr>
      </w:pPr>
    </w:p>
    <w:p>
      <w:pPr>
        <w:pStyle w:val="8"/>
      </w:pPr>
    </w:p>
    <w:p>
      <w:pPr>
        <w:pStyle w:val="5"/>
        <w:spacing w:before="120" w:beforeLines="50" w:after="120" w:afterLines="50"/>
        <w:rPr>
          <w:sz w:val="28"/>
          <w:szCs w:val="28"/>
        </w:rPr>
      </w:pPr>
      <w:bookmarkStart w:id="40" w:name="_Toc128884461"/>
      <w:r>
        <w:rPr>
          <w:rFonts w:hint="eastAsia"/>
          <w:sz w:val="28"/>
          <w:szCs w:val="28"/>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both"/>
              <w:rPr>
                <w:rFonts w:hint="eastAsia" w:ascii="宋体" w:hAnsi="宋体" w:eastAsia="宋体"/>
                <w:kern w:val="0"/>
                <w:szCs w:val="21"/>
                <w:lang w:eastAsia="zh-CN"/>
              </w:rPr>
            </w:pPr>
            <w:r>
              <w:rPr>
                <w:rFonts w:hint="eastAsia" w:ascii="宋体" w:hAnsi="宋体"/>
                <w:kern w:val="0"/>
                <w:szCs w:val="21"/>
                <w:lang w:val="en-US" w:eastAsia="zh-CN"/>
              </w:rPr>
              <w:t>1</w:t>
            </w:r>
          </w:p>
        </w:tc>
        <w:tc>
          <w:tcPr>
            <w:tcW w:w="7282"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r>
    </w:tbl>
    <w:p>
      <w:pPr>
        <w:rPr>
          <w:b/>
        </w:rPr>
      </w:pPr>
      <w:r>
        <w:rPr>
          <w:rFonts w:hint="eastAsia"/>
          <w:b/>
        </w:rPr>
        <w:t>注：上表所列内容为不可负偏离条款</w:t>
      </w:r>
      <w:bookmarkEnd w:id="40"/>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1"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1"/>
    <w:tbl>
      <w:tblPr>
        <w:tblStyle w:val="4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34"/>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bookmarkStart w:id="42" w:name="_Hlk70236148"/>
            <w:r>
              <w:rPr>
                <w:rFonts w:hint="eastAsia" w:ascii="宋体" w:hAnsi="宋体" w:eastAsia="宋体" w:cs="宋体"/>
                <w:color w:val="000000" w:themeColor="text1"/>
                <w:sz w:val="21"/>
                <w:szCs w:val="21"/>
                <w14:textFill>
                  <w14:solidFill>
                    <w14:schemeClr w14:val="tx1"/>
                  </w14:solidFill>
                </w14:textFill>
              </w:rPr>
              <w:t>序号</w:t>
            </w:r>
          </w:p>
        </w:tc>
        <w:tc>
          <w:tcPr>
            <w:tcW w:w="1134" w:type="dxa"/>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6485"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1134"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lang w:val="en-US" w:eastAsia="zh-CN"/>
              </w:rPr>
              <w:t>动态心电记录仪（含工作站）</w:t>
            </w:r>
          </w:p>
        </w:tc>
        <w:tc>
          <w:tcPr>
            <w:tcW w:w="648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auto"/>
                <w:kern w:val="0"/>
                <w:sz w:val="21"/>
                <w:szCs w:val="21"/>
                <w:lang w:val="en-US" w:eastAsia="zh-CN"/>
              </w:rPr>
              <w:t>采样精度≥24位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auto"/>
                <w:kern w:val="0"/>
                <w:sz w:val="21"/>
                <w:szCs w:val="21"/>
                <w:lang w:val="en-US" w:eastAsia="zh-CN"/>
              </w:rPr>
              <w:t>频率响应：0.05Hz-100Hz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auto"/>
                <w:kern w:val="0"/>
                <w:sz w:val="21"/>
                <w:szCs w:val="21"/>
                <w:highlight w:val="none"/>
                <w:lang w:val="en-US" w:eastAsia="zh-CN"/>
              </w:rPr>
              <w:t>能记录3DSensor（加速度传感器）数据以及用户事件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auto"/>
                <w:kern w:val="0"/>
                <w:sz w:val="21"/>
                <w:szCs w:val="21"/>
                <w:highlight w:val="none"/>
                <w:lang w:val="en-US" w:eastAsia="zh-CN"/>
              </w:rPr>
              <w:t>动态心电分析软件可与经验证的动态心电图设备联合使用，适用于患者动态心电数据的导入、回放、测量与分析、编辑、报告和实时显示等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auto"/>
                <w:kern w:val="0"/>
                <w:sz w:val="21"/>
                <w:szCs w:val="21"/>
                <w:highlight w:val="none"/>
                <w:lang w:val="en-US" w:eastAsia="zh-CN"/>
              </w:rPr>
              <w:t>具有自动分析功能：支持用户事件、房早事件、室早事件、心率事件的自动分析；支持心搏检测和分类、心律失常的自动分析、ST段测量等自动分析；</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auto"/>
                <w:kern w:val="0"/>
                <w:sz w:val="21"/>
                <w:szCs w:val="21"/>
                <w:lang w:val="en-US" w:eastAsia="zh-CN"/>
              </w:rPr>
              <w:t>自动识别心搏类型，显示起搏直方图</w:t>
            </w:r>
            <w:r>
              <w:rPr>
                <w:rFonts w:hint="eastAsia" w:ascii="宋体" w:hAnsi="宋体" w:cs="宋体"/>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color w:val="auto"/>
                <w:kern w:val="0"/>
                <w:sz w:val="21"/>
                <w:szCs w:val="21"/>
                <w:lang w:val="en-US" w:eastAsia="zh-CN"/>
              </w:rPr>
              <w:t>支持导联纠错功能及分段导联纠错功能；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134" w:type="dxa"/>
            <w:vMerge w:val="continue"/>
            <w:vAlign w:val="center"/>
          </w:tcPr>
          <w:p>
            <w:pPr>
              <w:tabs>
                <w:tab w:val="left" w:pos="520"/>
              </w:tabs>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color w:val="auto"/>
                <w:kern w:val="0"/>
                <w:sz w:val="21"/>
                <w:szCs w:val="21"/>
                <w:lang w:val="en-US" w:eastAsia="zh-CN"/>
              </w:rPr>
              <w:t>具备Lorenz散点图、差值散点图、组合散点图分析；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color w:val="auto"/>
                <w:kern w:val="0"/>
                <w:sz w:val="21"/>
                <w:szCs w:val="21"/>
                <w:lang w:val="en-US" w:eastAsia="zh-CN"/>
              </w:rPr>
              <w:t>支持P波反混淆快速区分P波形态差异心搏；支持快速筛查房颤和自动分析房颤功能</w:t>
            </w:r>
            <w:r>
              <w:rPr>
                <w:rFonts w:hint="eastAsia" w:ascii="宋体" w:hAnsi="宋体" w:cs="宋体"/>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color w:val="auto"/>
                <w:kern w:val="0"/>
                <w:sz w:val="21"/>
                <w:szCs w:val="21"/>
                <w:lang w:val="en-US" w:eastAsia="zh-CN"/>
              </w:rPr>
              <w:t>支持ST段扫描和参数编辑，可调整任意导联抬高压低参数；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color w:val="auto"/>
                <w:kern w:val="0"/>
                <w:sz w:val="21"/>
                <w:szCs w:val="21"/>
                <w:lang w:val="en-US" w:eastAsia="zh-CN"/>
              </w:rPr>
              <w:t>有诊断结论模板，为医生诊断提供长时间、连续且分析全面的心电数据依据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tabs>
                <w:tab w:val="left" w:pos="332"/>
              </w:tabs>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lang w:val="en-US" w:eastAsia="zh-CN" w:bidi="ar-SA"/>
              </w:rPr>
              <w:t>12．</w:t>
            </w:r>
            <w:r>
              <w:rPr>
                <w:rFonts w:hint="eastAsia" w:ascii="宋体" w:hAnsi="宋体" w:eastAsia="宋体" w:cs="宋体"/>
                <w:color w:val="auto"/>
                <w:kern w:val="0"/>
                <w:sz w:val="21"/>
                <w:szCs w:val="21"/>
                <w:lang w:val="en-US" w:eastAsia="zh-CN"/>
              </w:rPr>
              <w:t>可接入心电系统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eastAsia="宋体" w:cs="宋体"/>
                <w:bCs/>
                <w:sz w:val="21"/>
                <w:szCs w:val="21"/>
                <w:lang w:val="en-US" w:eastAsia="zh-CN"/>
              </w:rPr>
              <w:t>2</w:t>
            </w:r>
            <w:r>
              <w:rPr>
                <w:rFonts w:hint="eastAsia" w:ascii="宋体" w:hAnsi="宋体" w:cs="宋体"/>
                <w:bCs/>
                <w:sz w:val="21"/>
                <w:szCs w:val="21"/>
                <w:lang w:val="en-US" w:eastAsia="zh-CN"/>
              </w:rPr>
              <w:t>台</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导联线</w:t>
            </w:r>
            <w:r>
              <w:rPr>
                <w:rFonts w:hint="eastAsia" w:ascii="宋体" w:hAnsi="宋体" w:eastAsia="宋体" w:cs="宋体"/>
                <w:bCs/>
                <w:sz w:val="21"/>
                <w:szCs w:val="21"/>
                <w:lang w:val="en-US" w:eastAsia="zh-CN"/>
              </w:rPr>
              <w:t>2条</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存储卡SD </w:t>
            </w:r>
            <w:r>
              <w:rPr>
                <w:rFonts w:hint="eastAsia" w:ascii="宋体" w:hAnsi="宋体" w:eastAsia="宋体" w:cs="宋体"/>
                <w:bCs/>
                <w:sz w:val="21"/>
                <w:szCs w:val="21"/>
                <w:lang w:val="en-US" w:eastAsia="zh-CN"/>
              </w:rPr>
              <w:t>2个</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腰带和挂绳，布套</w:t>
            </w:r>
            <w:r>
              <w:rPr>
                <w:rFonts w:hint="eastAsia" w:ascii="宋体" w:hAnsi="宋体" w:eastAsia="宋体" w:cs="宋体"/>
                <w:bCs/>
                <w:sz w:val="21"/>
                <w:szCs w:val="21"/>
                <w:lang w:val="en-US" w:eastAsia="zh-CN"/>
              </w:rPr>
              <w:t>2套</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数据线</w:t>
            </w:r>
            <w:r>
              <w:rPr>
                <w:rFonts w:hint="eastAsia" w:ascii="宋体" w:hAnsi="宋体" w:eastAsia="宋体" w:cs="宋体"/>
                <w:bCs/>
                <w:sz w:val="21"/>
                <w:szCs w:val="21"/>
                <w:lang w:val="en-US" w:eastAsia="zh-CN"/>
              </w:rPr>
              <w:t>2条</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操作说明书</w:t>
            </w:r>
            <w:r>
              <w:rPr>
                <w:rFonts w:hint="eastAsia" w:ascii="宋体" w:hAnsi="宋体" w:eastAsia="宋体" w:cs="宋体"/>
                <w:bCs/>
                <w:sz w:val="21"/>
                <w:szCs w:val="21"/>
                <w:lang w:val="en-US" w:eastAsia="zh-CN"/>
              </w:rPr>
              <w:t>2本</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电极片</w:t>
            </w:r>
            <w:r>
              <w:rPr>
                <w:rFonts w:hint="eastAsia" w:ascii="宋体" w:hAnsi="宋体" w:eastAsia="宋体" w:cs="宋体"/>
                <w:bCs/>
                <w:sz w:val="21"/>
                <w:szCs w:val="21"/>
                <w:lang w:val="en-US" w:eastAsia="zh-CN"/>
              </w:rPr>
              <w:t>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动态血压监测仪（含工作站）</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lang w:val="en-US" w:eastAsia="zh-CN"/>
              </w:rPr>
              <w:t>净重量≤210g</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可测量并记录250条数据</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数据存储器：闪存储存</w:t>
            </w:r>
            <w:r>
              <w:rPr>
                <w:rFonts w:hint="eastAsia" w:ascii="宋体" w:hAnsi="宋体" w:cs="宋体"/>
                <w:color w:val="auto"/>
                <w:kern w:val="0"/>
                <w:sz w:val="21"/>
                <w:szCs w:val="21"/>
                <w:lang w:val="en-US" w:eastAsia="zh-CN"/>
              </w:rPr>
              <w:t>至少</w:t>
            </w:r>
            <w:r>
              <w:rPr>
                <w:rFonts w:hint="eastAsia" w:ascii="宋体" w:hAnsi="宋体" w:eastAsia="宋体" w:cs="宋体"/>
                <w:color w:val="auto"/>
                <w:kern w:val="0"/>
                <w:sz w:val="21"/>
                <w:szCs w:val="21"/>
                <w:lang w:val="en-US" w:eastAsia="zh-CN"/>
              </w:rPr>
              <w:t>300个读数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rPr>
              <w:t>配备安全系统，有过压保护</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支持多个独立可程序化周期</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配备体位记录功能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lang w:val="en-US" w:eastAsia="zh-CN"/>
              </w:rPr>
              <w:t>可设置防止病人随意按键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lang w:val="en-US" w:eastAsia="zh-CN"/>
              </w:rPr>
              <w:t>能清晰显示收缩压、舒张压、心率数值</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支持血压波形记录功能</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血压读数的分辨率为1mmHg，脉率读数分辨率为1BPM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rPr>
              <w:t>支持统计计算血压平滑指数，晨峰系数，血压变异系数，动脉硬化指数</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支持血压比较分析功能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lang w:val="en-US" w:eastAsia="zh-CN"/>
              </w:rPr>
              <w:t>支持智能检索功能</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可进行自定义配置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7．</w:t>
            </w:r>
            <w:r>
              <w:rPr>
                <w:rFonts w:hint="eastAsia" w:ascii="宋体" w:hAnsi="宋体" w:eastAsia="宋体" w:cs="宋体"/>
                <w:color w:val="auto"/>
                <w:kern w:val="0"/>
                <w:sz w:val="21"/>
                <w:szCs w:val="21"/>
                <w:lang w:val="en-US" w:eastAsia="zh-CN"/>
              </w:rPr>
              <w:t>血压监测仪袖带压力超过40.0kPa(300mmHg)时应自动打开电磁阀放气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lang w:val="en-US" w:eastAsia="zh-CN" w:bidi="ar-SA"/>
              </w:rPr>
              <w:t>8．</w:t>
            </w:r>
            <w:r>
              <w:rPr>
                <w:rFonts w:hint="eastAsia" w:ascii="宋体" w:hAnsi="宋体" w:eastAsia="宋体" w:cs="宋体"/>
                <w:color w:val="auto"/>
                <w:kern w:val="0"/>
                <w:sz w:val="21"/>
                <w:szCs w:val="21"/>
                <w:highlight w:val="none"/>
                <w:lang w:val="en-US" w:eastAsia="zh-CN"/>
              </w:rPr>
              <w:t>在静态连续低压状态下测量，在刻度范围内重复测量的读数之间，测量精度±4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9．</w:t>
            </w:r>
            <w:r>
              <w:rPr>
                <w:rFonts w:hint="eastAsia" w:ascii="宋体" w:hAnsi="宋体" w:eastAsia="宋体" w:cs="宋体"/>
                <w:color w:val="auto"/>
                <w:kern w:val="0"/>
                <w:sz w:val="21"/>
                <w:szCs w:val="21"/>
                <w:lang w:val="en-US" w:eastAsia="zh-CN"/>
              </w:rPr>
              <w:t>可进行数据分析、辅助医生诊断，并进行相关图分析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lang w:val="en-US" w:eastAsia="zh-CN" w:bidi="ar-SA"/>
              </w:rPr>
              <w:t>10．</w:t>
            </w:r>
            <w:r>
              <w:rPr>
                <w:rFonts w:hint="eastAsia" w:ascii="宋体" w:hAnsi="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lang w:val="en-US" w:eastAsia="zh-CN"/>
              </w:rPr>
              <w:t>接入心电系统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eastAsia="宋体" w:cs="宋体"/>
                <w:bCs/>
                <w:sz w:val="21"/>
                <w:szCs w:val="21"/>
                <w:lang w:val="en-US" w:eastAsia="zh-CN"/>
              </w:rPr>
              <w:t>3台</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碱性电池 6 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袖带</w:t>
            </w:r>
            <w:r>
              <w:rPr>
                <w:rFonts w:hint="eastAsia" w:ascii="宋体" w:hAnsi="宋体" w:eastAsia="宋体" w:cs="宋体"/>
                <w:bCs/>
                <w:sz w:val="21"/>
                <w:szCs w:val="21"/>
                <w:lang w:val="en-US" w:eastAsia="zh-CN"/>
              </w:rPr>
              <w:t>3个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血压延长管</w:t>
            </w:r>
            <w:r>
              <w:rPr>
                <w:rFonts w:hint="eastAsia" w:ascii="宋体" w:hAnsi="宋体" w:eastAsia="宋体" w:cs="宋体"/>
                <w:bCs/>
                <w:sz w:val="21"/>
                <w:szCs w:val="21"/>
                <w:lang w:val="en-US" w:eastAsia="zh-CN"/>
              </w:rPr>
              <w:t>3条</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数据线</w:t>
            </w:r>
            <w:r>
              <w:rPr>
                <w:rFonts w:hint="eastAsia" w:ascii="宋体" w:hAnsi="宋体" w:eastAsia="宋体" w:cs="宋体"/>
                <w:bCs/>
                <w:sz w:val="21"/>
                <w:szCs w:val="21"/>
                <w:lang w:val="en-US" w:eastAsia="zh-CN"/>
              </w:rPr>
              <w:t>3条</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便携袋</w:t>
            </w:r>
            <w:r>
              <w:rPr>
                <w:rFonts w:hint="eastAsia" w:ascii="宋体" w:hAnsi="宋体" w:eastAsia="宋体" w:cs="宋体"/>
                <w:bCs/>
                <w:sz w:val="21"/>
                <w:szCs w:val="21"/>
                <w:lang w:val="en-US" w:eastAsia="zh-CN"/>
              </w:rPr>
              <w:t>3本</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9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846"/>
        <w:gridCol w:w="6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6"/>
                <w:kern w:val="0"/>
                <w:sz w:val="21"/>
                <w:szCs w:val="21"/>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14"/>
                <w:kern w:val="0"/>
                <w:sz w:val="21"/>
                <w:szCs w:val="21"/>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position w:val="-1"/>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9"/>
                <w:kern w:val="0"/>
                <w:sz w:val="21"/>
                <w:szCs w:val="21"/>
              </w:rPr>
              <w:t>维修及维护服务</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9"/>
                <w:kern w:val="0"/>
                <w:sz w:val="21"/>
                <w:szCs w:val="21"/>
                <w:lang w:val="en-US"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hint="eastAsia" w:asciiTheme="minorEastAsia" w:hAnsiTheme="minorEastAsia" w:eastAsiaTheme="minorEastAsia" w:cstheme="minorEastAsia"/>
                <w:b/>
                <w:bCs/>
                <w:color w:val="FF0000"/>
                <w:spacing w:val="9"/>
                <w:kern w:val="0"/>
                <w:sz w:val="21"/>
                <w:szCs w:val="21"/>
              </w:rPr>
              <w:t>1.1各</w:t>
            </w:r>
            <w:r>
              <w:rPr>
                <w:rFonts w:hint="eastAsia" w:asciiTheme="minorEastAsia" w:hAnsiTheme="minorEastAsia" w:eastAsiaTheme="minorEastAsia" w:cstheme="minorEastAsia"/>
                <w:b/>
                <w:bCs/>
                <w:color w:val="FF0000"/>
                <w:spacing w:val="9"/>
                <w:kern w:val="0"/>
                <w:sz w:val="21"/>
                <w:szCs w:val="21"/>
                <w:lang w:val="en-US" w:eastAsia="zh-CN"/>
              </w:rPr>
              <w:t>投标人</w:t>
            </w:r>
            <w:r>
              <w:rPr>
                <w:rFonts w:hint="eastAsia" w:asciiTheme="minorEastAsia" w:hAnsiTheme="minorEastAsia" w:eastAsiaTheme="minorEastAsia" w:cstheme="minorEastAsia"/>
                <w:b/>
                <w:bCs/>
                <w:color w:val="FF0000"/>
                <w:spacing w:val="9"/>
                <w:kern w:val="0"/>
                <w:sz w:val="21"/>
                <w:szCs w:val="21"/>
              </w:rPr>
              <w:t>应在投标文件中列明各主机、配件和易耗品的保修期限，并承诺提供</w:t>
            </w:r>
            <w:r>
              <w:rPr>
                <w:rFonts w:hint="eastAsia" w:asciiTheme="minorEastAsia" w:hAnsiTheme="minorEastAsia" w:cstheme="minorEastAsia"/>
                <w:b/>
                <w:bCs/>
                <w:color w:val="FF0000"/>
                <w:spacing w:val="9"/>
                <w:kern w:val="0"/>
                <w:sz w:val="21"/>
                <w:szCs w:val="21"/>
                <w:lang w:val="en-US" w:eastAsia="zh-CN"/>
              </w:rPr>
              <w:t>原厂</w:t>
            </w:r>
            <w:r>
              <w:rPr>
                <w:rFonts w:hint="eastAsia" w:asciiTheme="minorEastAsia" w:hAnsiTheme="minorEastAsia" w:eastAsiaTheme="minorEastAsia" w:cstheme="minorEastAsia"/>
                <w:b/>
                <w:bCs/>
                <w:color w:val="FF0000"/>
                <w:spacing w:val="9"/>
                <w:kern w:val="0"/>
                <w:sz w:val="21"/>
                <w:szCs w:val="21"/>
              </w:rPr>
              <w:t>主机及配件免费保修期</w:t>
            </w:r>
            <w:r>
              <w:rPr>
                <w:rFonts w:hint="eastAsia" w:asciiTheme="minorEastAsia" w:hAnsiTheme="minorEastAsia" w:cstheme="minorEastAsia"/>
                <w:b/>
                <w:bCs/>
                <w:color w:val="FF0000"/>
                <w:spacing w:val="9"/>
                <w:kern w:val="0"/>
                <w:sz w:val="21"/>
                <w:szCs w:val="21"/>
                <w:lang w:val="en-US" w:eastAsia="zh-CN"/>
              </w:rPr>
              <w:t>为5</w:t>
            </w:r>
            <w:r>
              <w:rPr>
                <w:rFonts w:hint="eastAsia" w:asciiTheme="minorEastAsia" w:hAnsiTheme="minorEastAsia" w:eastAsiaTheme="minorEastAsia" w:cstheme="minorEastAsia"/>
                <w:b/>
                <w:bCs/>
                <w:color w:val="FF0000"/>
                <w:spacing w:val="9"/>
                <w:kern w:val="0"/>
                <w:sz w:val="21"/>
                <w:szCs w:val="21"/>
              </w:rPr>
              <w:t>年，保修期以验收合格，双方代表签署“验收报告”之日起计算。</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lang w:val="en-US" w:eastAsia="zh-CN"/>
              </w:rPr>
              <w:t>1.2</w:t>
            </w:r>
            <w:r>
              <w:rPr>
                <w:rFonts w:hint="eastAsia" w:asciiTheme="majorEastAsia" w:hAnsiTheme="majorEastAsia" w:eastAsiaTheme="majorEastAsia" w:cstheme="majorEastAsia"/>
                <w:b/>
                <w:bCs/>
                <w:color w:val="FF0000"/>
                <w:sz w:val="21"/>
                <w:szCs w:val="21"/>
              </w:rPr>
              <w:t>保修期内更换零配件、软件升级、人工等服务如原厂需收费由</w:t>
            </w:r>
            <w:r>
              <w:rPr>
                <w:rFonts w:hint="eastAsia" w:asciiTheme="majorEastAsia" w:hAnsiTheme="majorEastAsia" w:eastAsiaTheme="majorEastAsia" w:cstheme="majorEastAsia"/>
                <w:b/>
                <w:bCs/>
                <w:color w:val="FF0000"/>
                <w:sz w:val="21"/>
                <w:szCs w:val="21"/>
                <w:lang w:val="en-US" w:eastAsia="zh-CN"/>
              </w:rPr>
              <w:t>中标人</w:t>
            </w:r>
            <w:r>
              <w:rPr>
                <w:rFonts w:hint="eastAsia" w:asciiTheme="majorEastAsia" w:hAnsiTheme="majorEastAsia" w:eastAsiaTheme="majorEastAsia" w:cstheme="majorEastAsia"/>
                <w:b/>
                <w:bCs/>
                <w:color w:val="FF0000"/>
                <w:sz w:val="21"/>
                <w:szCs w:val="21"/>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val="en-US" w:eastAsia="zh-CN"/>
              </w:rPr>
              <w:t xml:space="preserve">1.3 </w:t>
            </w:r>
            <w:r>
              <w:rPr>
                <w:rFonts w:hint="eastAsia" w:asciiTheme="majorEastAsia" w:hAnsiTheme="majorEastAsia" w:eastAsiaTheme="majorEastAsia" w:cstheme="majorEastAsia"/>
                <w:b/>
                <w:bCs/>
                <w:color w:val="FF0000"/>
                <w:spacing w:val="0"/>
                <w:sz w:val="21"/>
                <w:szCs w:val="21"/>
                <w:lang w:eastAsia="zh-CN"/>
              </w:rPr>
              <w:t>在保修期内，中标人应确保设备安全正常运行，年开机率保证在95%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以上。因设备故障导致开机率不足95%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a.年开机率在90%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b.年开机率在85%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c.年开机率低于85%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，中标人必须无条件更换新机，并重新计算保修期，以及赔偿</w:t>
            </w:r>
            <w:r>
              <w:rPr>
                <w:rFonts w:hint="eastAsia" w:asciiTheme="majorEastAsia" w:hAnsiTheme="majorEastAsia" w:eastAsiaTheme="majorEastAsia" w:cstheme="majorEastAsia"/>
                <w:b/>
                <w:bCs/>
                <w:color w:val="FF0000"/>
                <w:spacing w:val="0"/>
                <w:sz w:val="21"/>
                <w:szCs w:val="21"/>
                <w:lang w:val="en-US" w:eastAsia="zh-CN"/>
              </w:rPr>
              <w:t>采购人</w:t>
            </w:r>
            <w:r>
              <w:rPr>
                <w:rFonts w:hint="eastAsia" w:asciiTheme="majorEastAsia" w:hAnsiTheme="majorEastAsia" w:eastAsiaTheme="majorEastAsia" w:cstheme="majorEastAsia"/>
                <w:b/>
                <w:bCs/>
                <w:color w:val="FF0000"/>
                <w:spacing w:val="0"/>
                <w:sz w:val="21"/>
                <w:szCs w:val="21"/>
                <w:lang w:eastAsia="zh-CN"/>
              </w:rPr>
              <w:t>的直接经济损失和间接经济损失，</w:t>
            </w:r>
            <w:r>
              <w:rPr>
                <w:rFonts w:hint="eastAsia" w:asciiTheme="majorEastAsia" w:hAnsiTheme="majorEastAsia" w:eastAsiaTheme="majorEastAsia" w:cstheme="majorEastAsia"/>
                <w:b/>
                <w:bCs/>
                <w:color w:val="FF0000"/>
                <w:spacing w:val="0"/>
                <w:sz w:val="21"/>
                <w:szCs w:val="21"/>
                <w:lang w:val="en-US" w:eastAsia="zh-CN"/>
              </w:rPr>
              <w:t>同时，采购人还有权选择退货</w:t>
            </w:r>
            <w:r>
              <w:rPr>
                <w:rFonts w:hint="eastAsia" w:asciiTheme="majorEastAsia" w:hAnsiTheme="majorEastAsia" w:eastAsiaTheme="majorEastAsia" w:cstheme="majorEastAsia"/>
                <w:b/>
                <w:bCs/>
                <w:color w:val="FF0000"/>
                <w:spacing w:val="0"/>
                <w:sz w:val="21"/>
                <w:szCs w:val="21"/>
                <w:lang w:eastAsia="zh-CN"/>
              </w:rPr>
              <w:t>处理。</w:t>
            </w:r>
          </w:p>
          <w:p>
            <w:pPr>
              <w:pStyle w:val="8"/>
              <w:rPr>
                <w:rFonts w:hint="eastAsia"/>
              </w:rPr>
            </w:pPr>
            <w:r>
              <w:rPr>
                <w:rFonts w:hint="eastAsia" w:asciiTheme="majorEastAsia" w:hAnsiTheme="majorEastAsia" w:eastAsiaTheme="majorEastAsia" w:cstheme="majorEastAsia"/>
                <w:b/>
                <w:bCs/>
                <w:color w:val="FF0000"/>
                <w:spacing w:val="0"/>
                <w:sz w:val="21"/>
                <w:szCs w:val="21"/>
                <w:lang w:eastAsia="zh-CN"/>
              </w:rPr>
              <w:t>注：年开机率 =（365-停机天数）/365。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1.2由生产厂家提供售后服务，4 小时内响应，24小时维修到位。消耗品和零配件供应及时，</w:t>
            </w:r>
            <w:r>
              <w:rPr>
                <w:rFonts w:hint="eastAsia" w:asciiTheme="majorEastAsia" w:hAnsiTheme="majorEastAsia" w:eastAsiaTheme="majorEastAsia" w:cstheme="majorEastAsia"/>
                <w:bCs/>
                <w:sz w:val="21"/>
                <w:szCs w:val="21"/>
              </w:rPr>
              <w:t>发生突发问题厂家需携带可使用的备用机24小时内到场，根据现场情况采用现场维修或备用机替代的方法。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1.5保修期内，</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负责提供及开放数据接口，免费提供该设备与医院PACS、HIS、叫号系统等的数据接口服务，次数不限，涉及与第三方公司的接口费用，由</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spacing w:val="9"/>
                <w:kern w:val="0"/>
                <w:sz w:val="21"/>
                <w:szCs w:val="21"/>
                <w:lang w:val="en-US" w:eastAsia="zh-CN"/>
              </w:rPr>
              <w:t>维修</w:t>
            </w:r>
            <w:r>
              <w:rPr>
                <w:rFonts w:hint="eastAsia" w:asciiTheme="minorEastAsia" w:hAnsiTheme="minorEastAsia" w:cstheme="minorEastAsia"/>
                <w:spacing w:val="6"/>
                <w:kern w:val="0"/>
                <w:sz w:val="21"/>
                <w:szCs w:val="21"/>
                <w:lang w:val="en-US" w:eastAsia="zh-CN"/>
              </w:rPr>
              <w:t>服务和优惠价格</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1.1由生产厂家提供售后服务，4小时内响应，24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1.2终身维修，保修期满后，生产厂家对用户进行的售后服务只收更换部件的成本费，提供维修零配件、消耗品优惠价格。</w:t>
            </w:r>
            <w:r>
              <w:rPr>
                <w:rFonts w:hint="eastAsia" w:asciiTheme="majorEastAsia" w:hAnsiTheme="majorEastAsia" w:eastAsiaTheme="majorEastAsia" w:cstheme="majorEastAsia"/>
                <w:bCs/>
                <w:sz w:val="21"/>
                <w:szCs w:val="21"/>
                <w:lang w:eastAsia="zh-CN"/>
              </w:rPr>
              <w:t>中标人</w:t>
            </w:r>
            <w:r>
              <w:rPr>
                <w:rFonts w:hint="eastAsia" w:asciiTheme="majorEastAsia" w:hAnsiTheme="majorEastAsia" w:eastAsiaTheme="majorEastAsia" w:cstheme="majorEastAsia"/>
                <w:bCs/>
                <w:sz w:val="21"/>
                <w:szCs w:val="21"/>
              </w:rPr>
              <w:t>负责设备的终身维修并应继续提供优质的服务，储备足够的零配件备库并保证十年以上维修配件、耗材的正常供应。</w:t>
            </w:r>
            <w:r>
              <w:rPr>
                <w:rFonts w:hint="eastAsia" w:asciiTheme="majorEastAsia" w:hAnsiTheme="majorEastAsia" w:eastAsiaTheme="majorEastAsia" w:cstheme="majorEastAsia"/>
                <w:bCs/>
                <w:sz w:val="21"/>
                <w:szCs w:val="21"/>
                <w:lang w:val="en-US" w:eastAsia="zh-CN"/>
              </w:rPr>
              <w:t>十</w:t>
            </w:r>
            <w:r>
              <w:rPr>
                <w:rFonts w:hint="eastAsia" w:asciiTheme="majorEastAsia" w:hAnsiTheme="majorEastAsia" w:eastAsiaTheme="majorEastAsia" w:cstheme="majorEastAsia"/>
                <w:bCs/>
                <w:spacing w:val="0"/>
                <w:sz w:val="21"/>
                <w:szCs w:val="21"/>
                <w:lang w:eastAsia="zh-CN"/>
              </w:rPr>
              <w:t>年内免费提供软件升级服务。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1.3采购人可与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就优惠价进行谈判，但优惠价不得高于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spacing w:val="9"/>
                <w:kern w:val="0"/>
                <w:sz w:val="21"/>
                <w:szCs w:val="21"/>
                <w:lang w:val="en-US" w:eastAsia="zh-CN"/>
              </w:rPr>
            </w:pPr>
            <w:r>
              <w:rPr>
                <w:rFonts w:hint="eastAsia" w:asciiTheme="minorEastAsia" w:hAnsiTheme="minorEastAsia" w:cstheme="minorEastAsia"/>
                <w:spacing w:val="9"/>
                <w:kern w:val="0"/>
                <w:sz w:val="21"/>
                <w:szCs w:val="21"/>
                <w:lang w:val="en-US" w:eastAsia="zh-CN"/>
              </w:rPr>
              <w:t>1.6信息化系统：</w:t>
            </w:r>
            <w:r>
              <w:rPr>
                <w:rFonts w:hint="eastAsia" w:asciiTheme="majorEastAsia" w:hAnsiTheme="majorEastAsia" w:eastAsiaTheme="majorEastAsia" w:cstheme="majorEastAsia"/>
                <w:bCs/>
                <w:color w:val="auto"/>
                <w:spacing w:val="0"/>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hint="eastAsia" w:asciiTheme="majorEastAsia" w:hAnsiTheme="majorEastAsia" w:eastAsiaTheme="majorEastAsia" w:cstheme="majorEastAsia"/>
                <w:bCs/>
                <w:spacing w:val="0"/>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8"/>
                <w:kern w:val="0"/>
                <w:sz w:val="21"/>
                <w:szCs w:val="21"/>
              </w:rPr>
              <w:t>交货要求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8"/>
                <w:kern w:val="0"/>
                <w:sz w:val="21"/>
                <w:szCs w:val="21"/>
                <w:lang w:val="en-US" w:eastAsia="zh-CN"/>
              </w:rPr>
              <w:t>1.</w:t>
            </w:r>
            <w:r>
              <w:rPr>
                <w:rFonts w:hint="eastAsia" w:asciiTheme="minorEastAsia" w:hAnsiTheme="minorEastAsia" w:eastAsiaTheme="minorEastAsia" w:cstheme="minorEastAsia"/>
                <w:b/>
                <w:bCs/>
                <w:color w:val="FF0000"/>
                <w:spacing w:val="8"/>
                <w:kern w:val="0"/>
                <w:sz w:val="21"/>
                <w:szCs w:val="21"/>
                <w:lang w:eastAsia="zh-CN"/>
              </w:rPr>
              <w:t>中标人</w:t>
            </w:r>
            <w:r>
              <w:rPr>
                <w:rFonts w:hint="eastAsia" w:asciiTheme="minorEastAsia" w:hAnsiTheme="minorEastAsia" w:eastAsiaTheme="minorEastAsia" w:cstheme="minorEastAsia"/>
                <w:b/>
                <w:bCs/>
                <w:color w:val="FF0000"/>
                <w:spacing w:val="8"/>
                <w:kern w:val="0"/>
                <w:sz w:val="21"/>
                <w:szCs w:val="21"/>
              </w:rPr>
              <w:t>在签订合同之日起</w:t>
            </w:r>
            <w:r>
              <w:rPr>
                <w:rFonts w:hint="eastAsia" w:asciiTheme="minorEastAsia" w:hAnsiTheme="minorEastAsia" w:cstheme="minorEastAsia"/>
                <w:b/>
                <w:bCs/>
                <w:color w:val="FF0000"/>
                <w:spacing w:val="8"/>
                <w:kern w:val="0"/>
                <w:sz w:val="21"/>
                <w:szCs w:val="21"/>
                <w:lang w:val="en-US" w:eastAsia="zh-CN"/>
              </w:rPr>
              <w:t>30</w:t>
            </w:r>
            <w:r>
              <w:rPr>
                <w:rFonts w:hint="eastAsia" w:asciiTheme="minorEastAsia" w:hAnsiTheme="minorEastAsia" w:eastAsiaTheme="minorEastAsia" w:cstheme="minorEastAsia"/>
                <w:b/>
                <w:bCs/>
                <w:color w:val="FF0000"/>
                <w:spacing w:val="8"/>
                <w:kern w:val="0"/>
                <w:sz w:val="21"/>
                <w:szCs w:val="21"/>
              </w:rPr>
              <w:t>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cstheme="minorEastAsia"/>
                <w:b w:val="0"/>
                <w:bCs w:val="0"/>
                <w:color w:val="auto"/>
                <w:spacing w:val="9"/>
                <w:kern w:val="0"/>
                <w:sz w:val="21"/>
                <w:szCs w:val="21"/>
                <w:lang w:val="en-US" w:eastAsia="zh-CN"/>
              </w:rPr>
              <w:t>2.交货地点：采购人指定的地点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报价要求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Cs/>
                <w:sz w:val="21"/>
                <w:szCs w:val="21"/>
              </w:rPr>
              <w:t>投标总价是完成该项目的一切费用总和，</w:t>
            </w:r>
            <w:r>
              <w:rPr>
                <w:rFonts w:hint="eastAsia" w:asciiTheme="majorEastAsia" w:hAnsiTheme="majorEastAsia" w:eastAsiaTheme="majorEastAsia" w:cstheme="majorEastAsia"/>
                <w:bCs/>
                <w:snapToGrid/>
                <w:color w:val="auto"/>
                <w:spacing w:val="0"/>
                <w:sz w:val="21"/>
                <w:szCs w:val="21"/>
                <w:lang w:val="en-US" w:eastAsia="zh-CN" w:bidi="ar-SA"/>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质量要求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highlight w:val="none"/>
                <w:lang w:val="en-US" w:eastAsia="zh-CN"/>
              </w:rPr>
              <w:t>投标人</w:t>
            </w:r>
            <w:r>
              <w:rPr>
                <w:rFonts w:hint="eastAsia" w:asciiTheme="majorEastAsia" w:hAnsiTheme="majorEastAsia" w:eastAsiaTheme="majorEastAsia" w:cstheme="majorEastAsia"/>
                <w:b/>
                <w:bCs/>
                <w:color w:val="FF0000"/>
                <w:sz w:val="21"/>
                <w:szCs w:val="21"/>
                <w:highlight w:val="none"/>
                <w:lang w:eastAsia="zh-CN"/>
              </w:rPr>
              <w:t>保证所提供的产品必须</w:t>
            </w:r>
            <w:r>
              <w:rPr>
                <w:rFonts w:hint="eastAsia" w:asciiTheme="majorEastAsia" w:hAnsiTheme="majorEastAsia" w:eastAsiaTheme="majorEastAsia" w:cstheme="majorEastAsia"/>
                <w:b/>
                <w:bCs/>
                <w:color w:val="FF0000"/>
                <w:sz w:val="21"/>
                <w:szCs w:val="21"/>
                <w:highlight w:val="none"/>
                <w:lang w:val="en-US" w:eastAsia="zh-CN"/>
              </w:rPr>
              <w:t>是</w:t>
            </w:r>
            <w:r>
              <w:rPr>
                <w:rFonts w:hint="eastAsia" w:asciiTheme="majorEastAsia" w:hAnsiTheme="majorEastAsia" w:eastAsiaTheme="majorEastAsia" w:cstheme="majorEastAsia"/>
                <w:b/>
                <w:bCs/>
                <w:color w:val="FF0000"/>
                <w:sz w:val="21"/>
                <w:szCs w:val="21"/>
                <w:highlight w:val="none"/>
                <w:lang w:eastAsia="zh-CN"/>
              </w:rPr>
              <w:t>生产日期在半年内未使用过的</w:t>
            </w:r>
            <w:r>
              <w:rPr>
                <w:rFonts w:hint="eastAsia" w:asciiTheme="majorEastAsia" w:hAnsiTheme="majorEastAsia" w:eastAsiaTheme="majorEastAsia" w:cstheme="majorEastAsia"/>
                <w:b/>
                <w:bCs/>
                <w:color w:val="FF0000"/>
                <w:sz w:val="21"/>
                <w:szCs w:val="21"/>
                <w:highlight w:val="none"/>
                <w:lang w:val="en-US" w:eastAsia="zh-CN"/>
              </w:rPr>
              <w:t>原厂</w:t>
            </w:r>
            <w:r>
              <w:rPr>
                <w:rFonts w:hint="eastAsia" w:asciiTheme="majorEastAsia" w:hAnsiTheme="majorEastAsia" w:eastAsiaTheme="majorEastAsia" w:cstheme="majorEastAsia"/>
                <w:b/>
                <w:bCs/>
                <w:color w:val="FF0000"/>
                <w:sz w:val="21"/>
                <w:szCs w:val="21"/>
                <w:highlight w:val="none"/>
                <w:lang w:eastAsia="zh-CN"/>
              </w:rPr>
              <w:t>全新产品（</w:t>
            </w:r>
            <w:r>
              <w:rPr>
                <w:rFonts w:hint="eastAsia" w:asciiTheme="majorEastAsia" w:hAnsiTheme="majorEastAsia" w:eastAsiaTheme="majorEastAsia" w:cstheme="majorEastAsia"/>
                <w:b/>
                <w:bCs/>
                <w:color w:val="FF0000"/>
                <w:sz w:val="21"/>
                <w:szCs w:val="21"/>
                <w:highlight w:val="none"/>
                <w:lang w:val="en-US" w:eastAsia="zh-CN"/>
              </w:rPr>
              <w:t>包括零部件</w:t>
            </w:r>
            <w:r>
              <w:rPr>
                <w:rFonts w:hint="eastAsia" w:asciiTheme="majorEastAsia" w:hAnsiTheme="majorEastAsia" w:eastAsiaTheme="majorEastAsia" w:cstheme="majorEastAsia"/>
                <w:b/>
                <w:bCs/>
                <w:color w:val="FF0000"/>
                <w:sz w:val="21"/>
                <w:szCs w:val="21"/>
                <w:highlight w:val="none"/>
                <w:lang w:eastAsia="zh-CN"/>
              </w:rPr>
              <w:t>），符合国家或省级行业质量标准。确保产品投入使用前，按照国家规定办理好产品所有启用所需的资质证件。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spacing w:val="3"/>
                <w:kern w:val="0"/>
                <w:sz w:val="21"/>
                <w:szCs w:val="21"/>
                <w:lang w:val="en-US" w:eastAsia="zh-CN" w:bidi="ar-SA"/>
              </w:rPr>
            </w:pPr>
            <w:r>
              <w:rPr>
                <w:rFonts w:hint="eastAsia" w:asciiTheme="minorEastAsia" w:hAnsiTheme="minorEastAsia" w:cstheme="minorEastAsia"/>
                <w:spacing w:val="3"/>
                <w:kern w:val="0"/>
                <w:sz w:val="21"/>
                <w:szCs w:val="21"/>
                <w:lang w:val="en-US" w:eastAsia="zh-CN"/>
              </w:rPr>
              <w:t>付款方式</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合同签订后，</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w:t>
            </w:r>
            <w:r>
              <w:rPr>
                <w:rFonts w:hint="eastAsia" w:asciiTheme="minorEastAsia" w:hAnsiTheme="minorEastAsia" w:cstheme="minorEastAsia"/>
                <w:spacing w:val="8"/>
                <w:kern w:val="0"/>
                <w:sz w:val="21"/>
                <w:szCs w:val="21"/>
                <w:lang w:val="en-US" w:eastAsia="zh-CN"/>
              </w:rPr>
              <w:t>全额</w:t>
            </w:r>
            <w:r>
              <w:rPr>
                <w:rFonts w:hint="eastAsia" w:asciiTheme="minorEastAsia" w:hAnsiTheme="minorEastAsia" w:eastAsiaTheme="minorEastAsia" w:cstheme="minorEastAsia"/>
                <w:spacing w:val="8"/>
                <w:kern w:val="0"/>
                <w:sz w:val="21"/>
                <w:szCs w:val="21"/>
              </w:rPr>
              <w:t>发票</w:t>
            </w:r>
            <w:r>
              <w:rPr>
                <w:rFonts w:hint="eastAsia" w:asciiTheme="minorEastAsia" w:hAnsiTheme="minorEastAsia" w:cstheme="minorEastAsia"/>
                <w:spacing w:val="8"/>
                <w:kern w:val="0"/>
                <w:sz w:val="21"/>
                <w:szCs w:val="21"/>
                <w:lang w:eastAsia="zh-CN"/>
              </w:rPr>
              <w:t>，</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在收到发</w:t>
            </w:r>
            <w:r>
              <w:rPr>
                <w:rFonts w:hint="eastAsia" w:asciiTheme="minorEastAsia" w:hAnsiTheme="minorEastAsia" w:eastAsiaTheme="minorEastAsia" w:cstheme="minorEastAsia"/>
                <w:spacing w:val="8"/>
                <w:kern w:val="0"/>
                <w:sz w:val="21"/>
                <w:szCs w:val="21"/>
                <w:highlight w:val="none"/>
              </w:rPr>
              <w:t>票</w:t>
            </w:r>
            <w:r>
              <w:rPr>
                <w:rFonts w:hint="eastAsia" w:asciiTheme="minorEastAsia" w:hAnsiTheme="minorEastAsia" w:cstheme="minorEastAsia"/>
                <w:spacing w:val="8"/>
                <w:kern w:val="0"/>
                <w:sz w:val="21"/>
                <w:szCs w:val="21"/>
                <w:highlight w:val="none"/>
                <w:lang w:val="en-US" w:eastAsia="zh-CN"/>
              </w:rPr>
              <w:t>且财政资金到位后</w:t>
            </w:r>
            <w:r>
              <w:rPr>
                <w:rFonts w:hint="eastAsia" w:asciiTheme="minorEastAsia" w:hAnsiTheme="minorEastAsia" w:eastAsiaTheme="minorEastAsia" w:cstheme="minorEastAsia"/>
                <w:spacing w:val="8"/>
                <w:kern w:val="0"/>
                <w:sz w:val="21"/>
                <w:szCs w:val="21"/>
                <w:highlight w:val="none"/>
              </w:rPr>
              <w:t>，向</w:t>
            </w:r>
            <w:r>
              <w:rPr>
                <w:rFonts w:hint="eastAsia" w:asciiTheme="minorEastAsia" w:hAnsiTheme="minorEastAsia" w:eastAsiaTheme="minorEastAsia" w:cstheme="minorEastAsia"/>
                <w:spacing w:val="8"/>
                <w:kern w:val="0"/>
                <w:sz w:val="21"/>
                <w:szCs w:val="21"/>
                <w:highlight w:val="none"/>
                <w:lang w:eastAsia="zh-CN"/>
              </w:rPr>
              <w:t>中标人</w:t>
            </w:r>
            <w:r>
              <w:rPr>
                <w:rFonts w:hint="eastAsia" w:asciiTheme="minorEastAsia" w:hAnsiTheme="minorEastAsia" w:eastAsiaTheme="minorEastAsia" w:cstheme="minorEastAsia"/>
                <w:spacing w:val="8"/>
                <w:kern w:val="0"/>
                <w:sz w:val="21"/>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将货物运至指定地点、完成安装调试、设备运行合格并通过性能验收后，</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2.1若财政资金足额到位且设备验收合格，</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2.2若财政资金不足以支付尾款，</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Theme="minorEastAsia" w:hAnsiTheme="minorEastAsia" w:eastAsiaTheme="minorEastAsia" w:cstheme="minorEastAsia"/>
                <w:spacing w:val="8"/>
                <w:kern w:val="0"/>
                <w:sz w:val="21"/>
                <w:szCs w:val="21"/>
                <w:lang w:val="en-US" w:eastAsia="zh-CN" w:bidi="ar-SA"/>
              </w:rPr>
            </w:pPr>
            <w:r>
              <w:rPr>
                <w:rFonts w:hint="eastAsia" w:asciiTheme="minorEastAsia" w:hAnsiTheme="minorEastAsia" w:eastAsiaTheme="minorEastAsia" w:cstheme="minorEastAsia"/>
                <w:spacing w:val="8"/>
                <w:kern w:val="0"/>
                <w:sz w:val="21"/>
                <w:szCs w:val="21"/>
              </w:rPr>
              <w:t>2.3若</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5</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3"/>
                <w:kern w:val="0"/>
                <w:sz w:val="21"/>
                <w:szCs w:val="21"/>
              </w:rPr>
              <w:t>运输、安装和验收</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采购人有权检验或测试货物，以确认货物是否符合合同规格的要求，并且不承担额外的费用。如果发现所交货物与投标文件中所承诺的不符或存在质量、技术缺陷等，采购人可以拒绝接收该货物，</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  30  天（日历日）内采取补足、更换或退货等措施，以满足规格的要求，由此发生的一切损失和费用由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5.</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负责货物的现场安装和调试，提供货物安装、调试和维修所需的专用工具和辅助材料。</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应在货物运至指定地点后一周内开始安装调试，并在15天（日历日）内完成安装调试工作。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lang w:val="en-US" w:eastAsia="zh-CN"/>
              </w:rPr>
              <w:t>6.</w:t>
            </w:r>
            <w:r>
              <w:rPr>
                <w:rFonts w:hint="eastAsia" w:asciiTheme="majorEastAsia" w:hAnsiTheme="majorEastAsia" w:eastAsiaTheme="majorEastAsia" w:cstheme="majorEastAsia"/>
                <w:b/>
                <w:bCs/>
                <w:color w:val="FF0000"/>
                <w:sz w:val="21"/>
                <w:szCs w:val="21"/>
              </w:rPr>
              <w:t>当满足以下条件时，采购人才向中标人签发货物验收报告：</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（1）设备全新,外观无伤痕变形或明显修饰痕迹。</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（3）技术文件资料、备件等已按规定数量移交完毕。</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（4）按照招标文件要求及投标文件提供的技术要求验收合格。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（5）</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提供的各种文件载明的内容应保证真实，其技术数据采购人有权要求</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提供采购人认可的第三方按照双方同意的试验方法进行检测。检测结果需证明</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提供的技术数据是真实的，否则视为不合格。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
                <w:bCs/>
                <w:color w:val="FF0000"/>
                <w:sz w:val="21"/>
                <w:szCs w:val="21"/>
              </w:rPr>
              <w:t>（7）在货物安装调试合格后，所有技术指标达到技术规范书要求，经验收合格后，双方共同签署验收报告。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3"/>
                <w:kern w:val="0"/>
                <w:sz w:val="21"/>
                <w:szCs w:val="21"/>
                <w:lang w:val="en-US" w:eastAsia="zh-CN"/>
              </w:rPr>
            </w:pPr>
            <w:r>
              <w:rPr>
                <w:rFonts w:hint="eastAsia" w:asciiTheme="minorEastAsia" w:hAnsiTheme="minorEastAsia" w:cstheme="minorEastAsia"/>
                <w:spacing w:val="3"/>
                <w:kern w:val="0"/>
                <w:sz w:val="21"/>
                <w:szCs w:val="21"/>
                <w:lang w:val="en-US" w:eastAsia="zh-CN"/>
              </w:rPr>
              <w:t>履约保证金</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1.履约</w:t>
            </w:r>
            <w:r>
              <w:rPr>
                <w:rFonts w:hint="eastAsia" w:asciiTheme="minorEastAsia" w:hAnsiTheme="minorEastAsia" w:cstheme="minorEastAsia"/>
                <w:spacing w:val="8"/>
                <w:kern w:val="0"/>
                <w:sz w:val="21"/>
                <w:szCs w:val="21"/>
                <w:lang w:val="en-US" w:eastAsia="zh-CN"/>
              </w:rPr>
              <w:t>保证金</w:t>
            </w:r>
            <w:r>
              <w:rPr>
                <w:rFonts w:hint="eastAsia" w:asciiTheme="minorEastAsia" w:hAnsiTheme="minorEastAsia" w:eastAsiaTheme="minorEastAsia" w:cstheme="minorEastAsia"/>
                <w:spacing w:val="8"/>
                <w:kern w:val="0"/>
                <w:sz w:val="21"/>
                <w:szCs w:val="21"/>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1.1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提供合同总额5%的</w:t>
            </w:r>
            <w:r>
              <w:rPr>
                <w:rFonts w:hint="eastAsia" w:asciiTheme="minorEastAsia" w:hAnsiTheme="minorEastAsia" w:cstheme="minorEastAsia"/>
                <w:spacing w:val="8"/>
                <w:kern w:val="0"/>
                <w:sz w:val="21"/>
                <w:szCs w:val="21"/>
                <w:lang w:val="en-US" w:eastAsia="zh-CN"/>
              </w:rPr>
              <w:t>履约保证金，</w:t>
            </w:r>
            <w:r>
              <w:rPr>
                <w:rFonts w:hint="eastAsia" w:asciiTheme="minorEastAsia" w:hAnsiTheme="minorEastAsia" w:cstheme="minorEastAsia"/>
                <w:spacing w:val="8"/>
                <w:kern w:val="0"/>
                <w:sz w:val="21"/>
                <w:szCs w:val="21"/>
                <w:highlight w:val="none"/>
                <w:lang w:val="en-US" w:eastAsia="zh-CN"/>
              </w:rPr>
              <w:t>由供应商自主选择以支票、汇票、本票、保函等非现金方式提交</w:t>
            </w:r>
            <w:r>
              <w:rPr>
                <w:rFonts w:hint="eastAsia" w:asciiTheme="minorEastAsia" w:hAnsiTheme="minorEastAsia" w:eastAsiaTheme="minorEastAsia" w:cstheme="minorEastAsia"/>
                <w:spacing w:val="8"/>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1.2提交时间：合同签订后</w:t>
            </w:r>
            <w:r>
              <w:rPr>
                <w:rFonts w:hint="eastAsia" w:asciiTheme="minorEastAsia" w:hAnsiTheme="minorEastAsia" w:cstheme="minorEastAsia"/>
                <w:spacing w:val="8"/>
                <w:kern w:val="0"/>
                <w:sz w:val="21"/>
                <w:szCs w:val="21"/>
                <w:lang w:val="en-US" w:eastAsia="zh-CN"/>
              </w:rPr>
              <w:t>10</w:t>
            </w:r>
            <w:r>
              <w:rPr>
                <w:rFonts w:hint="eastAsia" w:asciiTheme="minorEastAsia" w:hAnsiTheme="minorEastAsia" w:eastAsiaTheme="minorEastAsia" w:cstheme="minorEastAsia"/>
                <w:spacing w:val="8"/>
                <w:kern w:val="0"/>
                <w:sz w:val="21"/>
                <w:szCs w:val="21"/>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1.3</w:t>
            </w:r>
            <w:r>
              <w:rPr>
                <w:rFonts w:hint="eastAsia" w:asciiTheme="minorEastAsia" w:hAnsiTheme="minorEastAsia" w:cstheme="minorEastAsia"/>
                <w:spacing w:val="8"/>
                <w:kern w:val="0"/>
                <w:sz w:val="21"/>
                <w:szCs w:val="21"/>
                <w:lang w:val="en-US" w:eastAsia="zh-CN"/>
              </w:rPr>
              <w:t>如涉及相关费用的，</w:t>
            </w:r>
            <w:r>
              <w:rPr>
                <w:rFonts w:hint="eastAsia" w:asciiTheme="minorEastAsia" w:hAnsiTheme="minorEastAsia" w:eastAsiaTheme="minorEastAsia" w:cstheme="minorEastAsia"/>
                <w:spacing w:val="8"/>
                <w:kern w:val="0"/>
                <w:sz w:val="21"/>
                <w:szCs w:val="21"/>
              </w:rPr>
              <w:t>均由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w:t>
            </w:r>
            <w:r>
              <w:rPr>
                <w:rFonts w:hint="eastAsia" w:asciiTheme="minorEastAsia" w:hAnsiTheme="minorEastAsia" w:cstheme="minorEastAsia"/>
                <w:spacing w:val="8"/>
                <w:kern w:val="0"/>
                <w:sz w:val="21"/>
                <w:szCs w:val="21"/>
                <w:lang w:val="en-US" w:eastAsia="zh-CN"/>
              </w:rPr>
              <w:t>.</w:t>
            </w:r>
            <w:r>
              <w:rPr>
                <w:rFonts w:hint="eastAsia" w:asciiTheme="minorEastAsia" w:hAnsiTheme="minorEastAsia" w:eastAsiaTheme="minorEastAsia" w:cstheme="minorEastAsia"/>
                <w:spacing w:val="8"/>
                <w:kern w:val="0"/>
                <w:sz w:val="21"/>
                <w:szCs w:val="21"/>
              </w:rPr>
              <w:t>保证金退还：</w:t>
            </w:r>
            <w:r>
              <w:rPr>
                <w:rFonts w:hint="eastAsia" w:asciiTheme="minorEastAsia" w:hAnsiTheme="minorEastAsia" w:cstheme="minorEastAsia"/>
                <w:spacing w:val="8"/>
                <w:kern w:val="0"/>
                <w:sz w:val="21"/>
                <w:szCs w:val="21"/>
                <w:lang w:val="en-US" w:eastAsia="zh-CN"/>
              </w:rPr>
              <w:t>中标人完成供货且经过采购人验收合格后，采购人在30日内不计息退还</w:t>
            </w:r>
            <w:r>
              <w:rPr>
                <w:rFonts w:hint="eastAsia" w:asciiTheme="minorEastAsia" w:hAnsiTheme="minorEastAsia" w:eastAsiaTheme="minorEastAsia" w:cstheme="minorEastAsia"/>
                <w:spacing w:val="8"/>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违约处理：如</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发生违约行为，如设备出现质量问题，或</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未按</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要求维修或替换，则</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有权</w:t>
            </w:r>
            <w:r>
              <w:rPr>
                <w:rFonts w:hint="eastAsia" w:asciiTheme="minorEastAsia" w:hAnsiTheme="minorEastAsia" w:cstheme="minorEastAsia"/>
                <w:spacing w:val="8"/>
                <w:kern w:val="0"/>
                <w:sz w:val="21"/>
                <w:szCs w:val="21"/>
                <w:lang w:val="en-US" w:eastAsia="zh-CN"/>
              </w:rPr>
              <w:t>扣除已收取的履约保证金</w:t>
            </w:r>
            <w:r>
              <w:rPr>
                <w:rFonts w:hint="eastAsia" w:asciiTheme="minorEastAsia" w:hAnsiTheme="minorEastAsia" w:eastAsiaTheme="minorEastAsia" w:cstheme="minorEastAsia"/>
                <w:spacing w:val="8"/>
                <w:kern w:val="0"/>
                <w:sz w:val="21"/>
                <w:szCs w:val="21"/>
              </w:rPr>
              <w:t>，无需经过</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同意，由此造成的一切损失由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7</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5"/>
                <w:kern w:val="0"/>
                <w:sz w:val="21"/>
                <w:szCs w:val="21"/>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中标人应派专业技术人员免费对采购单位制定人员进行定期培训及指导，直至其完全掌握设备的基本故障处理技术</w:t>
            </w:r>
            <w:r>
              <w:rPr>
                <w:rFonts w:hint="eastAsia" w:asciiTheme="minorEastAsia" w:hAnsiTheme="minorEastAsia" w:cstheme="minorEastAsia"/>
                <w:spacing w:val="8"/>
                <w:kern w:val="0"/>
                <w:sz w:val="21"/>
                <w:szCs w:val="21"/>
                <w:lang w:eastAsia="zh-CN"/>
              </w:rPr>
              <w:t>，</w:t>
            </w:r>
            <w:r>
              <w:rPr>
                <w:rFonts w:hint="eastAsia" w:asciiTheme="minorEastAsia" w:hAnsiTheme="minorEastAsia" w:cstheme="minorEastAsia"/>
                <w:spacing w:val="8"/>
                <w:kern w:val="0"/>
                <w:sz w:val="21"/>
                <w:szCs w:val="21"/>
                <w:lang w:val="en-US" w:eastAsia="zh-CN"/>
              </w:rPr>
              <w:t>其中第一次培训应在</w:t>
            </w:r>
            <w:r>
              <w:rPr>
                <w:rFonts w:hint="eastAsia" w:asciiTheme="majorEastAsia" w:hAnsiTheme="majorEastAsia" w:eastAsiaTheme="majorEastAsia" w:cstheme="majorEastAsia"/>
                <w:bCs/>
                <w:spacing w:val="0"/>
                <w:sz w:val="21"/>
                <w:szCs w:val="21"/>
                <w:lang w:val="en-US" w:eastAsia="zh-CN"/>
              </w:rPr>
              <w:t>设备验收后一周内有专业人员对采购人临床操作人员进行专业的培训。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8</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5"/>
                <w:kern w:val="0"/>
                <w:sz w:val="21"/>
                <w:szCs w:val="21"/>
                <w:lang w:val="en-US" w:eastAsia="zh-CN"/>
              </w:rPr>
            </w:pPr>
            <w:r>
              <w:rPr>
                <w:rFonts w:hint="eastAsia" w:asciiTheme="minorEastAsia" w:hAnsiTheme="minorEastAsia" w:cstheme="minorEastAsia"/>
                <w:spacing w:val="5"/>
                <w:kern w:val="0"/>
                <w:sz w:val="21"/>
                <w:szCs w:val="21"/>
                <w:lang w:val="en-US" w:eastAsia="zh-CN"/>
              </w:rPr>
              <w:t>违约条款</w:t>
            </w: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1.</w:t>
            </w:r>
            <w:r>
              <w:rPr>
                <w:rFonts w:hint="eastAsia" w:asciiTheme="majorEastAsia" w:hAnsiTheme="majorEastAsia" w:eastAsiaTheme="majorEastAsia" w:cstheme="majorEastAsia"/>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3.</w:t>
            </w:r>
            <w:r>
              <w:rPr>
                <w:rFonts w:hint="eastAsia" w:asciiTheme="majorEastAsia" w:hAnsiTheme="majorEastAsia" w:eastAsiaTheme="majorEastAsia" w:cstheme="majorEastAsia"/>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4.</w:t>
            </w:r>
            <w:r>
              <w:rPr>
                <w:rFonts w:hint="eastAsia" w:asciiTheme="majorEastAsia" w:hAnsiTheme="majorEastAsia" w:eastAsiaTheme="majorEastAsia" w:cstheme="majorEastAsia"/>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5.</w:t>
            </w:r>
            <w:r>
              <w:rPr>
                <w:rFonts w:hint="eastAsia" w:asciiTheme="majorEastAsia" w:hAnsiTheme="majorEastAsia" w:eastAsiaTheme="majorEastAsia" w:cstheme="majorEastAsia"/>
                <w:bCs/>
                <w:spacing w:val="0"/>
                <w:sz w:val="21"/>
                <w:szCs w:val="21"/>
                <w:lang w:eastAsia="zh-CN"/>
              </w:rPr>
              <w:t>由于中标人的原因，未能按时供货</w:t>
            </w:r>
            <w:r>
              <w:rPr>
                <w:rFonts w:hint="eastAsia" w:asciiTheme="majorEastAsia" w:hAnsiTheme="majorEastAsia" w:eastAsiaTheme="majorEastAsia" w:cstheme="majorEastAsia"/>
                <w:bCs/>
                <w:spacing w:val="0"/>
                <w:sz w:val="21"/>
                <w:szCs w:val="21"/>
                <w:lang w:val="en-US" w:eastAsia="zh-CN"/>
              </w:rPr>
              <w:t>或配合验收的</w:t>
            </w:r>
            <w:r>
              <w:rPr>
                <w:rFonts w:hint="eastAsia" w:asciiTheme="majorEastAsia" w:hAnsiTheme="majorEastAsia" w:eastAsiaTheme="majorEastAsia" w:cstheme="majorEastAsia"/>
                <w:bCs/>
                <w:spacing w:val="0"/>
                <w:sz w:val="21"/>
                <w:szCs w:val="21"/>
                <w:lang w:eastAsia="zh-CN"/>
              </w:rPr>
              <w:t>，每迟一天应给付采购人的违约金为合同总额的1%，总额不超过</w:t>
            </w:r>
            <w:r>
              <w:rPr>
                <w:rFonts w:hint="eastAsia" w:asciiTheme="majorEastAsia" w:hAnsiTheme="majorEastAsia" w:eastAsiaTheme="majorEastAsia" w:cstheme="majorEastAsia"/>
                <w:bCs/>
                <w:spacing w:val="0"/>
                <w:sz w:val="21"/>
                <w:szCs w:val="21"/>
                <w:lang w:val="en-US" w:eastAsia="zh-CN"/>
              </w:rPr>
              <w:t>合同总价</w:t>
            </w:r>
            <w:r>
              <w:rPr>
                <w:rFonts w:hint="eastAsia" w:asciiTheme="majorEastAsia" w:hAnsiTheme="majorEastAsia" w:eastAsiaTheme="majorEastAsia" w:cstheme="majorEastAsia"/>
                <w:bCs/>
                <w:spacing w:val="0"/>
                <w:sz w:val="21"/>
                <w:szCs w:val="21"/>
                <w:lang w:eastAsia="zh-CN"/>
              </w:rPr>
              <w:t>的30%；如超过供货期30日，采购人有权</w:t>
            </w:r>
            <w:r>
              <w:rPr>
                <w:rFonts w:hint="eastAsia" w:asciiTheme="majorEastAsia" w:hAnsiTheme="majorEastAsia" w:eastAsiaTheme="majorEastAsia" w:cstheme="majorEastAsia"/>
                <w:bCs/>
                <w:spacing w:val="0"/>
                <w:sz w:val="21"/>
                <w:szCs w:val="21"/>
                <w:lang w:val="en-US" w:eastAsia="zh-CN"/>
              </w:rPr>
              <w:t>解除</w:t>
            </w:r>
            <w:r>
              <w:rPr>
                <w:rFonts w:hint="eastAsia" w:asciiTheme="majorEastAsia" w:hAnsiTheme="majorEastAsia" w:eastAsiaTheme="majorEastAsia" w:cstheme="majorEastAsia"/>
                <w:bCs/>
                <w:spacing w:val="0"/>
                <w:sz w:val="21"/>
                <w:szCs w:val="21"/>
                <w:lang w:eastAsia="zh-CN"/>
              </w:rPr>
              <w:t>合同，</w:t>
            </w:r>
            <w:r>
              <w:rPr>
                <w:rFonts w:hint="eastAsia" w:asciiTheme="majorEastAsia" w:hAnsiTheme="majorEastAsia" w:eastAsiaTheme="majorEastAsia" w:cstheme="majorEastAsia"/>
                <w:bCs/>
                <w:spacing w:val="0"/>
                <w:sz w:val="21"/>
                <w:szCs w:val="21"/>
                <w:lang w:val="en-US" w:eastAsia="zh-CN"/>
              </w:rPr>
              <w:t>如采购人已支付货款的中标人还应立即退还，</w:t>
            </w:r>
            <w:r>
              <w:rPr>
                <w:rFonts w:hint="eastAsia" w:asciiTheme="majorEastAsia" w:hAnsiTheme="majorEastAsia" w:eastAsiaTheme="majorEastAsia" w:cstheme="majorEastAsia"/>
                <w:bCs/>
                <w:spacing w:val="0"/>
                <w:sz w:val="21"/>
                <w:szCs w:val="21"/>
                <w:lang w:eastAsia="zh-CN"/>
              </w:rPr>
              <w:t>违约金不足以弥补损失的，应赔偿相应损失。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6.</w:t>
            </w:r>
            <w:r>
              <w:rPr>
                <w:rFonts w:hint="eastAsia" w:asciiTheme="majorEastAsia" w:hAnsiTheme="majorEastAsia" w:eastAsiaTheme="majorEastAsia" w:cstheme="majorEastAsia"/>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7.中标人提供的设备经调试验收合格后，在保修期内连续三个月内频繁（平均每月1次或1次以上）出现设备不能正常使用的情况，采购人有权要求中标人免费更换新机或者退货。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8.</w:t>
            </w:r>
            <w:r>
              <w:rPr>
                <w:rFonts w:hint="eastAsia" w:asciiTheme="majorEastAsia" w:hAnsiTheme="majorEastAsia" w:eastAsiaTheme="majorEastAsia" w:cstheme="majorEastAsia"/>
                <w:color w:val="auto"/>
                <w:sz w:val="21"/>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9</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7"/>
                <w:kern w:val="0"/>
                <w:sz w:val="21"/>
                <w:szCs w:val="21"/>
              </w:rPr>
              <w:t>知识产权</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应保证采购人在使用该货物或其任何一部分时，免受第三方提出的侵犯其专利权、商标权、著作权或其他知识产权的起诉。</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7"/>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10</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spacing w:val="7"/>
                <w:kern w:val="0"/>
                <w:sz w:val="21"/>
                <w:szCs w:val="21"/>
              </w:rPr>
              <w:t>其他</w:t>
            </w:r>
            <w:r>
              <w:rPr>
                <w:rFonts w:hint="eastAsia" w:asciiTheme="minorEastAsia" w:hAnsiTheme="minorEastAsia" w:cstheme="minorEastAsia"/>
                <w:spacing w:val="7"/>
                <w:kern w:val="0"/>
                <w:sz w:val="21"/>
                <w:szCs w:val="21"/>
                <w:lang w:val="en-US" w:eastAsia="zh-CN"/>
              </w:rPr>
              <w:t>要求</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eastAsiaTheme="minorEastAsia" w:cstheme="minorEastAsia"/>
                <w:b/>
                <w:bCs/>
                <w:color w:val="FF0000"/>
                <w:spacing w:val="9"/>
                <w:kern w:val="0"/>
                <w:sz w:val="21"/>
                <w:szCs w:val="21"/>
                <w:lang w:val="en-US" w:eastAsia="zh-CN"/>
              </w:rPr>
              <w:t>2.</w:t>
            </w:r>
            <w:r>
              <w:rPr>
                <w:rFonts w:hint="eastAsia" w:asciiTheme="minorEastAsia" w:hAnsiTheme="minorEastAsia" w:eastAsiaTheme="minorEastAsia" w:cstheme="minorEastAsia"/>
                <w:b/>
                <w:bCs/>
                <w:color w:val="FF0000"/>
                <w:spacing w:val="8"/>
                <w:kern w:val="0"/>
                <w:sz w:val="21"/>
                <w:szCs w:val="21"/>
                <w:lang w:val="en-US" w:eastAsia="zh-CN"/>
              </w:rPr>
              <w:t>投标人所投产品（动态心电记录仪（含工作站）、动态血压检测仪（含工作站）），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lang w:val="en-US" w:eastAsia="zh-CN"/>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lang w:val="en-US" w:eastAsia="zh-CN"/>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）项目详细报价</w:t>
      </w:r>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rFonts w:hint="eastAsia"/>
          <w:szCs w:val="21"/>
          <w:lang w:val="en-US" w:eastAsia="zh-CN"/>
        </w:rPr>
      </w:pP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项目实施方案</w:t>
      </w:r>
    </w:p>
    <w:p>
      <w:pPr>
        <w:ind w:left="718" w:leftChars="342" w:firstLine="1417" w:firstLineChars="675"/>
        <w:rPr>
          <w:rFonts w:hint="eastAsia"/>
          <w:szCs w:val="21"/>
          <w:lang w:val="en-US" w:eastAsia="zh-CN"/>
        </w:rPr>
      </w:pPr>
      <w:r>
        <w:rPr>
          <w:rFonts w:hint="eastAsia"/>
          <w:szCs w:val="21"/>
          <w:lang w:val="en-US" w:eastAsia="zh-CN"/>
        </w:rPr>
        <w:t>（11）免费保修期时长</w:t>
      </w:r>
    </w:p>
    <w:p>
      <w:pPr>
        <w:ind w:left="718" w:leftChars="342" w:firstLine="1417" w:firstLineChars="675"/>
        <w:rPr>
          <w:rFonts w:hint="default"/>
          <w:szCs w:val="21"/>
          <w:lang w:val="en-US" w:eastAsia="zh-CN"/>
        </w:rPr>
      </w:pPr>
      <w:r>
        <w:rPr>
          <w:rFonts w:hint="eastAsia"/>
          <w:szCs w:val="21"/>
          <w:lang w:val="en-US" w:eastAsia="zh-CN"/>
        </w:rPr>
        <w:t>（12）同类业绩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141" w:name="_GoBack"/>
      <w:r>
        <w:rPr>
          <w:rFonts w:hint="eastAsia"/>
          <w:szCs w:val="21"/>
        </w:rPr>
        <w:t>投标人认为需要加以说明的其他内容</w:t>
      </w:r>
      <w:bookmarkEnd w:id="141"/>
    </w:p>
    <w:p>
      <w:pPr>
        <w:pStyle w:val="8"/>
      </w:pPr>
    </w:p>
    <w:bookmarkEnd w:id="43"/>
    <w:p>
      <w:pPr>
        <w:ind w:left="718" w:leftChars="342" w:firstLine="1417" w:firstLineChars="675"/>
        <w:rPr>
          <w:szCs w:val="21"/>
        </w:rPr>
      </w:pPr>
    </w:p>
    <w:p>
      <w:pPr>
        <w:ind w:firstLine="426" w:firstLineChars="202"/>
        <w:rPr>
          <w:rFonts w:ascii="宋体" w:hAnsi="宋体"/>
          <w:b/>
          <w:szCs w:val="21"/>
        </w:rPr>
      </w:pPr>
      <w:bookmarkStart w:id="47"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48" w:name="_Hlk72263559"/>
      <w:r>
        <w:rPr>
          <w:rFonts w:hint="eastAsia" w:ascii="宋体" w:hAnsi="宋体"/>
          <w:b/>
          <w:szCs w:val="21"/>
        </w:rPr>
        <w:t>2.关于填写“开标一览表”的说明：“开标一览表”中除“投标总价”外，其他信息不作评审依据。</w:t>
      </w:r>
      <w:bookmarkEnd w:id="47"/>
      <w:bookmarkEnd w:id="48"/>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49"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0"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1" w:name="_Hlk72263588"/>
      <w:r>
        <w:rPr>
          <w:rFonts w:hint="eastAsia"/>
          <w:szCs w:val="21"/>
        </w:rPr>
        <w:t>愿意按照招标文件要求承包上述项目并修补其任何缺陷。</w:t>
      </w:r>
      <w:bookmarkEnd w:id="51"/>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2"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2"/>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0"/>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49"/>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3"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4" w:name="_Hlk72587269"/>
      <w:bookmarkStart w:id="55"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4"/>
      <w:r>
        <w:rPr>
          <w:rFonts w:hint="eastAsia" w:ascii="宋体" w:hAnsi="宋体"/>
          <w:szCs w:val="21"/>
        </w:rPr>
        <w:t>。</w:t>
      </w:r>
    </w:p>
    <w:bookmarkEnd w:id="55"/>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3"/>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6"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7" w:name="_Hlk72257908"/>
      <w:r>
        <w:rPr>
          <w:rFonts w:hint="eastAsia" w:ascii="黑体" w:hAnsi="宋体" w:eastAsia="黑体"/>
          <w:bCs/>
          <w:kern w:val="0"/>
          <w:sz w:val="24"/>
          <w:szCs w:val="32"/>
        </w:rPr>
        <w:t>（二）中小企业声明函、残疾人福利性单位声明函及监狱企业声明函</w:t>
      </w:r>
    </w:p>
    <w:bookmarkEnd w:id="56"/>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10"/>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8"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8"/>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9" w:name="_Hlk73562331"/>
      <w:bookmarkStart w:id="60"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9"/>
    </w:p>
    <w:bookmarkEnd w:id="60"/>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7"/>
    </w:p>
    <w:p>
      <w:pPr>
        <w:pStyle w:val="3"/>
        <w:jc w:val="center"/>
        <w:rPr>
          <w:rFonts w:ascii="黑体" w:eastAsia="黑体"/>
          <w:b w:val="0"/>
          <w:sz w:val="24"/>
          <w:szCs w:val="24"/>
        </w:rPr>
      </w:pPr>
      <w:bookmarkStart w:id="61"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82"/>
        <w:gridCol w:w="969"/>
        <w:gridCol w:w="890"/>
        <w:gridCol w:w="781"/>
        <w:gridCol w:w="766"/>
        <w:gridCol w:w="578"/>
        <w:gridCol w:w="899"/>
        <w:gridCol w:w="571"/>
        <w:gridCol w:w="56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38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969"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890"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78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66"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578"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899"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1382" w:type="dxa"/>
            <w:vAlign w:val="center"/>
          </w:tcPr>
          <w:p>
            <w:pPr>
              <w:jc w:val="center"/>
              <w:rPr>
                <w:rFonts w:ascii="Times New Roman" w:hAnsi="Times New Roman" w:eastAsia="宋体" w:cs="Times New Roman"/>
                <w:bCs/>
                <w:szCs w:val="21"/>
              </w:rPr>
            </w:pPr>
            <w:r>
              <w:rPr>
                <w:rFonts w:hint="eastAsia" w:ascii="宋体" w:hAnsi="宋体" w:eastAsia="宋体" w:cs="宋体"/>
                <w:color w:val="auto"/>
                <w:sz w:val="21"/>
                <w:szCs w:val="21"/>
                <w:lang w:val="en-US" w:eastAsia="zh-CN"/>
              </w:rPr>
              <w:t>动态心电记录仪（含工作站）</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2</w:t>
            </w:r>
          </w:p>
        </w:tc>
        <w:tc>
          <w:tcPr>
            <w:tcW w:w="899" w:type="dxa"/>
            <w:vAlign w:val="center"/>
          </w:tcPr>
          <w:p>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restart"/>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1382" w:type="dxa"/>
            <w:vAlign w:val="center"/>
          </w:tcPr>
          <w:p>
            <w:pPr>
              <w:jc w:val="center"/>
              <w:rPr>
                <w:rFonts w:ascii="Times New Roman" w:hAnsi="Times New Roman" w:eastAsia="宋体" w:cs="Times New Roman"/>
                <w:bCs/>
                <w:szCs w:val="21"/>
              </w:rPr>
            </w:pPr>
            <w:r>
              <w:rPr>
                <w:rFonts w:hint="eastAsia" w:ascii="宋体" w:hAnsi="宋体" w:eastAsia="宋体" w:cs="宋体"/>
                <w:color w:val="auto"/>
                <w:sz w:val="21"/>
                <w:szCs w:val="21"/>
                <w:lang w:val="en-US" w:eastAsia="zh-CN"/>
              </w:rPr>
              <w:t>动态血压监测仪（含工作站）</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ascii="Times New Roman" w:hAnsi="Times New Roman" w:eastAsia="宋体" w:cs="Times New Roman"/>
                <w:bCs/>
                <w:szCs w:val="21"/>
              </w:rPr>
            </w:pPr>
            <w:r>
              <w:rPr>
                <w:rFonts w:hint="eastAsia" w:ascii="宋体" w:hAnsi="宋体" w:cs="宋体"/>
                <w:b w:val="0"/>
                <w:bCs/>
                <w:color w:val="auto"/>
                <w:sz w:val="21"/>
                <w:szCs w:val="21"/>
                <w:lang w:val="en-US" w:eastAsia="zh-CN"/>
              </w:rPr>
              <w:t>3</w:t>
            </w:r>
          </w:p>
        </w:tc>
        <w:tc>
          <w:tcPr>
            <w:tcW w:w="899" w:type="dxa"/>
            <w:vAlign w:val="center"/>
          </w:tcPr>
          <w:p>
            <w:pPr>
              <w:jc w:val="center"/>
              <w:rPr>
                <w:rFonts w:ascii="Times New Roman" w:hAnsi="Times New Roman" w:eastAsia="宋体" w:cs="Times New Roman"/>
                <w:bCs/>
                <w:szCs w:val="21"/>
              </w:rPr>
            </w:pPr>
            <w:r>
              <w:rPr>
                <w:rFonts w:hint="eastAsia" w:ascii="宋体" w:hAnsi="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1"/>
            <w:vAlign w:val="center"/>
          </w:tcPr>
          <w:p>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2"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2"/>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3" w:name="_Hlk72073235"/>
      <w:r>
        <w:rPr>
          <w:rFonts w:hint="eastAsia"/>
          <w:b/>
          <w:sz w:val="24"/>
        </w:rPr>
        <w:t>投标人认为需要涉及的其他内容报价清单</w:t>
      </w:r>
      <w:bookmarkEnd w:id="63"/>
    </w:p>
    <w:p>
      <w:pPr>
        <w:rPr>
          <w:b/>
          <w:bCs/>
        </w:rPr>
      </w:pPr>
    </w:p>
    <w:bookmarkEnd w:id="61"/>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4"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5" w:name="_Hlk72092499"/>
      <w:r>
        <w:rPr>
          <w:rFonts w:hint="eastAsia" w:ascii="黑体" w:eastAsia="黑体"/>
          <w:b w:val="0"/>
          <w:sz w:val="24"/>
        </w:rPr>
        <w:t>法定代表人（负责人）证明书</w:t>
      </w:r>
      <w:bookmarkEnd w:id="65"/>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11"/>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11"/>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6" w:name="_Hlk72092634"/>
      <w:r>
        <w:rPr>
          <w:rFonts w:hint="eastAsia" w:ascii="黑体" w:eastAsia="黑体"/>
          <w:b w:val="0"/>
          <w:kern w:val="0"/>
          <w:sz w:val="24"/>
          <w:szCs w:val="24"/>
        </w:rPr>
        <w:t>实质性条款响应情况表</w:t>
      </w:r>
      <w:bookmarkEnd w:id="66"/>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67"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both"/>
              <w:rPr>
                <w:rFonts w:ascii="宋体" w:hAnsi="宋体"/>
                <w:kern w:val="0"/>
                <w:szCs w:val="21"/>
              </w:rPr>
            </w:pPr>
            <w:r>
              <w:rPr>
                <w:rFonts w:hint="eastAsia" w:ascii="宋体" w:hAnsi="宋体"/>
                <w:kern w:val="0"/>
                <w:szCs w:val="21"/>
                <w:lang w:val="en-US" w:eastAsia="zh-CN"/>
              </w:rPr>
              <w:t>1</w:t>
            </w:r>
          </w:p>
        </w:tc>
        <w:tc>
          <w:tcPr>
            <w:tcW w:w="2664"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4"/>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12"/>
        <w:gridCol w:w="5343"/>
        <w:gridCol w:w="937"/>
        <w:gridCol w:w="681"/>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color w:val="000000" w:themeColor="text1"/>
                <w:sz w:val="21"/>
                <w:szCs w:val="21"/>
                <w14:textFill>
                  <w14:solidFill>
                    <w14:schemeClr w14:val="tx1"/>
                  </w14:solidFill>
                </w14:textFill>
              </w:rPr>
            </w:pPr>
            <w:r>
              <w:rPr>
                <w:rFonts w:hint="eastAsia"/>
                <w:sz w:val="21"/>
                <w:szCs w:val="21"/>
              </w:rPr>
              <w:t>序号</w:t>
            </w:r>
          </w:p>
        </w:tc>
        <w:tc>
          <w:tcPr>
            <w:tcW w:w="418" w:type="pct"/>
            <w:vAlign w:val="center"/>
          </w:tcPr>
          <w:p>
            <w:pPr>
              <w:jc w:val="center"/>
              <w:rPr>
                <w:color w:val="000000" w:themeColor="text1"/>
                <w:sz w:val="21"/>
                <w:szCs w:val="21"/>
                <w14:textFill>
                  <w14:solidFill>
                    <w14:schemeClr w14:val="tx1"/>
                  </w14:solidFill>
                </w14:textFill>
              </w:rPr>
            </w:pPr>
            <w:r>
              <w:rPr>
                <w:rFonts w:hint="eastAsia"/>
                <w:sz w:val="21"/>
                <w:szCs w:val="21"/>
              </w:rPr>
              <w:t>货物名称</w:t>
            </w:r>
          </w:p>
        </w:tc>
        <w:tc>
          <w:tcPr>
            <w:tcW w:w="3132" w:type="pct"/>
            <w:vAlign w:val="center"/>
          </w:tcPr>
          <w:p>
            <w:pPr>
              <w:jc w:val="center"/>
              <w:rPr>
                <w:color w:val="000000" w:themeColor="text1"/>
                <w:sz w:val="21"/>
                <w:szCs w:val="21"/>
                <w14:textFill>
                  <w14:solidFill>
                    <w14:schemeClr w14:val="tx1"/>
                  </w14:solidFill>
                </w14:textFill>
              </w:rPr>
            </w:pPr>
            <w:r>
              <w:rPr>
                <w:rFonts w:hint="eastAsia"/>
                <w:sz w:val="21"/>
                <w:szCs w:val="21"/>
              </w:rPr>
              <w:t>招标技术要求</w:t>
            </w:r>
          </w:p>
        </w:tc>
        <w:tc>
          <w:tcPr>
            <w:tcW w:w="549" w:type="pct"/>
            <w:vAlign w:val="center"/>
          </w:tcPr>
          <w:p>
            <w:pPr>
              <w:jc w:val="center"/>
              <w:rPr>
                <w:color w:val="000000" w:themeColor="text1"/>
                <w:sz w:val="21"/>
                <w:szCs w:val="21"/>
                <w14:textFill>
                  <w14:solidFill>
                    <w14:schemeClr w14:val="tx1"/>
                  </w14:solidFill>
                </w14:textFill>
              </w:rPr>
            </w:pPr>
            <w:r>
              <w:rPr>
                <w:rFonts w:hint="eastAsia"/>
                <w:sz w:val="21"/>
                <w:szCs w:val="21"/>
              </w:rPr>
              <w:t>投标技术响应</w:t>
            </w:r>
          </w:p>
        </w:tc>
        <w:tc>
          <w:tcPr>
            <w:tcW w:w="399" w:type="pct"/>
            <w:vAlign w:val="center"/>
          </w:tcPr>
          <w:p>
            <w:pPr>
              <w:jc w:val="center"/>
              <w:rPr>
                <w:color w:val="000000" w:themeColor="text1"/>
                <w:sz w:val="21"/>
                <w:szCs w:val="21"/>
                <w14:textFill>
                  <w14:solidFill>
                    <w14:schemeClr w14:val="tx1"/>
                  </w14:solidFill>
                </w14:textFill>
              </w:rPr>
            </w:pPr>
            <w:r>
              <w:rPr>
                <w:rFonts w:hint="eastAsia"/>
                <w:sz w:val="21"/>
                <w:szCs w:val="21"/>
              </w:rPr>
              <w:t>偏离情况</w:t>
            </w:r>
          </w:p>
        </w:tc>
        <w:tc>
          <w:tcPr>
            <w:tcW w:w="250" w:type="pct"/>
            <w:vAlign w:val="center"/>
          </w:tcPr>
          <w:p>
            <w:pPr>
              <w:jc w:val="center"/>
              <w:rPr>
                <w:color w:val="000000" w:themeColor="text1"/>
                <w:sz w:val="21"/>
                <w:szCs w:val="21"/>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p>
            <w:pPr>
              <w:jc w:val="center"/>
              <w:rPr>
                <w:color w:val="000000" w:themeColor="text1"/>
                <w:sz w:val="21"/>
                <w:szCs w:val="21"/>
                <w14:textFill>
                  <w14:solidFill>
                    <w14:schemeClr w14:val="tx1"/>
                  </w14:solidFill>
                </w14:textFill>
              </w:rPr>
            </w:pPr>
          </w:p>
        </w:tc>
        <w:tc>
          <w:tcPr>
            <w:tcW w:w="418"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auto"/>
                <w:sz w:val="21"/>
                <w:szCs w:val="21"/>
                <w:lang w:val="en-US" w:eastAsia="zh-CN"/>
              </w:rPr>
              <w:t>动态心电记录仪（含工作站）</w:t>
            </w:r>
          </w:p>
          <w:p>
            <w:pPr>
              <w:jc w:val="cente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auto"/>
                <w:kern w:val="0"/>
                <w:sz w:val="21"/>
                <w:szCs w:val="21"/>
                <w:lang w:val="en-US" w:eastAsia="zh-CN"/>
              </w:rPr>
              <w:t>采样精度≥24位</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18" w:type="pct"/>
            <w:vMerge w:val="continue"/>
            <w:vAlign w:val="center"/>
          </w:tcPr>
          <w:p>
            <w:pPr>
              <w:jc w:val="cente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auto"/>
                <w:kern w:val="0"/>
                <w:sz w:val="21"/>
                <w:szCs w:val="21"/>
                <w:lang w:val="en-US" w:eastAsia="zh-CN"/>
              </w:rPr>
              <w:t>频率响应：0.05Hz-100Hz</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18" w:type="pct"/>
            <w:vMerge w:val="continue"/>
            <w:vAlign w:val="center"/>
          </w:tcPr>
          <w:p>
            <w:pPr>
              <w:jc w:val="cente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auto"/>
                <w:kern w:val="0"/>
                <w:sz w:val="21"/>
                <w:szCs w:val="21"/>
                <w:highlight w:val="none"/>
                <w:lang w:val="en-US" w:eastAsia="zh-CN"/>
              </w:rPr>
              <w:t>能记录3DSensor（加速度传感器）数据以及用户事件</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18" w:type="pct"/>
            <w:vMerge w:val="continue"/>
            <w:vAlign w:val="center"/>
          </w:tcPr>
          <w:p>
            <w:pPr>
              <w:jc w:val="cente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auto"/>
                <w:kern w:val="0"/>
                <w:sz w:val="21"/>
                <w:szCs w:val="21"/>
                <w:highlight w:val="none"/>
                <w:lang w:val="en-US" w:eastAsia="zh-CN"/>
              </w:rPr>
              <w:t>动态心电分析软件可与经验证的动态心电图设备联合使用，适用于患者动态心电数据的导入、回放、测量与分析、编辑、报告和实时显示等</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18" w:type="pct"/>
            <w:vMerge w:val="continue"/>
            <w:vAlign w:val="center"/>
          </w:tcPr>
          <w:p>
            <w:pPr>
              <w:jc w:val="cente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auto"/>
                <w:kern w:val="0"/>
                <w:sz w:val="21"/>
                <w:szCs w:val="21"/>
                <w:highlight w:val="none"/>
                <w:lang w:val="en-US" w:eastAsia="zh-CN"/>
              </w:rPr>
              <w:t>具有自动分析功能：支持用户事件、房早事件、室早事件、心率事件的自动分析；支持心搏检测和分类、心律失常的自动分析、ST段测量等自动分析；</w:t>
            </w:r>
          </w:p>
        </w:tc>
        <w:tc>
          <w:tcPr>
            <w:tcW w:w="549" w:type="pct"/>
          </w:tcPr>
          <w:p>
            <w:pPr>
              <w:rPr>
                <w:rStyle w:val="48"/>
                <w:b w:val="0"/>
                <w:bCs w:val="0"/>
                <w:color w:val="000000" w:themeColor="text1"/>
                <w:sz w:val="21"/>
                <w:szCs w:val="21"/>
                <w14:textFill>
                  <w14:solidFill>
                    <w14:schemeClr w14:val="tx1"/>
                  </w14:solidFill>
                </w14:textFill>
              </w:rPr>
            </w:pPr>
          </w:p>
        </w:tc>
        <w:tc>
          <w:tcPr>
            <w:tcW w:w="399" w:type="pct"/>
          </w:tcPr>
          <w:p>
            <w:pPr>
              <w:rPr>
                <w:rStyle w:val="48"/>
                <w:b w:val="0"/>
                <w:bCs w:val="0"/>
                <w:color w:val="000000" w:themeColor="text1"/>
                <w:sz w:val="21"/>
                <w:szCs w:val="21"/>
                <w14:textFill>
                  <w14:solidFill>
                    <w14:schemeClr w14:val="tx1"/>
                  </w14:solidFill>
                </w14:textFill>
              </w:rPr>
            </w:pPr>
          </w:p>
        </w:tc>
        <w:tc>
          <w:tcPr>
            <w:tcW w:w="250" w:type="pct"/>
          </w:tcPr>
          <w:p>
            <w:pPr>
              <w:rPr>
                <w:rStyle w:val="48"/>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18" w:type="pct"/>
            <w:vMerge w:val="continue"/>
            <w:vAlign w:val="center"/>
          </w:tcPr>
          <w:p>
            <w:pPr>
              <w:jc w:val="cente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auto"/>
                <w:kern w:val="0"/>
                <w:sz w:val="21"/>
                <w:szCs w:val="21"/>
                <w:lang w:val="en-US" w:eastAsia="zh-CN"/>
              </w:rPr>
              <w:t>自动识别心搏类型，显示起搏直方图</w:t>
            </w:r>
            <w:r>
              <w:rPr>
                <w:rFonts w:hint="eastAsia" w:ascii="宋体" w:hAnsi="宋体" w:cs="宋体"/>
                <w:color w:val="auto"/>
                <w:kern w:val="0"/>
                <w:sz w:val="21"/>
                <w:szCs w:val="21"/>
                <w:lang w:val="en-US" w:eastAsia="zh-CN"/>
              </w:rPr>
              <w:t>；</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18" w:type="pct"/>
            <w:vMerge w:val="continue"/>
            <w:vAlign w:val="center"/>
          </w:tcPr>
          <w:p>
            <w:pPr>
              <w:jc w:val="cente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color w:val="auto"/>
                <w:kern w:val="0"/>
                <w:sz w:val="21"/>
                <w:szCs w:val="21"/>
                <w:lang w:val="en-US" w:eastAsia="zh-CN"/>
              </w:rPr>
              <w:t>支持导联纠错功能及分段导联纠错功能；</w:t>
            </w:r>
          </w:p>
        </w:tc>
        <w:tc>
          <w:tcPr>
            <w:tcW w:w="549" w:type="pct"/>
          </w:tcPr>
          <w:p>
            <w:pPr>
              <w:rPr>
                <w:b/>
                <w:bCs/>
                <w:color w:val="FF0000"/>
                <w:sz w:val="21"/>
                <w:szCs w:val="21"/>
              </w:rPr>
            </w:pPr>
          </w:p>
        </w:tc>
        <w:tc>
          <w:tcPr>
            <w:tcW w:w="399" w:type="pct"/>
          </w:tcPr>
          <w:p>
            <w:pPr>
              <w:rPr>
                <w:b/>
                <w:bCs/>
                <w:color w:val="FF0000"/>
                <w:sz w:val="21"/>
                <w:szCs w:val="21"/>
              </w:rPr>
            </w:pPr>
          </w:p>
        </w:tc>
        <w:tc>
          <w:tcPr>
            <w:tcW w:w="250"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18" w:type="pct"/>
            <w:vMerge w:val="continue"/>
            <w:vAlign w:val="center"/>
          </w:tcPr>
          <w:p>
            <w:pPr>
              <w:jc w:val="cente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color w:val="auto"/>
                <w:kern w:val="0"/>
                <w:sz w:val="21"/>
                <w:szCs w:val="21"/>
                <w:lang w:val="en-US" w:eastAsia="zh-CN"/>
              </w:rPr>
              <w:t>具备Lorenz散点图、差值散点图、组合散点图分析；</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18" w:type="pct"/>
            <w:vMerge w:val="continue"/>
            <w:vAlign w:val="center"/>
          </w:tcPr>
          <w:p>
            <w:pPr>
              <w:jc w:val="cente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color w:val="auto"/>
                <w:kern w:val="0"/>
                <w:sz w:val="21"/>
                <w:szCs w:val="21"/>
                <w:lang w:val="en-US" w:eastAsia="zh-CN"/>
              </w:rPr>
              <w:t>支持P波反混淆快速区分P波形态差异心搏；支持快速筛查房颤和自动分析房颤功能</w:t>
            </w:r>
            <w:r>
              <w:rPr>
                <w:rFonts w:hint="eastAsia" w:ascii="宋体" w:hAnsi="宋体" w:cs="宋体"/>
                <w:color w:val="auto"/>
                <w:kern w:val="0"/>
                <w:sz w:val="21"/>
                <w:szCs w:val="21"/>
                <w:lang w:val="en-US" w:eastAsia="zh-CN"/>
              </w:rPr>
              <w:t>；</w:t>
            </w:r>
          </w:p>
        </w:tc>
        <w:tc>
          <w:tcPr>
            <w:tcW w:w="549" w:type="pct"/>
          </w:tcPr>
          <w:p>
            <w:pPr>
              <w:rPr>
                <w:b/>
                <w:bCs/>
                <w:color w:val="FF0000"/>
                <w:sz w:val="21"/>
                <w:szCs w:val="21"/>
              </w:rPr>
            </w:pPr>
          </w:p>
        </w:tc>
        <w:tc>
          <w:tcPr>
            <w:tcW w:w="399" w:type="pct"/>
          </w:tcPr>
          <w:p>
            <w:pPr>
              <w:rPr>
                <w:b/>
                <w:bCs/>
                <w:color w:val="FF0000"/>
                <w:sz w:val="21"/>
                <w:szCs w:val="21"/>
              </w:rPr>
            </w:pPr>
          </w:p>
        </w:tc>
        <w:tc>
          <w:tcPr>
            <w:tcW w:w="250"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31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color w:val="auto"/>
                <w:kern w:val="0"/>
                <w:sz w:val="21"/>
                <w:szCs w:val="21"/>
                <w:lang w:val="en-US" w:eastAsia="zh-CN"/>
              </w:rPr>
              <w:t>支持ST段扫描和参数编辑，可调整任意导联抬高压低参数；</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color w:val="auto"/>
                <w:kern w:val="0"/>
                <w:sz w:val="21"/>
                <w:szCs w:val="21"/>
                <w:lang w:val="en-US" w:eastAsia="zh-CN"/>
              </w:rPr>
              <w:t>有诊断结论模板，为医生诊断提供长时间、连续且分析全面的心电数据依据</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0" w:type="auto"/>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tabs>
                <w:tab w:val="left" w:pos="332"/>
              </w:tabs>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lang w:val="en-US" w:eastAsia="zh-CN" w:bidi="ar-SA"/>
              </w:rPr>
              <w:t>12．</w:t>
            </w:r>
            <w:r>
              <w:rPr>
                <w:rFonts w:hint="eastAsia" w:ascii="宋体" w:hAnsi="宋体" w:eastAsia="宋体" w:cs="宋体"/>
                <w:color w:val="auto"/>
                <w:kern w:val="0"/>
                <w:sz w:val="21"/>
                <w:szCs w:val="21"/>
                <w:lang w:val="en-US" w:eastAsia="zh-CN"/>
              </w:rPr>
              <w:t>可接入心电系统</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41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动态血压监测仪（含工作站）</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lang w:val="en-US" w:eastAsia="zh-CN"/>
              </w:rPr>
              <w:t>净重量≤210g</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可测量并记录250条数据</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数据存储器：闪存储存</w:t>
            </w:r>
            <w:r>
              <w:rPr>
                <w:rFonts w:hint="eastAsia" w:ascii="宋体" w:hAnsi="宋体" w:cs="宋体"/>
                <w:color w:val="auto"/>
                <w:kern w:val="0"/>
                <w:sz w:val="21"/>
                <w:szCs w:val="21"/>
                <w:lang w:val="en-US" w:eastAsia="zh-CN"/>
              </w:rPr>
              <w:t>至少</w:t>
            </w:r>
            <w:r>
              <w:rPr>
                <w:rFonts w:hint="eastAsia" w:ascii="宋体" w:hAnsi="宋体" w:eastAsia="宋体" w:cs="宋体"/>
                <w:color w:val="auto"/>
                <w:kern w:val="0"/>
                <w:sz w:val="21"/>
                <w:szCs w:val="21"/>
                <w:lang w:val="en-US" w:eastAsia="zh-CN"/>
              </w:rPr>
              <w:t>300个读数</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rPr>
              <w:t>配备安全系统，有过压保护</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支持多个独立可程序化周期</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配备体位记录功能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lang w:val="en-US" w:eastAsia="zh-CN"/>
              </w:rPr>
              <w:t>可设置防止病人随意按键</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lang w:val="en-US" w:eastAsia="zh-CN"/>
              </w:rPr>
              <w:t>能清晰显示收缩压、舒张压、心率数值</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支持血压波形记录功能</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血压读数的分辨率为1mmHg，脉率读数分辨率为1BPM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rPr>
              <w:t>支持统计计算血压平滑指数，晨峰系数，血压变异系数，动脉硬化指数</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支持血压比较分析功能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lang w:val="en-US" w:eastAsia="zh-CN"/>
              </w:rPr>
              <w:t>支持智能检索功能</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可进行自定义配置</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7．</w:t>
            </w:r>
            <w:r>
              <w:rPr>
                <w:rFonts w:hint="eastAsia" w:ascii="宋体" w:hAnsi="宋体" w:eastAsia="宋体" w:cs="宋体"/>
                <w:color w:val="auto"/>
                <w:kern w:val="0"/>
                <w:sz w:val="21"/>
                <w:szCs w:val="21"/>
                <w:lang w:val="en-US" w:eastAsia="zh-CN"/>
              </w:rPr>
              <w:t>血压监测仪袖带压力超过40.0kPa(300mmHg)时应自动打开电磁阀放气</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lang w:val="en-US" w:eastAsia="zh-CN" w:bidi="ar-SA"/>
              </w:rPr>
              <w:t>8．</w:t>
            </w:r>
            <w:r>
              <w:rPr>
                <w:rFonts w:hint="eastAsia" w:ascii="宋体" w:hAnsi="宋体" w:eastAsia="宋体" w:cs="宋体"/>
                <w:color w:val="auto"/>
                <w:kern w:val="0"/>
                <w:sz w:val="21"/>
                <w:szCs w:val="21"/>
                <w:highlight w:val="none"/>
                <w:lang w:val="en-US" w:eastAsia="zh-CN"/>
              </w:rPr>
              <w:t>在静态连续低压状态下测量，在刻度范围内重复测量的读数之间，测量精度±4 mmHg</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9．</w:t>
            </w:r>
            <w:r>
              <w:rPr>
                <w:rFonts w:hint="eastAsia" w:ascii="宋体" w:hAnsi="宋体" w:eastAsia="宋体" w:cs="宋体"/>
                <w:color w:val="auto"/>
                <w:kern w:val="0"/>
                <w:sz w:val="21"/>
                <w:szCs w:val="21"/>
                <w:lang w:val="en-US" w:eastAsia="zh-CN"/>
              </w:rPr>
              <w:t>可进行数据分析、辅助医生诊断，并进行相关图分析</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18"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lang w:val="en-US" w:eastAsia="zh-CN" w:bidi="ar-SA"/>
              </w:rPr>
              <w:t>10．</w:t>
            </w:r>
            <w:r>
              <w:rPr>
                <w:rFonts w:hint="eastAsia" w:ascii="宋体" w:hAnsi="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lang w:val="en-US" w:eastAsia="zh-CN"/>
              </w:rPr>
              <w:t>接入心电系统</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8" w:name="_Hlk72095977"/>
      <w:r>
        <w:rPr>
          <w:rFonts w:hint="eastAsia"/>
          <w:sz w:val="21"/>
          <w:szCs w:val="21"/>
        </w:rPr>
        <w:t>证明资料【如有的话，提供的证明资料应统一编号（排序），格式自定】</w:t>
      </w:r>
      <w:bookmarkEnd w:id="68"/>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9" w:name="_Hlk72094407"/>
      <w:r>
        <w:rPr>
          <w:rFonts w:hint="eastAsia"/>
          <w:b w:val="0"/>
          <w:bCs/>
          <w:sz w:val="21"/>
          <w:szCs w:val="21"/>
        </w:rPr>
        <w:t>对应“用户需求书”中的“技术要求”章节</w:t>
      </w:r>
      <w:bookmarkEnd w:id="69"/>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0" w:name="_Hlk72158270"/>
      <w:r>
        <w:rPr>
          <w:rFonts w:hint="eastAsia"/>
          <w:b w:val="0"/>
          <w:bCs/>
          <w:sz w:val="21"/>
          <w:szCs w:val="21"/>
        </w:rPr>
        <w:t>“偏离情况”</w:t>
      </w:r>
      <w:bookmarkEnd w:id="70"/>
      <w:r>
        <w:rPr>
          <w:rFonts w:hint="eastAsia"/>
          <w:b w:val="0"/>
          <w:bCs/>
          <w:sz w:val="21"/>
          <w:szCs w:val="21"/>
        </w:rPr>
        <w:t>一栏填写如实填写“正偏离”、“负偏离”或“无偏离”，其中：</w:t>
      </w:r>
      <w:bookmarkStart w:id="71" w:name="_Hlk72093866"/>
      <w:r>
        <w:rPr>
          <w:rFonts w:hint="eastAsia"/>
          <w:b w:val="0"/>
          <w:bCs/>
          <w:sz w:val="21"/>
          <w:szCs w:val="21"/>
        </w:rPr>
        <w:t>“正偏离”表示“投标响应优于招标技术要求”，“负偏离”表示“投标响应不满足招标技术要求”，“无偏离”表示“投标响应与招标技术要求一致”</w:t>
      </w:r>
      <w:bookmarkEnd w:id="71"/>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2" w:name="_Hlk72096106"/>
      <w:r>
        <w:rPr>
          <w:rFonts w:hint="eastAsia"/>
          <w:b w:val="0"/>
          <w:bCs/>
          <w:sz w:val="21"/>
          <w:szCs w:val="21"/>
        </w:rPr>
        <w:t>证明资料条款响应要求</w:t>
      </w:r>
      <w:bookmarkEnd w:id="72"/>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3"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4" w:name="_Hlk73558164"/>
      <w:r>
        <w:rPr>
          <w:rFonts w:hint="eastAsia"/>
          <w:b w:val="0"/>
          <w:bCs/>
          <w:sz w:val="21"/>
          <w:szCs w:val="21"/>
        </w:rPr>
        <w:t>且投标人在“偏离情况”一栏响应为“正偏离”或“无偏离”的，经评审委员会认定，将判定为负偏离。</w:t>
      </w:r>
      <w:bookmarkEnd w:id="73"/>
      <w:bookmarkEnd w:id="74"/>
    </w:p>
    <w:p>
      <w:pPr>
        <w:ind w:firstLine="420" w:firstLineChars="200"/>
        <w:rPr>
          <w:b w:val="0"/>
          <w:bCs/>
          <w:sz w:val="21"/>
          <w:szCs w:val="21"/>
        </w:rPr>
      </w:pPr>
      <w:r>
        <w:rPr>
          <w:rFonts w:hint="eastAsia"/>
          <w:b w:val="0"/>
          <w:bCs/>
          <w:sz w:val="21"/>
          <w:szCs w:val="21"/>
        </w:rPr>
        <w:t>6、</w:t>
      </w:r>
      <w:bookmarkStart w:id="75" w:name="_Hlk72096137"/>
      <w:r>
        <w:rPr>
          <w:rFonts w:hint="eastAsia"/>
          <w:b w:val="0"/>
          <w:bCs/>
          <w:sz w:val="21"/>
          <w:szCs w:val="21"/>
        </w:rPr>
        <w:t>表后“证明资料”部分内容的编制</w:t>
      </w:r>
      <w:bookmarkEnd w:id="75"/>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6" w:name="_Hlk73558180"/>
      <w:r>
        <w:rPr>
          <w:rFonts w:hint="eastAsia"/>
          <w:b w:val="0"/>
          <w:bCs/>
          <w:sz w:val="21"/>
          <w:szCs w:val="21"/>
        </w:rPr>
        <w:t>未按照招标文件要求在表后放置证明材料的供应商将承担不利后果，经评审委员会认定，相关技术要求将判定为负偏离。</w:t>
      </w:r>
      <w:bookmarkEnd w:id="76"/>
    </w:p>
    <w:p>
      <w:pPr>
        <w:ind w:firstLine="420" w:firstLineChars="200"/>
        <w:rPr>
          <w:b w:val="0"/>
          <w:bCs/>
          <w:sz w:val="21"/>
          <w:szCs w:val="21"/>
        </w:rPr>
      </w:pPr>
      <w:r>
        <w:rPr>
          <w:rFonts w:hint="eastAsia"/>
          <w:b w:val="0"/>
          <w:bCs/>
          <w:sz w:val="21"/>
          <w:szCs w:val="21"/>
        </w:rPr>
        <w:t>7、</w:t>
      </w:r>
      <w:bookmarkStart w:id="77" w:name="_Hlk72096176"/>
      <w:r>
        <w:rPr>
          <w:rFonts w:hint="eastAsia"/>
          <w:b w:val="0"/>
          <w:bCs/>
          <w:sz w:val="21"/>
          <w:szCs w:val="21"/>
        </w:rPr>
        <w:t>证明资料的形式及其它具体要求</w:t>
      </w:r>
      <w:bookmarkEnd w:id="77"/>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78"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8"/>
    </w:p>
    <w:p>
      <w:pPr>
        <w:rPr>
          <w:sz w:val="24"/>
        </w:rPr>
      </w:pPr>
    </w:p>
    <w:p>
      <w:pPr>
        <w:pStyle w:val="3"/>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十、项目实施方案</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十一、免费保修期时长</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十二、同类业绩</w:t>
      </w:r>
    </w:p>
    <w:p>
      <w:pPr>
        <w:pStyle w:val="3"/>
        <w:jc w:val="center"/>
        <w:rPr>
          <w:rFonts w:ascii="黑体" w:eastAsia="黑体"/>
          <w:b w:val="0"/>
          <w:bCs w:val="0"/>
          <w:sz w:val="24"/>
          <w:szCs w:val="20"/>
        </w:rPr>
      </w:pPr>
      <w:bookmarkStart w:id="79" w:name="_Hlk72260576"/>
      <w:r>
        <w:rPr>
          <w:rFonts w:hint="eastAsia" w:ascii="黑体" w:eastAsia="黑体"/>
          <w:b w:val="0"/>
          <w:bCs w:val="0"/>
          <w:sz w:val="24"/>
          <w:szCs w:val="20"/>
          <w:lang w:val="en-US" w:eastAsia="zh-CN"/>
        </w:rPr>
        <w:t>十三</w:t>
      </w:r>
      <w:r>
        <w:rPr>
          <w:rFonts w:hint="eastAsia" w:ascii="黑体" w:eastAsia="黑体"/>
          <w:b w:val="0"/>
          <w:bCs w:val="0"/>
          <w:sz w:val="24"/>
          <w:szCs w:val="20"/>
        </w:rPr>
        <w:t>、</w:t>
      </w:r>
      <w:bookmarkStart w:id="80" w:name="_Hlk72062872"/>
      <w:r>
        <w:rPr>
          <w:rFonts w:hint="eastAsia" w:ascii="黑体" w:eastAsia="黑体"/>
          <w:b w:val="0"/>
          <w:bCs w:val="0"/>
          <w:sz w:val="24"/>
          <w:szCs w:val="20"/>
        </w:rPr>
        <w:t>投标人认为需要加以说明的其他内容</w:t>
      </w:r>
      <w:bookmarkEnd w:id="80"/>
    </w:p>
    <w:bookmarkEnd w:id="79"/>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1"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1"/>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2"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2"/>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2"/>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3"/>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2"/>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2"/>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2"/>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4"/>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3" w:name="_Toc27624"/>
      <w:r>
        <w:rPr>
          <w:rFonts w:hint="eastAsia" w:ascii="黑体" w:hAnsi="黑体" w:eastAsia="黑体" w:cs="Times New Roman"/>
          <w:b w:val="0"/>
          <w:bCs w:val="0"/>
          <w:kern w:val="2"/>
          <w:sz w:val="28"/>
          <w:szCs w:val="28"/>
          <w:lang w:val="en-US" w:eastAsia="zh-CN" w:bidi="ar-SA"/>
        </w:rPr>
        <w:t>第二节 政府采购合同通用条款</w:t>
      </w:r>
      <w:bookmarkEnd w:id="83"/>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5"/>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6"/>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7"/>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8"/>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5"/>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6" w:name="_Hlk72399513"/>
      <w:r>
        <w:rPr>
          <w:rFonts w:hint="eastAsia" w:ascii="宋体" w:hAnsi="宋体" w:eastAsia="宋体" w:cs="Times New Roman"/>
          <w:b/>
          <w:bCs/>
          <w:kern w:val="0"/>
          <w:sz w:val="28"/>
          <w:szCs w:val="28"/>
          <w:lang w:val="en-US" w:eastAsia="zh-CN" w:bidi="ar-SA"/>
        </w:rPr>
        <w:t>总则</w:t>
      </w:r>
    </w:p>
    <w:bookmarkEnd w:id="86"/>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7" w:name="_Hlk72399729"/>
      <w:r>
        <w:rPr>
          <w:rFonts w:hint="eastAsia" w:ascii="宋体" w:hAnsi="宋体" w:eastAsia="宋体" w:cs="Times New Roman"/>
          <w:szCs w:val="21"/>
        </w:rPr>
        <w:t>如有需要，政府集中采购机构可以对通用条款的内容进行补充。</w:t>
      </w:r>
      <w:bookmarkEnd w:id="87"/>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8"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9"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8"/>
    <w:p>
      <w:pPr>
        <w:ind w:firstLine="411" w:firstLineChars="196"/>
        <w:rPr>
          <w:rFonts w:ascii="宋体" w:hAnsi="宋体" w:eastAsia="宋体" w:cs="Times New Roman"/>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0"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0"/>
    </w:p>
    <w:p>
      <w:pPr>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1"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1"/>
    <w:p>
      <w:pPr>
        <w:rPr>
          <w:rFonts w:ascii="黑体" w:hAnsi="宋体" w:eastAsia="黑体" w:cs="Times New Roman"/>
          <w:sz w:val="24"/>
        </w:rPr>
      </w:pPr>
      <w:r>
        <w:rPr>
          <w:rFonts w:hint="eastAsia" w:ascii="黑体" w:hAnsi="宋体" w:eastAsia="黑体" w:cs="Times New Roman"/>
          <w:sz w:val="24"/>
        </w:rPr>
        <w:t>15．</w:t>
      </w:r>
      <w:bookmarkStart w:id="92"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2"/>
    <w:p>
      <w:pPr>
        <w:rPr>
          <w:rFonts w:ascii="黑体" w:hAnsi="宋体" w:eastAsia="黑体" w:cs="Times New Roman"/>
          <w:sz w:val="24"/>
        </w:rPr>
      </w:pPr>
      <w:r>
        <w:rPr>
          <w:rFonts w:hint="eastAsia" w:ascii="黑体" w:hAnsi="宋体" w:eastAsia="黑体" w:cs="Times New Roman"/>
          <w:sz w:val="24"/>
        </w:rPr>
        <w:t>18．</w:t>
      </w:r>
      <w:bookmarkStart w:id="93"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3"/>
    <w:p>
      <w:pPr>
        <w:rPr>
          <w:rFonts w:ascii="黑体" w:hAnsi="宋体" w:eastAsia="黑体" w:cs="Times New Roman"/>
          <w:sz w:val="24"/>
        </w:rPr>
      </w:pPr>
      <w:r>
        <w:rPr>
          <w:rFonts w:hint="eastAsia" w:ascii="黑体" w:hAnsi="宋体" w:eastAsia="黑体" w:cs="Times New Roman"/>
          <w:sz w:val="24"/>
        </w:rPr>
        <w:t>19．</w:t>
      </w:r>
      <w:bookmarkStart w:id="94"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4"/>
    <w:p>
      <w:pPr>
        <w:ind w:firstLine="411" w:firstLineChars="196"/>
        <w:rPr>
          <w:rFonts w:ascii="宋体" w:hAnsi="宋体" w:eastAsia="宋体" w:cs="Times New Roman"/>
          <w:szCs w:val="21"/>
        </w:rPr>
      </w:pPr>
      <w:bookmarkStart w:id="96"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6"/>
    <w:p>
      <w:pPr>
        <w:rPr>
          <w:rFonts w:ascii="黑体" w:hAnsi="宋体" w:eastAsia="黑体" w:cs="Times New Roman"/>
          <w:sz w:val="24"/>
        </w:rPr>
      </w:pPr>
      <w:r>
        <w:rPr>
          <w:rFonts w:hint="eastAsia" w:ascii="黑体" w:hAnsi="宋体" w:eastAsia="黑体" w:cs="Times New Roman"/>
          <w:sz w:val="24"/>
        </w:rPr>
        <w:t>21．</w:t>
      </w:r>
      <w:bookmarkStart w:id="97"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pPr>
        <w:rPr>
          <w:rFonts w:ascii="黑体" w:hAnsi="宋体" w:eastAsia="黑体" w:cs="Times New Roman"/>
          <w:sz w:val="24"/>
        </w:rPr>
      </w:pPr>
      <w:r>
        <w:rPr>
          <w:rFonts w:hint="eastAsia" w:ascii="黑体" w:hAnsi="宋体" w:eastAsia="黑体" w:cs="Times New Roman"/>
          <w:sz w:val="24"/>
        </w:rPr>
        <w:t>23．</w:t>
      </w:r>
      <w:bookmarkStart w:id="98"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8"/>
    </w:p>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9"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9"/>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0"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0"/>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1" w:name="_Hlk72436580"/>
      <w:r>
        <w:rPr>
          <w:rFonts w:hint="eastAsia" w:ascii="宋体" w:hAnsi="宋体" w:eastAsia="宋体" w:cs="Times New Roman"/>
        </w:rPr>
        <w:t>评审委员会由采购人代表和评审专家组成。</w:t>
      </w:r>
      <w:bookmarkEnd w:id="101"/>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2"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2"/>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3" w:name="_Toc73517673"/>
      <w:bookmarkStart w:id="104" w:name="_Toc73521581"/>
      <w:bookmarkStart w:id="105" w:name="_Toc73518151"/>
      <w:bookmarkStart w:id="106" w:name="_Toc73521669"/>
      <w:bookmarkStart w:id="107" w:name="_Toc100052400"/>
      <w:r>
        <w:rPr>
          <w:rFonts w:hint="eastAsia" w:ascii="黑体" w:hAnsi="宋体" w:eastAsia="黑体" w:cs="Times New Roman"/>
          <w:sz w:val="24"/>
        </w:rPr>
        <w:t>34．错误的修正</w:t>
      </w:r>
      <w:bookmarkEnd w:id="103"/>
      <w:bookmarkEnd w:id="104"/>
      <w:bookmarkEnd w:id="105"/>
      <w:bookmarkEnd w:id="106"/>
      <w:bookmarkEnd w:id="107"/>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8"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8"/>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9"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0"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0"/>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1"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2"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1"/>
      <w:bookmarkEnd w:id="112"/>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9"/>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3"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3"/>
      <w:bookmarkStart w:id="114"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4"/>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5"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5"/>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6"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6"/>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7" w:name="_Hlk72439043"/>
      <w:r>
        <w:rPr>
          <w:rFonts w:hint="eastAsia" w:ascii="宋体" w:hAnsi="宋体" w:eastAsia="宋体" w:cs="Times New Roman"/>
          <w:b/>
          <w:bCs/>
          <w:kern w:val="0"/>
          <w:sz w:val="28"/>
          <w:szCs w:val="28"/>
          <w:lang w:val="en-US" w:eastAsia="zh-CN" w:bidi="ar-SA"/>
        </w:rPr>
        <w:t>合同的授予与备案</w:t>
      </w:r>
      <w:bookmarkEnd w:id="117"/>
    </w:p>
    <w:p>
      <w:pPr>
        <w:rPr>
          <w:rFonts w:ascii="黑体" w:hAnsi="宋体" w:eastAsia="黑体" w:cs="Times New Roman"/>
          <w:sz w:val="24"/>
        </w:rPr>
      </w:pPr>
      <w:bookmarkStart w:id="118" w:name="_Toc73518157"/>
      <w:bookmarkStart w:id="119" w:name="_Toc73521674"/>
      <w:bookmarkStart w:id="120" w:name="_Toc100052408"/>
      <w:bookmarkStart w:id="121" w:name="_Toc73521586"/>
      <w:bookmarkStart w:id="122" w:name="_Toc73517679"/>
      <w:bookmarkStart w:id="123" w:name="_Hlk72439088"/>
      <w:r>
        <w:rPr>
          <w:rFonts w:hint="eastAsia" w:ascii="黑体" w:hAnsi="宋体" w:eastAsia="黑体" w:cs="Times New Roman"/>
          <w:sz w:val="24"/>
        </w:rPr>
        <w:t>43．合同授予标准</w:t>
      </w:r>
      <w:bookmarkEnd w:id="118"/>
      <w:bookmarkEnd w:id="119"/>
      <w:bookmarkEnd w:id="120"/>
      <w:bookmarkEnd w:id="121"/>
      <w:bookmarkEnd w:id="122"/>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4" w:name="_Toc73521587"/>
      <w:bookmarkStart w:id="125" w:name="_Toc73521675"/>
      <w:bookmarkStart w:id="126" w:name="_Toc100052409"/>
      <w:bookmarkStart w:id="127" w:name="_Toc73517680"/>
      <w:bookmarkStart w:id="128" w:name="_Toc73518158"/>
      <w:r>
        <w:rPr>
          <w:rFonts w:hint="eastAsia" w:ascii="黑体" w:hAnsi="宋体" w:eastAsia="黑体" w:cs="Times New Roman"/>
          <w:sz w:val="24"/>
        </w:rPr>
        <w:t>44．</w:t>
      </w:r>
      <w:bookmarkEnd w:id="124"/>
      <w:bookmarkEnd w:id="125"/>
      <w:bookmarkEnd w:id="126"/>
      <w:bookmarkEnd w:id="127"/>
      <w:bookmarkEnd w:id="128"/>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9" w:name="_Toc100052410"/>
      <w:bookmarkStart w:id="130" w:name="_Toc73521677"/>
      <w:bookmarkStart w:id="131" w:name="_Toc73521589"/>
      <w:bookmarkStart w:id="132" w:name="_Toc73518160"/>
      <w:bookmarkStart w:id="133" w:name="_Toc73517682"/>
      <w:r>
        <w:rPr>
          <w:rFonts w:hint="eastAsia" w:ascii="黑体" w:hAnsi="宋体" w:eastAsia="黑体" w:cs="Times New Roman"/>
          <w:sz w:val="24"/>
        </w:rPr>
        <w:t>45．合同的签订</w:t>
      </w:r>
      <w:bookmarkEnd w:id="129"/>
      <w:bookmarkEnd w:id="130"/>
      <w:bookmarkEnd w:id="131"/>
      <w:bookmarkEnd w:id="132"/>
      <w:bookmarkEnd w:id="133"/>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4" w:name="_Toc73518161"/>
      <w:bookmarkStart w:id="135" w:name="_Toc73521590"/>
      <w:bookmarkStart w:id="136" w:name="_Toc73517683"/>
      <w:bookmarkStart w:id="137" w:name="_Toc100052411"/>
      <w:bookmarkStart w:id="138" w:name="_Toc73521678"/>
      <w:r>
        <w:rPr>
          <w:rFonts w:hint="eastAsia" w:ascii="黑体" w:hAnsi="宋体" w:eastAsia="黑体" w:cs="Times New Roman"/>
          <w:sz w:val="24"/>
        </w:rPr>
        <w:t>46．履约担保</w:t>
      </w:r>
      <w:bookmarkEnd w:id="134"/>
      <w:bookmarkEnd w:id="135"/>
      <w:bookmarkEnd w:id="136"/>
      <w:bookmarkEnd w:id="137"/>
      <w:bookmarkEnd w:id="138"/>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hint="eastAsia" w:ascii="宋体" w:hAnsi="宋体" w:eastAsia="宋体" w:cs="Times New Roman"/>
          <w:szCs w:val="21"/>
        </w:rPr>
        <w:t>政府集中采购机构或采购人不予退还其交纳的谈判保证金，情节严重的，并由主管部门</w:t>
      </w:r>
      <w:bookmarkEnd w:id="139"/>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3"/>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0" w:name="_Hlk75374941"/>
      <w:r>
        <w:rPr>
          <w:rFonts w:hint="eastAsia" w:ascii="宋体" w:hAnsi="宋体" w:eastAsia="宋体" w:cs="Times New Roman"/>
          <w:szCs w:val="21"/>
        </w:rPr>
        <w:t>以联合体形式参与的，质疑应当由组成联合体的所有成员共同提出</w:t>
      </w:r>
      <w:bookmarkEnd w:id="140"/>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58C281DC"/>
    <w:multiLevelType w:val="singleLevel"/>
    <w:tmpl w:val="58C281DC"/>
    <w:lvl w:ilvl="0" w:tentative="0">
      <w:start w:val="1"/>
      <w:numFmt w:val="decimal"/>
      <w:suff w:val="nothing"/>
      <w:lvlText w:val="%1．"/>
      <w:lvlJc w:val="left"/>
      <w:pPr>
        <w:ind w:left="0" w:firstLine="400"/>
      </w:pPr>
      <w:rPr>
        <w:rFonts w:hint="default"/>
      </w:rPr>
    </w:lvl>
  </w:abstractNum>
  <w:abstractNum w:abstractNumId="16">
    <w:nsid w:val="5D7809EB"/>
    <w:multiLevelType w:val="singleLevel"/>
    <w:tmpl w:val="5D7809EB"/>
    <w:lvl w:ilvl="0" w:tentative="0">
      <w:start w:val="1"/>
      <w:numFmt w:val="decimal"/>
      <w:suff w:val="nothing"/>
      <w:lvlText w:val="%1．"/>
      <w:lvlJc w:val="left"/>
      <w:pPr>
        <w:ind w:left="0" w:firstLine="400"/>
      </w:pPr>
      <w:rPr>
        <w:rFonts w:hint="default"/>
      </w:rPr>
    </w:lvl>
  </w:abstractNum>
  <w:abstractNum w:abstractNumId="17">
    <w:nsid w:val="7A0F6431"/>
    <w:multiLevelType w:val="singleLevel"/>
    <w:tmpl w:val="7A0F6431"/>
    <w:lvl w:ilvl="0" w:tentative="0">
      <w:start w:val="1"/>
      <w:numFmt w:val="decimal"/>
      <w:suff w:val="space"/>
      <w:lvlText w:val="%1."/>
      <w:lvlJc w:val="left"/>
    </w:lvl>
  </w:abstractNum>
  <w:abstractNum w:abstractNumId="18">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8"/>
  </w:num>
  <w:num w:numId="6">
    <w:abstractNumId w:val="13"/>
  </w:num>
  <w:num w:numId="7">
    <w:abstractNumId w:val="14"/>
  </w:num>
  <w:num w:numId="8">
    <w:abstractNumId w:val="16"/>
  </w:num>
  <w:num w:numId="9">
    <w:abstractNumId w:val="15"/>
  </w:num>
  <w:num w:numId="10">
    <w:abstractNumId w:val="0"/>
  </w:num>
  <w:num w:numId="11">
    <w:abstractNumId w:val="1"/>
  </w:num>
  <w:num w:numId="12">
    <w:abstractNumId w:val="17"/>
  </w:num>
  <w:num w:numId="13">
    <w:abstractNumId w:val="3"/>
  </w:num>
  <w:num w:numId="14">
    <w:abstractNumId w:val="7"/>
  </w:num>
  <w:num w:numId="15">
    <w:abstractNumId w:val="5"/>
  </w:num>
  <w:num w:numId="16">
    <w:abstractNumId w:val="4"/>
  </w:num>
  <w:num w:numId="17">
    <w:abstractNumId w:val="2"/>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776FF6"/>
    <w:rsid w:val="01B80B7A"/>
    <w:rsid w:val="01E55D35"/>
    <w:rsid w:val="01F72B36"/>
    <w:rsid w:val="02095687"/>
    <w:rsid w:val="02231391"/>
    <w:rsid w:val="02743188"/>
    <w:rsid w:val="02AC10D3"/>
    <w:rsid w:val="02F82C5A"/>
    <w:rsid w:val="034033B2"/>
    <w:rsid w:val="03B866D0"/>
    <w:rsid w:val="03C40B3F"/>
    <w:rsid w:val="03E11E16"/>
    <w:rsid w:val="04833B9D"/>
    <w:rsid w:val="04BF63F6"/>
    <w:rsid w:val="04E470A0"/>
    <w:rsid w:val="04FC5581"/>
    <w:rsid w:val="0513143C"/>
    <w:rsid w:val="05821997"/>
    <w:rsid w:val="05891928"/>
    <w:rsid w:val="05BF24C9"/>
    <w:rsid w:val="05DF0DF0"/>
    <w:rsid w:val="06760E72"/>
    <w:rsid w:val="06C559AF"/>
    <w:rsid w:val="06CE0008"/>
    <w:rsid w:val="07554285"/>
    <w:rsid w:val="0775586D"/>
    <w:rsid w:val="07EC528E"/>
    <w:rsid w:val="081C64DD"/>
    <w:rsid w:val="081E2961"/>
    <w:rsid w:val="083E1B6F"/>
    <w:rsid w:val="08435461"/>
    <w:rsid w:val="08435AFA"/>
    <w:rsid w:val="087109F5"/>
    <w:rsid w:val="0885360A"/>
    <w:rsid w:val="08AF0DE8"/>
    <w:rsid w:val="08BA3444"/>
    <w:rsid w:val="090C7C1B"/>
    <w:rsid w:val="0929095D"/>
    <w:rsid w:val="09493091"/>
    <w:rsid w:val="09BD0D88"/>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213EA8"/>
    <w:rsid w:val="11925F20"/>
    <w:rsid w:val="11B11FDF"/>
    <w:rsid w:val="11C2256C"/>
    <w:rsid w:val="11C91423"/>
    <w:rsid w:val="1203536E"/>
    <w:rsid w:val="123821EC"/>
    <w:rsid w:val="12584AF5"/>
    <w:rsid w:val="1283439D"/>
    <w:rsid w:val="12E96032"/>
    <w:rsid w:val="12EC0F8D"/>
    <w:rsid w:val="12EC20ED"/>
    <w:rsid w:val="13560879"/>
    <w:rsid w:val="138E38E0"/>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8C9258C"/>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720F1A"/>
    <w:rsid w:val="1DCF425D"/>
    <w:rsid w:val="1DE3725E"/>
    <w:rsid w:val="1E330E9C"/>
    <w:rsid w:val="1E340CEE"/>
    <w:rsid w:val="1E9C6591"/>
    <w:rsid w:val="1F507A92"/>
    <w:rsid w:val="1FB1641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4D334FA"/>
    <w:rsid w:val="25735D35"/>
    <w:rsid w:val="25784A9C"/>
    <w:rsid w:val="2596668B"/>
    <w:rsid w:val="25E16A45"/>
    <w:rsid w:val="25F11338"/>
    <w:rsid w:val="25F46AB0"/>
    <w:rsid w:val="27217B54"/>
    <w:rsid w:val="274348DC"/>
    <w:rsid w:val="277D1EE5"/>
    <w:rsid w:val="27A31B59"/>
    <w:rsid w:val="27B87AF2"/>
    <w:rsid w:val="27EE3E21"/>
    <w:rsid w:val="282C216D"/>
    <w:rsid w:val="286C3B37"/>
    <w:rsid w:val="289002C6"/>
    <w:rsid w:val="28B86003"/>
    <w:rsid w:val="28C71A62"/>
    <w:rsid w:val="293801B5"/>
    <w:rsid w:val="298A23AD"/>
    <w:rsid w:val="299A59D2"/>
    <w:rsid w:val="2B033371"/>
    <w:rsid w:val="2B067EC8"/>
    <w:rsid w:val="2B3A56AF"/>
    <w:rsid w:val="2B41352D"/>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B1A41"/>
    <w:rsid w:val="351D0A98"/>
    <w:rsid w:val="354F755A"/>
    <w:rsid w:val="355C0DE1"/>
    <w:rsid w:val="35893F26"/>
    <w:rsid w:val="35923A74"/>
    <w:rsid w:val="35F03911"/>
    <w:rsid w:val="361D3B28"/>
    <w:rsid w:val="36342427"/>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BFF2089"/>
    <w:rsid w:val="3C002C09"/>
    <w:rsid w:val="3C56385D"/>
    <w:rsid w:val="3C895347"/>
    <w:rsid w:val="3CDF3135"/>
    <w:rsid w:val="3CE41001"/>
    <w:rsid w:val="3D177A29"/>
    <w:rsid w:val="3D1D0F09"/>
    <w:rsid w:val="3D4153BD"/>
    <w:rsid w:val="3D5F6F75"/>
    <w:rsid w:val="3D605B64"/>
    <w:rsid w:val="3D6E7621"/>
    <w:rsid w:val="3DB66D48"/>
    <w:rsid w:val="3DFA733B"/>
    <w:rsid w:val="3DFB5183"/>
    <w:rsid w:val="3E42676A"/>
    <w:rsid w:val="3E870B6E"/>
    <w:rsid w:val="3F26350E"/>
    <w:rsid w:val="3F2B5786"/>
    <w:rsid w:val="3F3E428E"/>
    <w:rsid w:val="3F513CB1"/>
    <w:rsid w:val="3FA86688"/>
    <w:rsid w:val="3FB269C3"/>
    <w:rsid w:val="3FD032C7"/>
    <w:rsid w:val="3FD34F34"/>
    <w:rsid w:val="3FDB1D7E"/>
    <w:rsid w:val="405F4E39"/>
    <w:rsid w:val="406D3E71"/>
    <w:rsid w:val="40767C0D"/>
    <w:rsid w:val="40D93256"/>
    <w:rsid w:val="40E45FD9"/>
    <w:rsid w:val="410061AC"/>
    <w:rsid w:val="413E22CD"/>
    <w:rsid w:val="41571D6E"/>
    <w:rsid w:val="41B06223"/>
    <w:rsid w:val="41B829D4"/>
    <w:rsid w:val="41E77728"/>
    <w:rsid w:val="41F416B1"/>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7F154BA"/>
    <w:rsid w:val="48186FE3"/>
    <w:rsid w:val="48C3442B"/>
    <w:rsid w:val="48D43EA7"/>
    <w:rsid w:val="48EA0098"/>
    <w:rsid w:val="48ED46B3"/>
    <w:rsid w:val="4939352B"/>
    <w:rsid w:val="49451217"/>
    <w:rsid w:val="496D4057"/>
    <w:rsid w:val="49807693"/>
    <w:rsid w:val="49B826FF"/>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855D03"/>
    <w:rsid w:val="4FCD0FCF"/>
    <w:rsid w:val="4FDB49B8"/>
    <w:rsid w:val="4FEC07C0"/>
    <w:rsid w:val="4FF35972"/>
    <w:rsid w:val="4FF813ED"/>
    <w:rsid w:val="50043987"/>
    <w:rsid w:val="502F5B05"/>
    <w:rsid w:val="50382367"/>
    <w:rsid w:val="505144B9"/>
    <w:rsid w:val="509960DB"/>
    <w:rsid w:val="50DC01CF"/>
    <w:rsid w:val="50F67A62"/>
    <w:rsid w:val="510E78E7"/>
    <w:rsid w:val="51574F3C"/>
    <w:rsid w:val="51D73B45"/>
    <w:rsid w:val="51F21254"/>
    <w:rsid w:val="51F4650C"/>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C567AC"/>
    <w:rsid w:val="58DF11CE"/>
    <w:rsid w:val="597C3E85"/>
    <w:rsid w:val="59B30690"/>
    <w:rsid w:val="5A0C7DA1"/>
    <w:rsid w:val="5A2F24DA"/>
    <w:rsid w:val="5ABF28B9"/>
    <w:rsid w:val="5AC22B45"/>
    <w:rsid w:val="5ADD3C34"/>
    <w:rsid w:val="5B24477E"/>
    <w:rsid w:val="5B743E4F"/>
    <w:rsid w:val="5BCA3A6F"/>
    <w:rsid w:val="5D12364D"/>
    <w:rsid w:val="5D5902D8"/>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990DAC"/>
    <w:rsid w:val="61FC3A17"/>
    <w:rsid w:val="623A3232"/>
    <w:rsid w:val="624C3ACF"/>
    <w:rsid w:val="626A1B08"/>
    <w:rsid w:val="629666C7"/>
    <w:rsid w:val="62A61BBC"/>
    <w:rsid w:val="62D81168"/>
    <w:rsid w:val="633C34A4"/>
    <w:rsid w:val="63723E5E"/>
    <w:rsid w:val="63BA64B1"/>
    <w:rsid w:val="63F2576A"/>
    <w:rsid w:val="63FA13F4"/>
    <w:rsid w:val="64232B20"/>
    <w:rsid w:val="64365814"/>
    <w:rsid w:val="644A1AB0"/>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10EC2"/>
    <w:rsid w:val="677360E3"/>
    <w:rsid w:val="67EC2CD6"/>
    <w:rsid w:val="67F65590"/>
    <w:rsid w:val="689E1934"/>
    <w:rsid w:val="68D357B0"/>
    <w:rsid w:val="68E21A43"/>
    <w:rsid w:val="68F669DD"/>
    <w:rsid w:val="6967137D"/>
    <w:rsid w:val="69962BD5"/>
    <w:rsid w:val="69CB7493"/>
    <w:rsid w:val="69CE2026"/>
    <w:rsid w:val="69D4537F"/>
    <w:rsid w:val="6A365264"/>
    <w:rsid w:val="6AB30BF4"/>
    <w:rsid w:val="6AD0599B"/>
    <w:rsid w:val="6AED590E"/>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4CC6FAE"/>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0347"/>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19958</Words>
  <Characters>20894</Characters>
  <Lines>368</Lines>
  <Paragraphs>103</Paragraphs>
  <TotalTime>59</TotalTime>
  <ScaleCrop>false</ScaleCrop>
  <LinksUpToDate>false</LinksUpToDate>
  <CharactersWithSpaces>21571</CharactersWithSpaces>
  <Application>WPS Office_12.8.2.16927_F1E327BC-269C-435d-A152-05C5408002CA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陈凯锋</cp:lastModifiedBy>
  <cp:lastPrinted>2021-05-16T11:04:00Z</cp:lastPrinted>
  <dcterms:modified xsi:type="dcterms:W3CDTF">2025-12-02T12:00:57Z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2052-12.8.2.16927</vt:lpwstr>
  </property>
  <property fmtid="{D5CDD505-2E9C-101B-9397-08002B2CF9AE}" pid="3" name="ICV">
    <vt:lpwstr>17DFE34681374F809A5A576166B41EA1_13</vt:lpwstr>
  </property>
  <property fmtid="{D5CDD505-2E9C-101B-9397-08002B2CF9AE}" pid="4" name="KSOTemplateDocerSaveRecord">
    <vt:lpwstr>eyJoZGlkIjoiN2FiYTYwOTNkMDM4NjI5ZDE0MmQxMTMyMDk2OWEyMWQiLCJ1c2VySWQiOiIyNjU3NTI0OTEifQ==</vt:lpwstr>
  </property>
</Properties>
</file>