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widowControl/>
        <w:jc w:val="center"/>
        <w:outlineLvl w:val="1"/>
        <w:rPr>
          <w:rFonts w:ascii="黑体" w:hAnsi="宋体" w:eastAsia="黑体" w:cs="黑体"/>
          <w:sz w:val="40"/>
          <w:szCs w:val="40"/>
        </w:rPr>
      </w:pPr>
      <w:bookmarkStart w:id="0" w:name="_Hlk71456902"/>
      <w:r>
        <w:rPr>
          <w:rFonts w:hint="eastAsia" w:ascii="黑体" w:hAnsi="宋体" w:eastAsia="黑体" w:cs="黑体"/>
          <w:sz w:val="40"/>
          <w:szCs w:val="40"/>
        </w:rPr>
        <w:t>招标文件信息</w:t>
      </w:r>
    </w:p>
    <w:tbl>
      <w:tblPr>
        <w:tblStyle w:val="44"/>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sz w:val="30"/>
                <w:szCs w:val="30"/>
              </w:rPr>
            </w:pPr>
            <w:r>
              <w:rPr>
                <w:rFonts w:hint="eastAsia"/>
                <w:sz w:val="30"/>
                <w:szCs w:val="30"/>
              </w:rPr>
              <w:t>DPZXCG-2025-00052</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widowControl/>
              <w:jc w:val="left"/>
              <w:rPr>
                <w:rFonts w:hint="default" w:eastAsia="宋体"/>
                <w:sz w:val="30"/>
                <w:szCs w:val="30"/>
                <w:lang w:val="en-US" w:eastAsia="zh-CN"/>
              </w:rPr>
            </w:pPr>
            <w:r>
              <w:rPr>
                <w:rFonts w:hint="eastAsia"/>
                <w:sz w:val="30"/>
                <w:szCs w:val="30"/>
              </w:rPr>
              <w:t>初级脑健康中心设备</w:t>
            </w:r>
            <w:r>
              <w:rPr>
                <w:rFonts w:hint="eastAsia"/>
                <w:sz w:val="30"/>
                <w:szCs w:val="30"/>
                <w:lang w:val="en-US" w:eastAsia="zh-CN"/>
              </w:rPr>
              <w:t>采购项目</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pStyle w:val="39"/>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39"/>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lang w:val="en-US" w:eastAsia="zh-CN"/>
              </w:rPr>
              <w:t>不得</w:t>
            </w:r>
            <w:r>
              <w:rPr>
                <w:rFonts w:hint="eastAsia"/>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分项报价或投标总价</w:t>
            </w:r>
            <w:r>
              <w:rPr>
                <w:rFonts w:hint="eastAsia"/>
                <w:lang w:val="en-US" w:eastAsia="zh-CN"/>
              </w:rPr>
              <w:t>不得</w:t>
            </w:r>
            <w:r>
              <w:rPr>
                <w:rFonts w:hint="eastAsia"/>
              </w:rPr>
              <w:t>高于</w:t>
            </w:r>
            <w:bookmarkStart w:id="1" w:name="_Hlk71832186"/>
            <w:r>
              <w:rPr>
                <w:rFonts w:hint="eastAsia"/>
              </w:rPr>
              <w:t>相应预算金额（或设定的预算金额下的最高限价）</w:t>
            </w:r>
            <w:bookmarkEnd w:id="1"/>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lang w:eastAsia="zh-CN"/>
              </w:rPr>
              <w:t>；</w:t>
            </w:r>
            <w:r>
              <w:rPr>
                <w:rFonts w:hint="eastAsia"/>
                <w:lang w:val="en-US" w:eastAsia="zh-CN"/>
              </w:rPr>
              <w:t>若招标文件未设置实质性条款，不得据此做投标无效处理</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未按招标文件所提供的样式填写《投标函》；未按招标文件所提供的《采购投标及履约承诺函》进行承诺；未按招标文件对投标文件组成的要求提供投标文件；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rPr>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rPr>
            </w:pPr>
            <w:r>
              <w:rPr>
                <w:rFonts w:hint="eastAsia"/>
                <w:lang w:val="en-US" w:eastAsia="zh-CN"/>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eastAsia="宋体"/>
                <w:szCs w:val="21"/>
                <w:lang w:eastAsia="zh-CN"/>
              </w:rPr>
            </w:pPr>
            <w:r>
              <w:rPr>
                <w:rFonts w:hint="eastAsia" w:ascii="宋体" w:hAnsi="宋体" w:cs="宋体"/>
                <w:kern w:val="0"/>
                <w:szCs w:val="21"/>
                <w:lang w:val="en-US" w:eastAsia="zh-CN"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投标文件电子文档</w:t>
            </w:r>
            <w:r>
              <w:rPr>
                <w:rFonts w:hint="eastAsia"/>
                <w:lang w:val="en-US" w:eastAsia="zh-CN"/>
              </w:rPr>
              <w:t>不得</w:t>
            </w:r>
            <w:r>
              <w:rPr>
                <w:rFonts w:hint="eastAsia"/>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default" w:ascii="宋体" w:hAnsi="宋体" w:cs="宋体"/>
                <w:kern w:val="0"/>
                <w:szCs w:val="21"/>
                <w:lang w:val="en-US" w:eastAsia="zh-CN" w:bidi="ar"/>
              </w:rPr>
            </w:pPr>
            <w:r>
              <w:rPr>
                <w:rFonts w:hint="eastAsia" w:ascii="宋体" w:hAnsi="宋体" w:cs="宋体"/>
                <w:kern w:val="0"/>
                <w:szCs w:val="21"/>
                <w:lang w:val="en-US" w:eastAsia="zh-CN"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rPr>
            </w:pPr>
            <w:r>
              <w:rPr>
                <w:rFonts w:hint="eastAsia" w:ascii="Times New Roman" w:hAnsi="Times New Roman" w:eastAsia="宋体" w:cs="Times New Roman"/>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default" w:eastAsia="宋体"/>
                <w:szCs w:val="21"/>
                <w:lang w:val="en-US" w:eastAsia="zh-CN"/>
              </w:rPr>
            </w:pPr>
            <w:r>
              <w:rPr>
                <w:rFonts w:hint="eastAsia" w:ascii="宋体" w:hAnsi="宋体" w:cs="宋体"/>
                <w:kern w:val="0"/>
                <w:szCs w:val="21"/>
                <w:lang w:val="en-US" w:eastAsia="zh-CN"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法律、法规、规章、规范性文件规定的其他情形。</w:t>
            </w:r>
          </w:p>
        </w:tc>
      </w:tr>
    </w:tbl>
    <w:p>
      <w:pPr>
        <w:pStyle w:val="39"/>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4"/>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jc w:val="left"/>
              <w:rPr>
                <w:rFonts w:ascii="宋体"/>
                <w:b/>
                <w:bCs/>
                <w:sz w:val="21"/>
                <w:szCs w:val="21"/>
              </w:rPr>
            </w:pPr>
            <w:r>
              <w:rPr>
                <w:b/>
                <w:bCs/>
                <w:sz w:val="21"/>
                <w:szCs w:val="21"/>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投标报价得分=(评标基准价／投标报价)×100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评标总得分＝F1×A1＋F2×A2＋……＋Fn×An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F1、F2……Fn分别为各项评审因素的得分；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A1、A2、……An 分别为各项评审因素所占的权重(A1＋A2＋……＋An＝1)。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bookmarkStart w:id="2" w:name="_Hlk72360569"/>
            <w:r>
              <w:rPr>
                <w:rFonts w:ascii="宋体" w:hAnsi="宋体" w:cs="宋体"/>
                <w:b/>
                <w:bCs/>
                <w:kern w:val="0"/>
                <w:sz w:val="21"/>
                <w:szCs w:val="21"/>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rPr>
              <w:t>所投产品一般技术参数（非▲</w:t>
            </w:r>
            <w:r>
              <w:rPr>
                <w:rFonts w:hint="eastAsia" w:ascii="宋体" w:hAnsi="宋体" w:cs="宋体"/>
                <w:sz w:val="21"/>
                <w:szCs w:val="21"/>
                <w:lang w:eastAsia="zh-CN"/>
              </w:rPr>
              <w:t>、</w:t>
            </w:r>
            <w:r>
              <w:rPr>
                <w:rFonts w:hint="eastAsia" w:ascii="Times New Roman" w:hAnsi="Times New Roman" w:eastAsia="宋体" w:cs="Times New Roman"/>
                <w:b/>
                <w:szCs w:val="21"/>
              </w:rPr>
              <w:t>★</w:t>
            </w:r>
            <w:r>
              <w:rPr>
                <w:rFonts w:hint="eastAsia" w:ascii="宋体" w:hAnsi="宋体" w:eastAsia="宋体" w:cs="宋体"/>
                <w:sz w:val="21"/>
                <w:szCs w:val="21"/>
              </w:rPr>
              <w:t>参数）响应情况评价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sz w:val="21"/>
                <w:szCs w:val="21"/>
              </w:rPr>
            </w:pPr>
            <w:r>
              <w:rPr>
                <w:rFonts w:hint="eastAsia" w:ascii="宋体" w:hAnsi="宋体" w:eastAsia="宋体" w:cs="宋体"/>
                <w:sz w:val="21"/>
                <w:szCs w:val="21"/>
                <w:lang w:val="en-US" w:eastAsia="zh-CN"/>
              </w:rPr>
              <w:t>50</w:t>
            </w:r>
            <w:r>
              <w:rPr>
                <w:rFonts w:hint="eastAsia" w:ascii="宋体" w:hAnsi="宋体" w:eastAsia="宋体" w:cs="宋体"/>
                <w:sz w:val="21"/>
                <w:szCs w:val="21"/>
              </w:rPr>
              <w:t xml:space="preserve">  </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bCs/>
                <w:sz w:val="21"/>
                <w:szCs w:val="21"/>
              </w:rPr>
            </w:pPr>
            <w:r>
              <w:rPr>
                <w:rFonts w:hint="eastAsia" w:ascii="宋体" w:hAnsi="宋体" w:eastAsia="宋体" w:cs="宋体"/>
                <w:b/>
                <w:bCs/>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投标人根据“第三章 用户需求书”“技术要求”如实填写《技术要求偏离表》，评审委员会根据投标人的参数响应情况进行评价，所投产品一般技术参数（非“▲</w:t>
            </w:r>
            <w:r>
              <w:rPr>
                <w:rFonts w:hint="eastAsia" w:ascii="宋体" w:hAnsi="宋体" w:cs="宋体"/>
                <w:sz w:val="21"/>
                <w:szCs w:val="21"/>
                <w:lang w:eastAsia="zh-CN"/>
              </w:rPr>
              <w:t>、</w:t>
            </w:r>
            <w:r>
              <w:rPr>
                <w:rFonts w:hint="eastAsia" w:ascii="Times New Roman" w:hAnsi="Times New Roman" w:eastAsia="宋体" w:cs="Times New Roman"/>
                <w:b/>
                <w:szCs w:val="21"/>
              </w:rPr>
              <w:t>★</w:t>
            </w:r>
            <w:r>
              <w:rPr>
                <w:rFonts w:hint="eastAsia" w:ascii="宋体" w:hAnsi="宋体" w:eastAsia="宋体" w:cs="宋体"/>
                <w:sz w:val="21"/>
                <w:szCs w:val="21"/>
              </w:rPr>
              <w:t>”指标项技术参数）全部满足得100分；有负偏离的，每负偏离一项扣</w:t>
            </w:r>
            <w:r>
              <w:rPr>
                <w:rFonts w:hint="eastAsia" w:ascii="宋体" w:hAnsi="宋体" w:cs="宋体"/>
                <w:sz w:val="21"/>
                <w:szCs w:val="21"/>
                <w:lang w:val="en-US" w:eastAsia="zh-CN"/>
              </w:rPr>
              <w:t>5.3</w:t>
            </w:r>
            <w:r>
              <w:rPr>
                <w:rFonts w:hint="eastAsia" w:ascii="宋体" w:hAnsi="宋体" w:eastAsia="宋体" w:cs="宋体"/>
                <w:sz w:val="21"/>
                <w:szCs w:val="21"/>
              </w:rPr>
              <w:t>分，扣完为止。</w:t>
            </w:r>
          </w:p>
          <w:p>
            <w:pPr>
              <w:rPr>
                <w:rFonts w:hint="eastAsia" w:ascii="宋体" w:hAnsi="宋体" w:eastAsia="宋体" w:cs="宋体"/>
                <w:b/>
                <w:bCs/>
                <w:sz w:val="21"/>
                <w:szCs w:val="21"/>
              </w:rPr>
            </w:pPr>
            <w:r>
              <w:rPr>
                <w:rFonts w:hint="eastAsia" w:ascii="宋体" w:hAnsi="宋体" w:eastAsia="宋体" w:cs="宋体"/>
                <w:b/>
                <w:bCs/>
                <w:sz w:val="21"/>
                <w:szCs w:val="21"/>
              </w:rPr>
              <w:t>（二）评分依据：</w:t>
            </w:r>
          </w:p>
          <w:p>
            <w:pPr>
              <w:rPr>
                <w:sz w:val="21"/>
                <w:szCs w:val="21"/>
              </w:rPr>
            </w:pPr>
            <w:r>
              <w:rPr>
                <w:rFonts w:hint="eastAsia" w:ascii="宋体" w:hAnsi="宋体" w:eastAsia="宋体" w:cs="宋体"/>
                <w:sz w:val="21"/>
                <w:szCs w:val="21"/>
                <w:lang w:val="en-US" w:eastAsia="zh-CN"/>
              </w:rPr>
              <w:t>以</w:t>
            </w:r>
            <w:r>
              <w:rPr>
                <w:rFonts w:hint="eastAsia" w:ascii="宋体" w:hAnsi="宋体" w:eastAsia="宋体" w:cs="宋体"/>
                <w:sz w:val="21"/>
                <w:szCs w:val="21"/>
              </w:rPr>
              <w:t>《技术要求偏离表》</w:t>
            </w:r>
            <w:r>
              <w:rPr>
                <w:rFonts w:hint="eastAsia" w:ascii="宋体" w:hAnsi="宋体" w:eastAsia="宋体" w:cs="宋体"/>
                <w:sz w:val="21"/>
                <w:szCs w:val="21"/>
                <w:lang w:val="en-US" w:eastAsia="zh-CN"/>
              </w:rPr>
              <w:t>为准。投标人未按具体的技术参数要求提供相关证明材料或者提供的证明材料不符合要求的或评审专家无法凭所提供资料判断是否得分的，该项参数视为负偏离。技术参数未要求提供证明材料的，则无需提供材料证明，以《技术要求偏离表》响应的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lang w:eastAsia="zh-CN"/>
              </w:rPr>
              <w:t>项目实施</w:t>
            </w:r>
            <w:r>
              <w:rPr>
                <w:rFonts w:hint="eastAsia" w:ascii="宋体" w:hAnsi="宋体" w:eastAsia="宋体" w:cs="宋体"/>
                <w:sz w:val="21"/>
                <w:szCs w:val="21"/>
              </w:rPr>
              <w:t>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lang w:val="en-US" w:eastAsia="zh-CN"/>
              </w:rPr>
              <w:t>投标人</w:t>
            </w:r>
            <w:r>
              <w:rPr>
                <w:rFonts w:hint="eastAsia" w:ascii="宋体" w:hAnsi="宋体" w:eastAsia="宋体" w:cs="宋体"/>
                <w:sz w:val="21"/>
                <w:szCs w:val="21"/>
              </w:rPr>
              <w:t>提供配项目实施方案，内容</w:t>
            </w:r>
            <w:r>
              <w:rPr>
                <w:rFonts w:hint="eastAsia" w:ascii="宋体" w:hAnsi="宋体" w:eastAsia="宋体" w:cs="宋体"/>
                <w:sz w:val="21"/>
                <w:szCs w:val="21"/>
                <w:lang w:val="en-US" w:eastAsia="zh-CN"/>
              </w:rPr>
              <w:t>包括以下内容</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①实施步骤；</w:t>
            </w:r>
          </w:p>
          <w:p>
            <w:pPr>
              <w:rPr>
                <w:rFonts w:hint="eastAsia" w:ascii="宋体" w:hAnsi="宋体" w:eastAsia="宋体" w:cs="宋体"/>
                <w:sz w:val="21"/>
                <w:szCs w:val="21"/>
              </w:rPr>
            </w:pPr>
            <w:r>
              <w:rPr>
                <w:rFonts w:hint="eastAsia" w:ascii="宋体" w:hAnsi="宋体" w:eastAsia="宋体" w:cs="宋体"/>
                <w:sz w:val="21"/>
                <w:szCs w:val="21"/>
              </w:rPr>
              <w:t>②交货安排；</w:t>
            </w:r>
          </w:p>
          <w:p>
            <w:pPr>
              <w:rPr>
                <w:rFonts w:hint="eastAsia" w:ascii="宋体" w:hAnsi="宋体" w:eastAsia="宋体" w:cs="宋体"/>
                <w:sz w:val="21"/>
                <w:szCs w:val="21"/>
              </w:rPr>
            </w:pPr>
            <w:r>
              <w:rPr>
                <w:rFonts w:hint="eastAsia" w:ascii="宋体" w:hAnsi="宋体" w:eastAsia="宋体" w:cs="宋体"/>
                <w:sz w:val="21"/>
                <w:szCs w:val="21"/>
              </w:rPr>
              <w:t>③设备调试；</w:t>
            </w:r>
          </w:p>
          <w:p>
            <w:pPr>
              <w:rPr>
                <w:rFonts w:hint="eastAsia" w:ascii="宋体" w:hAnsi="宋体" w:eastAsia="宋体" w:cs="宋体"/>
                <w:sz w:val="21"/>
                <w:szCs w:val="21"/>
              </w:rPr>
            </w:pPr>
            <w:r>
              <w:rPr>
                <w:rFonts w:hint="eastAsia" w:ascii="宋体" w:hAnsi="宋体" w:eastAsia="宋体" w:cs="宋体"/>
                <w:sz w:val="21"/>
                <w:szCs w:val="21"/>
              </w:rPr>
              <w:t>④质量保证；</w:t>
            </w:r>
          </w:p>
          <w:p>
            <w:pPr>
              <w:rPr>
                <w:rFonts w:hint="eastAsia" w:ascii="宋体" w:hAnsi="宋体" w:eastAsia="宋体" w:cs="宋体"/>
                <w:sz w:val="21"/>
                <w:szCs w:val="21"/>
                <w:lang w:eastAsia="zh-CN"/>
              </w:rPr>
            </w:pPr>
            <w:r>
              <w:rPr>
                <w:rFonts w:hint="eastAsia" w:ascii="宋体" w:hAnsi="宋体" w:eastAsia="宋体" w:cs="宋体"/>
                <w:sz w:val="21"/>
                <w:szCs w:val="21"/>
              </w:rPr>
              <w:t>⑤应急预案</w:t>
            </w:r>
            <w:r>
              <w:rPr>
                <w:rFonts w:hint="eastAsia" w:ascii="宋体" w:hAnsi="宋体" w:cs="宋体"/>
                <w:sz w:val="21"/>
                <w:szCs w:val="21"/>
                <w:lang w:eastAsia="zh-CN"/>
              </w:rPr>
              <w:t>。</w:t>
            </w:r>
          </w:p>
          <w:p>
            <w:pPr>
              <w:rPr>
                <w:rFonts w:hint="eastAsia" w:ascii="宋体" w:hAnsi="宋体" w:eastAsia="宋体" w:cs="宋体"/>
                <w:b/>
                <w:bCs/>
                <w:sz w:val="21"/>
                <w:szCs w:val="21"/>
              </w:rPr>
            </w:pPr>
            <w:r>
              <w:rPr>
                <w:rFonts w:hint="eastAsia" w:ascii="宋体" w:hAnsi="宋体" w:eastAsia="宋体" w:cs="宋体"/>
                <w:b/>
                <w:bCs/>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1、每提供上述任意一项内容得12分，本小项累计最高得</w:t>
            </w:r>
            <w:r>
              <w:rPr>
                <w:rFonts w:hint="eastAsia" w:ascii="宋体" w:hAnsi="宋体" w:eastAsia="宋体" w:cs="宋体"/>
                <w:sz w:val="21"/>
                <w:szCs w:val="21"/>
                <w:lang w:val="en-US" w:eastAsia="zh-CN"/>
              </w:rPr>
              <w:t>60</w:t>
            </w:r>
            <w:r>
              <w:rPr>
                <w:rFonts w:hint="eastAsia" w:ascii="宋体" w:hAnsi="宋体" w:eastAsia="宋体" w:cs="宋体"/>
                <w:sz w:val="21"/>
                <w:szCs w:val="21"/>
              </w:rPr>
              <w:t>分；</w:t>
            </w:r>
          </w:p>
          <w:p>
            <w:pPr>
              <w:rPr>
                <w:rFonts w:hint="eastAsia" w:ascii="宋体" w:hAnsi="宋体" w:eastAsia="宋体" w:cs="宋体"/>
                <w:sz w:val="21"/>
                <w:szCs w:val="21"/>
              </w:rPr>
            </w:pPr>
            <w:r>
              <w:rPr>
                <w:rFonts w:hint="eastAsia" w:ascii="宋体" w:hAnsi="宋体" w:eastAsia="宋体" w:cs="宋体"/>
                <w:sz w:val="21"/>
                <w:szCs w:val="21"/>
              </w:rPr>
              <w:t>2、在此基础上，专家根据各供应商的具体响应内容按照量化的评审因素指标进一步评审：</w:t>
            </w:r>
          </w:p>
          <w:p>
            <w:pPr>
              <w:rPr>
                <w:rFonts w:hint="eastAsia" w:ascii="宋体" w:hAnsi="宋体" w:eastAsia="宋体" w:cs="宋体"/>
                <w:sz w:val="21"/>
                <w:szCs w:val="21"/>
              </w:rPr>
            </w:pPr>
            <w:r>
              <w:rPr>
                <w:rFonts w:hint="eastAsia" w:ascii="宋体" w:hAnsi="宋体" w:eastAsia="宋体" w:cs="宋体"/>
                <w:sz w:val="21"/>
                <w:szCs w:val="21"/>
              </w:rPr>
              <w:t>（1）方案整体科学合理、针对性强、可操作性强，评审为优的，加40分；</w:t>
            </w:r>
          </w:p>
          <w:p>
            <w:pPr>
              <w:rPr>
                <w:rFonts w:hint="eastAsia" w:ascii="宋体" w:hAnsi="宋体" w:eastAsia="宋体" w:cs="宋体"/>
                <w:sz w:val="21"/>
                <w:szCs w:val="21"/>
              </w:rPr>
            </w:pPr>
            <w:r>
              <w:rPr>
                <w:rFonts w:hint="eastAsia" w:ascii="宋体" w:hAnsi="宋体" w:eastAsia="宋体" w:cs="宋体"/>
                <w:sz w:val="21"/>
                <w:szCs w:val="21"/>
              </w:rPr>
              <w:t>（2）方案较合理、有一定针对性、一定可操作性，评审为良的，加25分；</w:t>
            </w:r>
          </w:p>
          <w:p>
            <w:pPr>
              <w:rPr>
                <w:rFonts w:hint="eastAsia" w:ascii="宋体" w:hAnsi="宋体" w:eastAsia="宋体" w:cs="宋体"/>
                <w:sz w:val="21"/>
                <w:szCs w:val="21"/>
              </w:rPr>
            </w:pPr>
            <w:r>
              <w:rPr>
                <w:rFonts w:hint="eastAsia" w:ascii="宋体" w:hAnsi="宋体" w:eastAsia="宋体" w:cs="宋体"/>
                <w:sz w:val="21"/>
                <w:szCs w:val="21"/>
              </w:rPr>
              <w:t>（3）方案不尽合理、针对性一般、可操作性一般，评审为中的，加10分；</w:t>
            </w:r>
          </w:p>
          <w:p>
            <w:pPr>
              <w:rPr>
                <w:sz w:val="21"/>
                <w:szCs w:val="21"/>
              </w:rPr>
            </w:pPr>
            <w:r>
              <w:rPr>
                <w:rFonts w:hint="eastAsia" w:ascii="宋体" w:hAnsi="宋体" w:eastAsia="宋体" w:cs="宋体"/>
                <w:sz w:val="21"/>
                <w:szCs w:val="21"/>
              </w:rPr>
              <w:t>（4）方案不合理、无针对性、无可操作性，评审为差的，加0分。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商务</w:t>
            </w:r>
            <w:r>
              <w:rPr>
                <w:rFonts w:hint="eastAsia" w:ascii="宋体" w:hAnsi="宋体" w:cs="宋体"/>
                <w:b/>
                <w:bCs/>
                <w:color w:val="0000FF"/>
                <w:kern w:val="0"/>
                <w:sz w:val="21"/>
                <w:szCs w:val="21"/>
                <w:lang w:bidi="ar"/>
              </w:rPr>
              <w:t>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rPr>
              <w:t>免费保修期时长</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bCs/>
                <w:sz w:val="21"/>
                <w:szCs w:val="21"/>
              </w:rPr>
            </w:pPr>
            <w:r>
              <w:rPr>
                <w:rFonts w:hint="eastAsia" w:ascii="宋体" w:hAnsi="宋体" w:eastAsia="宋体" w:cs="宋体"/>
                <w:b/>
                <w:bCs/>
                <w:sz w:val="21"/>
                <w:szCs w:val="21"/>
              </w:rPr>
              <w:t>（一）评分内容：</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在满足提供主机及配件免费保修期要求的情况下，提供主机及配件免费保修期每增加1年得50分，最高得100分。</w:t>
            </w:r>
          </w:p>
          <w:p>
            <w:pPr>
              <w:rPr>
                <w:rFonts w:hint="eastAsia" w:ascii="宋体" w:hAnsi="宋体" w:eastAsia="宋体" w:cs="宋体"/>
                <w:b/>
                <w:bCs/>
                <w:sz w:val="21"/>
                <w:szCs w:val="21"/>
              </w:rPr>
            </w:pPr>
            <w:r>
              <w:rPr>
                <w:rFonts w:hint="eastAsia" w:ascii="宋体" w:hAnsi="宋体" w:eastAsia="宋体" w:cs="宋体"/>
                <w:b/>
                <w:bCs/>
                <w:sz w:val="21"/>
                <w:szCs w:val="21"/>
              </w:rPr>
              <w:t>（二）评分依据：</w:t>
            </w:r>
          </w:p>
          <w:p>
            <w:pPr>
              <w:rPr>
                <w:sz w:val="21"/>
                <w:szCs w:val="21"/>
              </w:rPr>
            </w:pPr>
            <w:r>
              <w:rPr>
                <w:rFonts w:hint="eastAsia" w:ascii="宋体" w:hAnsi="宋体" w:eastAsia="宋体" w:cs="宋体"/>
                <w:sz w:val="21"/>
                <w:szCs w:val="21"/>
                <w:lang w:val="en-US" w:eastAsia="zh-CN"/>
              </w:rPr>
              <w:t>投标人提供承诺函（格式自拟），</w:t>
            </w:r>
            <w:r>
              <w:rPr>
                <w:rFonts w:hint="eastAsia"/>
              </w:rPr>
              <w:t>未提供证明材料或者提供的证明材料不符合要求或评审专家无法凭所提供资料判断是否得分的，一律做不得分处理</w:t>
            </w:r>
            <w:r>
              <w:rPr>
                <w:rFonts w:hint="eastAsia" w:ascii="宋体" w:hAnsi="宋体" w:eastAsia="宋体"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color w:val="auto"/>
                <w:kern w:val="2"/>
                <w:sz w:val="21"/>
                <w:szCs w:val="21"/>
                <w:lang w:val="en-US" w:eastAsia="zh-CN"/>
              </w:rPr>
              <w:t>同类业绩</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bCs/>
                <w:sz w:val="21"/>
                <w:szCs w:val="21"/>
              </w:rPr>
            </w:pPr>
            <w:r>
              <w:rPr>
                <w:rFonts w:hint="eastAsia" w:ascii="宋体" w:hAnsi="宋体" w:eastAsia="宋体" w:cs="宋体"/>
                <w:b/>
                <w:bCs/>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自202</w:t>
            </w:r>
            <w:r>
              <w:rPr>
                <w:rFonts w:hint="eastAsia" w:ascii="宋体" w:hAnsi="宋体" w:eastAsia="宋体" w:cs="宋体"/>
                <w:sz w:val="21"/>
                <w:szCs w:val="21"/>
                <w:lang w:val="en-US" w:eastAsia="zh-CN"/>
              </w:rPr>
              <w:t>2</w:t>
            </w:r>
            <w:r>
              <w:rPr>
                <w:rFonts w:hint="eastAsia" w:ascii="宋体" w:hAnsi="宋体" w:eastAsia="宋体" w:cs="宋体"/>
                <w:sz w:val="21"/>
                <w:szCs w:val="21"/>
              </w:rPr>
              <w:t>年1月1日至本项目投标截止日前（以合同签订日期为准），投标人</w:t>
            </w:r>
            <w:r>
              <w:rPr>
                <w:rFonts w:hint="eastAsia" w:ascii="宋体" w:hAnsi="宋体" w:eastAsia="宋体" w:cs="宋体"/>
                <w:sz w:val="21"/>
                <w:szCs w:val="21"/>
                <w:lang w:val="en-US" w:eastAsia="zh-CN"/>
              </w:rPr>
              <w:t>或产品制造商具有</w:t>
            </w:r>
            <w:r>
              <w:rPr>
                <w:rFonts w:hint="eastAsia" w:ascii="宋体" w:hAnsi="宋体" w:eastAsia="宋体" w:cs="宋体"/>
                <w:sz w:val="21"/>
                <w:szCs w:val="21"/>
              </w:rPr>
              <w:t>本项目所投核心产品的销售业绩，每提供1份得50分，本项累计最高得100分。</w:t>
            </w:r>
          </w:p>
          <w:p>
            <w:pPr>
              <w:rPr>
                <w:rFonts w:hint="eastAsia" w:ascii="宋体" w:hAnsi="宋体" w:eastAsia="宋体" w:cs="宋体"/>
                <w:b/>
                <w:bCs/>
                <w:sz w:val="21"/>
                <w:szCs w:val="21"/>
              </w:rPr>
            </w:pPr>
            <w:r>
              <w:rPr>
                <w:rFonts w:hint="eastAsia" w:ascii="宋体" w:hAnsi="宋体" w:eastAsia="宋体" w:cs="宋体"/>
                <w:b/>
                <w:bCs/>
                <w:sz w:val="21"/>
                <w:szCs w:val="21"/>
              </w:rPr>
              <w:t>（二）评分依据：</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投标人同时提供以下证明文件：</w:t>
            </w:r>
          </w:p>
          <w:p>
            <w:pPr>
              <w:rPr>
                <w:rFonts w:hint="eastAsia" w:ascii="宋体" w:hAnsi="宋体" w:eastAsia="宋体" w:cs="宋体"/>
                <w:sz w:val="21"/>
                <w:szCs w:val="21"/>
              </w:rPr>
            </w:pPr>
            <w:r>
              <w:rPr>
                <w:rFonts w:hint="eastAsia" w:ascii="宋体" w:hAnsi="宋体" w:eastAsia="宋体" w:cs="宋体"/>
                <w:sz w:val="21"/>
                <w:szCs w:val="21"/>
              </w:rPr>
              <w:t>1.提供销售合同关键页（包括但不限于合同（项目）名称、合同采购内容、签订日期、合同双方签字盖章页）</w:t>
            </w:r>
          </w:p>
          <w:p>
            <w:pPr>
              <w:rPr>
                <w:rFonts w:hint="eastAsia" w:ascii="宋体" w:hAnsi="宋体" w:eastAsia="宋体" w:cs="宋体"/>
                <w:sz w:val="21"/>
                <w:szCs w:val="21"/>
              </w:rPr>
            </w:pPr>
            <w:r>
              <w:rPr>
                <w:rFonts w:hint="eastAsia" w:ascii="宋体" w:hAnsi="宋体" w:eastAsia="宋体" w:cs="宋体"/>
                <w:sz w:val="21"/>
                <w:szCs w:val="21"/>
                <w:lang w:val="en-US" w:eastAsia="zh-CN"/>
              </w:rPr>
              <w:t>2.履约评价为合格或满意或同等最高评价的履约评价文件或验收合格的验收报告</w:t>
            </w:r>
            <w:r>
              <w:rPr>
                <w:rFonts w:hint="eastAsia"/>
              </w:rPr>
              <w:t>（需加盖甲方公章或业务章）</w:t>
            </w:r>
            <w:r>
              <w:rPr>
                <w:rFonts w:hint="eastAsia" w:ascii="宋体" w:hAnsi="宋体" w:eastAsia="宋体" w:cs="宋体"/>
                <w:sz w:val="21"/>
                <w:szCs w:val="21"/>
              </w:rPr>
              <w:t>。</w:t>
            </w:r>
          </w:p>
          <w:p>
            <w:pPr>
              <w:rPr>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以上证明文件原件备查，</w:t>
            </w:r>
            <w:r>
              <w:rPr>
                <w:rFonts w:hint="eastAsia"/>
              </w:rPr>
              <w:t>未提供证明材料或者提供的证明材料不符合要求或评审专家无法凭所提供资料判断是否得分的，一律做不得分处理</w:t>
            </w:r>
            <w:r>
              <w:rPr>
                <w:rFonts w:hint="eastAsia" w:ascii="宋体" w:hAnsi="宋体" w:eastAsia="宋体"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eastAsia" w:eastAsia="宋体"/>
                <w:b/>
                <w:bCs/>
                <w:color w:val="0000FF"/>
                <w:sz w:val="21"/>
                <w:szCs w:val="21"/>
                <w:lang w:eastAsia="zh-CN"/>
              </w:rPr>
            </w:pPr>
            <w:r>
              <w:rPr>
                <w:rFonts w:hint="eastAsia" w:ascii="宋体" w:hAnsi="宋体" w:cs="宋体"/>
                <w:b/>
                <w:bCs/>
                <w:color w:val="0000FF"/>
                <w:kern w:val="0"/>
                <w:sz w:val="21"/>
                <w:szCs w:val="21"/>
                <w:lang w:val="en-US" w:eastAsia="zh-CN" w:bidi="ar"/>
              </w:rPr>
              <w:t>4</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hint="eastAsia" w:ascii="宋体" w:hAnsi="宋体" w:cs="宋体"/>
                <w:b/>
                <w:bCs/>
                <w:color w:val="0000FF"/>
                <w:kern w:val="0"/>
                <w:sz w:val="21"/>
                <w:szCs w:val="21"/>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2"/>
    </w:tbl>
    <w:p>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jc w:val="center"/>
        <w:rPr>
          <w:b/>
          <w:sz w:val="84"/>
          <w:szCs w:val="84"/>
        </w:rPr>
      </w:pPr>
    </w:p>
    <w:p>
      <w:pPr>
        <w:jc w:val="center"/>
        <w:rPr>
          <w:b/>
          <w:sz w:val="84"/>
          <w:szCs w:val="84"/>
        </w:rPr>
      </w:pPr>
    </w:p>
    <w:p>
      <w:pPr>
        <w:jc w:val="center"/>
        <w:rPr>
          <w:b/>
          <w:sz w:val="84"/>
          <w:szCs w:val="84"/>
        </w:rPr>
      </w:pPr>
    </w:p>
    <w:p>
      <w:pPr>
        <w:jc w:val="center"/>
        <w:rPr>
          <w:rFonts w:ascii="Times New Roman" w:hAnsi="Times New Roman" w:eastAsia="宋体" w:cs="Times New Roman"/>
          <w:b/>
          <w:sz w:val="120"/>
          <w:szCs w:val="120"/>
        </w:rPr>
      </w:pPr>
      <w:r>
        <w:rPr>
          <w:rFonts w:hint="eastAsia" w:ascii="Times New Roman" w:hAnsi="Times New Roman" w:eastAsia="宋体" w:cs="Times New Roman"/>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3" w:name="_Hlk71465316"/>
      <w:r>
        <w:rPr>
          <w:rFonts w:hint="eastAsia"/>
          <w:b/>
          <w:sz w:val="44"/>
          <w:szCs w:val="44"/>
        </w:rPr>
        <w:t>深圳公共资源交易中心</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3"/>
    <w:p>
      <w:pPr>
        <w:widowControl/>
        <w:jc w:val="center"/>
      </w:pPr>
    </w:p>
    <w:p>
      <w:pPr>
        <w:widowControl/>
        <w:jc w:val="center"/>
      </w:pPr>
      <w:r>
        <w:br w:type="page"/>
      </w:r>
    </w:p>
    <w:p>
      <w:pPr>
        <w:jc w:val="center"/>
        <w:rPr>
          <w:rFonts w:hint="eastAsia" w:ascii="宋体" w:hAnsi="宋体" w:eastAsia="宋体" w:cs="Times New Roman"/>
          <w:color w:val="FF0000"/>
          <w:szCs w:val="21"/>
        </w:rPr>
      </w:pPr>
      <w:bookmarkStart w:id="4" w:name="_Hlk72218009"/>
      <w:r>
        <w:rPr>
          <w:rFonts w:hint="eastAsia" w:ascii="宋体" w:hAnsi="宋体" w:eastAsia="黑体" w:cs="Times New Roman"/>
          <w:b/>
          <w:bCs/>
          <w:color w:val="FF0000"/>
          <w:kern w:val="44"/>
          <w:sz w:val="28"/>
          <w:szCs w:val="44"/>
        </w:rPr>
        <w:t>警示条款</w:t>
      </w:r>
    </w:p>
    <w:p>
      <w:pPr>
        <w:ind w:firstLine="400" w:firstLineChars="200"/>
        <w:rPr>
          <w:rFonts w:hint="eastAsia" w:ascii="宋体" w:hAnsi="宋体" w:eastAsia="宋体" w:cs="Times New Roman"/>
          <w:color w:val="FF0000"/>
          <w:sz w:val="20"/>
          <w:szCs w:val="20"/>
        </w:rPr>
      </w:pP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pPr>
        <w:ind w:firstLine="42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ind w:firstLine="400" w:firstLineChars="200"/>
        <w:rPr>
          <w:rFonts w:ascii="宋体" w:hAnsi="宋体" w:eastAsia="宋体" w:cs="Times New Roman"/>
          <w:color w:val="FF0000"/>
          <w:sz w:val="20"/>
          <w:szCs w:val="20"/>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rPr>
          <w:rFonts w:ascii="宋体" w:hAnsi="宋体" w:eastAsia="宋体" w:cs="Times New Roman"/>
          <w:color w:val="FF0000"/>
          <w:sz w:val="20"/>
          <w:szCs w:val="20"/>
        </w:rPr>
      </w:pPr>
      <w:r>
        <w:rPr>
          <w:rFonts w:ascii="宋体" w:hAnsi="宋体" w:eastAsia="宋体" w:cs="Times New Roman"/>
          <w:color w:val="FF0000"/>
          <w:sz w:val="20"/>
          <w:szCs w:val="20"/>
        </w:rPr>
        <w:br w:type="page"/>
      </w:r>
    </w:p>
    <w:p>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r>
        <w:rPr>
          <w:rFonts w:hint="eastAsia" w:ascii="黑体" w:hAnsi="黑体" w:eastAsia="黑体" w:cs="黑体"/>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5" w:name="_Hlk71994379"/>
      <w:r>
        <w:rPr>
          <w:rFonts w:hint="eastAsia" w:ascii="宋体" w:hAnsi="宋体"/>
          <w:szCs w:val="21"/>
        </w:rPr>
        <w:t>对通用条款的补充内容及其他关键信息</w:t>
      </w:r>
      <w:bookmarkEnd w:id="5"/>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rPr>
          <w:rFonts w:hint="eastAsia"/>
        </w:rPr>
      </w:pPr>
      <w:r>
        <w:rPr>
          <w:rFonts w:hint="eastAsia"/>
        </w:rPr>
        <w:t>第十一章  质疑处理</w:t>
      </w:r>
    </w:p>
    <w:p>
      <w:pPr>
        <w:pStyle w:val="8"/>
        <w:rPr>
          <w:rFonts w:hint="eastAsia"/>
        </w:rPr>
      </w:pPr>
    </w:p>
    <w:p>
      <w:pPr>
        <w:pStyle w:val="37"/>
        <w:rPr>
          <w:rFonts w:hint="eastAsia"/>
        </w:rPr>
      </w:pPr>
    </w:p>
    <w:p>
      <w:pPr>
        <w:pStyle w:val="37"/>
        <w:rPr>
          <w:rFonts w:hint="eastAsia"/>
        </w:rPr>
      </w:pPr>
    </w:p>
    <w:p>
      <w:pPr>
        <w:pStyle w:val="8"/>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4"/>
    <w:p>
      <w:pPr>
        <w:pStyle w:val="2"/>
        <w:rPr>
          <w:color w:val="FF0000"/>
          <w:sz w:val="24"/>
        </w:rPr>
      </w:pPr>
      <w:bookmarkStart w:id="6" w:name="bt合同格式"/>
      <w:bookmarkEnd w:id="6"/>
      <w:bookmarkStart w:id="7" w:name="bt技术标投标文件格式"/>
      <w:bookmarkEnd w:id="7"/>
      <w:bookmarkStart w:id="8" w:name="bt商务标投标文件格式"/>
      <w:bookmarkEnd w:id="8"/>
      <w:bookmarkStart w:id="9" w:name="bt本工程承诺书"/>
      <w:bookmarkEnd w:id="9"/>
      <w:bookmarkStart w:id="10" w:name="bt其他资料由投标人自定"/>
      <w:bookmarkEnd w:id="10"/>
      <w:bookmarkStart w:id="11" w:name="bt投标文件签署授权委托书"/>
      <w:bookmarkEnd w:id="11"/>
      <w:bookmarkStart w:id="12" w:name="bt合同条款"/>
      <w:bookmarkEnd w:id="12"/>
      <w:bookmarkStart w:id="13" w:name="bt说明"/>
      <w:bookmarkEnd w:id="13"/>
      <w:bookmarkStart w:id="14" w:name="bt投标函"/>
      <w:bookmarkEnd w:id="14"/>
      <w:bookmarkStart w:id="15" w:name="bt其他资料2"/>
      <w:bookmarkEnd w:id="15"/>
      <w:bookmarkStart w:id="16" w:name="bt投标报价汇总表"/>
      <w:bookmarkEnd w:id="16"/>
      <w:bookmarkStart w:id="17" w:name="bt开标一览表"/>
      <w:bookmarkEnd w:id="17"/>
      <w:bookmarkStart w:id="18" w:name="bt投标人须知"/>
      <w:bookmarkEnd w:id="18"/>
      <w:bookmarkStart w:id="19" w:name="bt投标人情况介绍"/>
      <w:bookmarkEnd w:id="19"/>
      <w:bookmarkStart w:id="20" w:name="bt合同条款及格式"/>
      <w:bookmarkEnd w:id="20"/>
      <w:bookmarkStart w:id="21" w:name="bt项目管理班子配备情况"/>
      <w:bookmarkEnd w:id="21"/>
      <w:bookmarkStart w:id="22" w:name="合同格式"/>
      <w:bookmarkEnd w:id="22"/>
      <w:r>
        <w:rPr>
          <w:rFonts w:hint="eastAsia"/>
        </w:rPr>
        <w:t>第一册  专用条款</w:t>
      </w:r>
    </w:p>
    <w:p>
      <w:pPr>
        <w:pStyle w:val="5"/>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420" w:firstLineChars="200"/>
        <w:rPr>
          <w:rFonts w:hint="eastAsia" w:ascii="宋体" w:hAnsi="宋体" w:eastAsia="宋体" w:cs="宋体"/>
          <w:color w:val="auto"/>
          <w:kern w:val="0"/>
          <w:szCs w:val="21"/>
          <w:lang w:eastAsia="zh-CN"/>
        </w:rPr>
      </w:pPr>
      <w:r>
        <w:rPr>
          <w:rFonts w:hint="eastAsia" w:ascii="宋体" w:hAnsi="宋体" w:cs="宋体"/>
          <w:kern w:val="0"/>
          <w:szCs w:val="21"/>
        </w:rPr>
        <w:t>1</w:t>
      </w:r>
      <w:r>
        <w:rPr>
          <w:rFonts w:ascii="宋体" w:hAnsi="宋体" w:cs="宋体"/>
          <w:kern w:val="0"/>
          <w:szCs w:val="21"/>
        </w:rPr>
        <w:t>.</w:t>
      </w:r>
      <w:bookmarkStart w:id="23" w:name="_Hlk72162904"/>
      <w:r>
        <w:rPr>
          <w:rFonts w:hint="eastAsia" w:ascii="宋体" w:hAnsi="宋体" w:cs="宋体"/>
          <w:kern w:val="0"/>
          <w:szCs w:val="21"/>
        </w:rPr>
        <w:t>具有独立承担民事责任的能力（提供营业执照或事业单位法人证书等证明资料扫描件，原件备查）</w:t>
      </w:r>
      <w:bookmarkEnd w:id="23"/>
      <w:r>
        <w:rPr>
          <w:rFonts w:hint="eastAsia"/>
          <w:lang w:eastAsia="zh-CN"/>
        </w:rPr>
        <w:t>；</w:t>
      </w:r>
    </w:p>
    <w:p>
      <w:pPr>
        <w:ind w:firstLine="420" w:firstLineChars="200"/>
        <w:rPr>
          <w:rFonts w:hint="default" w:ascii="宋体" w:hAnsi="宋体" w:eastAsia="宋体" w:cs="宋体"/>
          <w:color w:val="auto"/>
          <w:kern w:val="0"/>
          <w:szCs w:val="21"/>
          <w:lang w:val="en-US" w:eastAsia="zh-CN"/>
        </w:rPr>
      </w:pPr>
      <w:r>
        <w:rPr>
          <w:rFonts w:hint="eastAsia" w:ascii="宋体" w:hAnsi="宋体" w:cs="宋体"/>
          <w:color w:val="auto"/>
          <w:kern w:val="0"/>
          <w:szCs w:val="21"/>
        </w:rPr>
        <w:t>2.本项目不接受联合体投标，</w:t>
      </w:r>
      <w:r>
        <w:rPr>
          <w:rFonts w:hint="eastAsia" w:ascii="宋体" w:hAnsi="宋体" w:cs="宋体"/>
          <w:color w:val="auto"/>
          <w:kern w:val="0"/>
          <w:szCs w:val="21"/>
          <w:lang w:val="en-US" w:eastAsia="zh-CN"/>
        </w:rPr>
        <w:t>不允许</w:t>
      </w:r>
      <w:r>
        <w:rPr>
          <w:rFonts w:hint="eastAsia" w:ascii="宋体" w:hAnsi="宋体" w:cs="宋体"/>
          <w:color w:val="auto"/>
          <w:kern w:val="0"/>
          <w:szCs w:val="21"/>
        </w:rPr>
        <w:t>投标人选用进口产品参与投标</w:t>
      </w:r>
      <w:r>
        <w:rPr>
          <w:rFonts w:hint="eastAsia" w:ascii="宋体" w:hAnsi="宋体" w:cs="宋体"/>
          <w:color w:val="auto"/>
          <w:kern w:val="0"/>
          <w:szCs w:val="21"/>
          <w:lang w:eastAsia="zh-CN"/>
        </w:rPr>
        <w:t>，</w:t>
      </w:r>
      <w:r>
        <w:rPr>
          <w:rFonts w:hint="eastAsia" w:ascii="宋体" w:hAnsi="宋体" w:cs="宋体"/>
          <w:color w:val="auto"/>
          <w:kern w:val="0"/>
          <w:szCs w:val="21"/>
        </w:rPr>
        <w:t>详见招标文件</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第三章 用户需求书</w:t>
      </w:r>
      <w:r>
        <w:rPr>
          <w:rFonts w:hint="eastAsia" w:ascii="宋体" w:hAnsi="宋体" w:cs="宋体"/>
          <w:color w:val="auto"/>
          <w:kern w:val="0"/>
          <w:szCs w:val="21"/>
        </w:rPr>
        <w:t>”；</w:t>
      </w:r>
      <w:r>
        <w:rPr>
          <w:rFonts w:hint="eastAsia" w:ascii="宋体" w:hAnsi="宋体" w:cs="宋体"/>
          <w:color w:val="auto"/>
          <w:kern w:val="0"/>
          <w:szCs w:val="21"/>
          <w:lang w:val="en-US" w:eastAsia="zh-CN"/>
        </w:rPr>
        <w:t>不接受分包；</w:t>
      </w:r>
    </w:p>
    <w:p>
      <w:pPr>
        <w:ind w:firstLine="420" w:firstLineChars="200"/>
        <w:rPr>
          <w:rFonts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w:t>
      </w:r>
      <w:r>
        <w:rPr>
          <w:rFonts w:hint="eastAsia" w:ascii="宋体" w:hAnsi="宋体" w:cs="宋体"/>
          <w:color w:val="auto"/>
          <w:kern w:val="0"/>
          <w:szCs w:val="21"/>
        </w:rPr>
        <w:t>参与本项目政府采购活动时不存在被有关部门禁止参与政府采购活动且在有效期内的情况（由供应商在《政府采购投标及履约承诺函》中作出声明）；</w:t>
      </w:r>
    </w:p>
    <w:p>
      <w:pPr>
        <w:ind w:firstLine="420" w:firstLineChars="200"/>
        <w:rPr>
          <w:rFonts w:ascii="宋体" w:hAnsi="宋体" w:cs="宋体"/>
          <w:color w:val="auto"/>
          <w:kern w:val="0"/>
          <w:szCs w:val="21"/>
        </w:rPr>
      </w:pPr>
      <w:r>
        <w:rPr>
          <w:rFonts w:hint="eastAsia" w:ascii="宋体" w:hAnsi="宋体" w:cs="宋体"/>
          <w:color w:val="auto"/>
          <w:kern w:val="0"/>
          <w:szCs w:val="21"/>
          <w:lang w:val="en-US" w:eastAsia="zh-CN"/>
        </w:rPr>
        <w:t>4</w:t>
      </w:r>
      <w:r>
        <w:rPr>
          <w:rFonts w:ascii="宋体" w:hAnsi="宋体" w:cs="宋体"/>
          <w:color w:val="auto"/>
          <w:kern w:val="0"/>
          <w:szCs w:val="21"/>
        </w:rPr>
        <w:t>.</w:t>
      </w:r>
      <w:r>
        <w:rPr>
          <w:rFonts w:hint="eastAsia" w:ascii="宋体" w:hAnsi="宋体" w:cs="宋体"/>
          <w:color w:val="auto"/>
          <w:kern w:val="0"/>
          <w:szCs w:val="21"/>
        </w:rPr>
        <w:t>具备《中华人民共和国政府采购法》第二十二条第一款的条件（由供应商在《政府采购投标及履约承诺函》中作出声明）；</w:t>
      </w:r>
    </w:p>
    <w:p>
      <w:pPr>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5</w:t>
      </w:r>
      <w:r>
        <w:rPr>
          <w:rFonts w:ascii="宋体" w:hAnsi="宋体" w:cs="宋体"/>
          <w:color w:val="auto"/>
          <w:kern w:val="0"/>
          <w:szCs w:val="21"/>
        </w:rPr>
        <w:t>.</w:t>
      </w:r>
      <w:r>
        <w:rPr>
          <w:rFonts w:hint="eastAsia" w:ascii="宋体" w:hAnsi="宋体" w:cs="宋体"/>
          <w:color w:val="auto"/>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color w:val="auto"/>
          <w:kern w:val="0"/>
          <w:szCs w:val="21"/>
          <w:lang w:val="en-US" w:eastAsia="zh-CN"/>
        </w:rPr>
        <w:t>；</w:t>
      </w:r>
    </w:p>
    <w:p>
      <w:pPr>
        <w:ind w:firstLine="420" w:firstLineChars="200"/>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6.不存在《深圳市财政局政府采购供应商信用信息管理办法》（深财规〔2023〕3号）列明的严重违法失信行为</w:t>
      </w:r>
      <w:r>
        <w:rPr>
          <w:rFonts w:hint="eastAsia" w:ascii="宋体" w:hAnsi="宋体" w:cs="宋体"/>
          <w:color w:val="auto"/>
          <w:kern w:val="0"/>
          <w:szCs w:val="21"/>
        </w:rPr>
        <w:t>（由供应商在《政府采购投标及履约承诺函》中作出声明）</w:t>
      </w:r>
      <w:r>
        <w:rPr>
          <w:rFonts w:hint="eastAsia" w:ascii="宋体" w:hAnsi="宋体" w:cs="宋体"/>
          <w:color w:val="auto"/>
          <w:kern w:val="0"/>
          <w:szCs w:val="21"/>
          <w:lang w:val="en-US" w:eastAsia="zh-CN"/>
        </w:rPr>
        <w:t>；</w:t>
      </w:r>
    </w:p>
    <w:p>
      <w:pPr>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7</w:t>
      </w:r>
      <w:r>
        <w:rPr>
          <w:rFonts w:hint="eastAsia" w:ascii="宋体" w:hAnsi="宋体" w:cs="宋体"/>
          <w:color w:val="auto"/>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color w:val="auto"/>
          <w:kern w:val="0"/>
          <w:szCs w:val="21"/>
          <w:lang w:val="en-US" w:eastAsia="zh-CN"/>
        </w:rPr>
        <w:t>；</w:t>
      </w:r>
    </w:p>
    <w:p>
      <w:pPr>
        <w:pStyle w:val="54"/>
        <w:ind w:firstLine="420" w:firstLineChars="200"/>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9</w:t>
      </w:r>
      <w:r>
        <w:rPr>
          <w:rFonts w:hint="eastAsia" w:ascii="宋体" w:hAnsi="宋体" w:cs="宋体"/>
          <w:color w:val="auto"/>
          <w:kern w:val="0"/>
          <w:szCs w:val="21"/>
        </w:rPr>
        <w:t>.本项目</w:t>
      </w:r>
      <w:r>
        <w:rPr>
          <w:rFonts w:hint="eastAsia" w:ascii="宋体" w:hAnsi="宋体" w:cs="宋体"/>
          <w:color w:val="auto"/>
          <w:kern w:val="0"/>
          <w:szCs w:val="21"/>
          <w:lang w:val="en-US" w:eastAsia="zh-CN"/>
        </w:rPr>
        <w:t>全部</w:t>
      </w:r>
      <w:r>
        <w:rPr>
          <w:rFonts w:hint="eastAsia" w:ascii="宋体" w:hAnsi="宋体" w:cs="宋体"/>
          <w:color w:val="auto"/>
          <w:kern w:val="0"/>
          <w:szCs w:val="21"/>
        </w:rPr>
        <w:t>专门面向中小企业采购：</w:t>
      </w:r>
      <w:r>
        <w:rPr>
          <w:rFonts w:hint="eastAsia" w:ascii="宋体" w:hAnsi="宋体" w:cs="宋体"/>
          <w:color w:val="auto"/>
          <w:kern w:val="0"/>
          <w:szCs w:val="21"/>
          <w:lang w:val="en-US" w:eastAsia="zh-CN"/>
        </w:rPr>
        <w:t>否</w:t>
      </w:r>
      <w:r>
        <w:rPr>
          <w:rFonts w:hint="eastAsia" w:ascii="宋体" w:hAnsi="宋体" w:cs="宋体"/>
          <w:color w:val="auto"/>
          <w:kern w:val="0"/>
          <w:szCs w:val="21"/>
          <w:lang w:eastAsia="zh-CN"/>
        </w:rPr>
        <w:t>；</w:t>
      </w:r>
    </w:p>
    <w:p>
      <w:pPr>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10.投标供应商若为生产企业：所投产品为第二、三类医疗器械的，提供监督管理部门签发的涵盖所投报医疗器械的《医疗器械生产许可证》(有效期内)扫描件，原件备查。</w:t>
      </w:r>
    </w:p>
    <w:p>
      <w:pPr>
        <w:ind w:firstLine="420" w:firstLineChars="200"/>
        <w:rPr>
          <w:rFonts w:hint="eastAsia" w:eastAsia="宋体"/>
          <w:color w:val="auto"/>
          <w:lang w:val="en-US" w:eastAsia="zh-CN"/>
        </w:rPr>
      </w:pPr>
      <w:r>
        <w:rPr>
          <w:rFonts w:hint="eastAsia" w:ascii="宋体" w:hAnsi="宋体" w:cs="宋体"/>
          <w:color w:val="auto"/>
          <w:kern w:val="0"/>
          <w:szCs w:val="21"/>
          <w:lang w:val="en-US"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r>
        <w:rPr>
          <w:rFonts w:hint="eastAsia" w:ascii="宋体" w:hAnsi="宋体" w:cs="宋体"/>
          <w:color w:val="auto"/>
          <w:kern w:val="0"/>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color w:val="auto"/>
          <w:kern w:val="0"/>
          <w:szCs w:val="21"/>
        </w:rPr>
        <w:t>注：（1）“信用中国”（www.creditchina.gov.cn</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查询</w:t>
      </w:r>
      <w:r>
        <w:rPr>
          <w:rFonts w:hint="eastAsia" w:ascii="宋体" w:hAnsi="宋体" w:cs="宋体"/>
          <w:color w:val="auto"/>
          <w:kern w:val="0"/>
          <w:szCs w:val="21"/>
        </w:rPr>
        <w:t>“信用服务”栏的“重大税收违法失信主体”“失信被执行人”</w:t>
      </w:r>
      <w:r>
        <w:rPr>
          <w:rFonts w:hint="eastAsia" w:ascii="宋体" w:hAnsi="宋体" w:cs="宋体"/>
          <w:color w:val="auto"/>
          <w:kern w:val="0"/>
          <w:szCs w:val="21"/>
          <w:lang w:val="en-US" w:eastAsia="zh-CN"/>
        </w:rPr>
        <w:t>或者下载信用信息报告）</w:t>
      </w:r>
      <w:r>
        <w:rPr>
          <w:rFonts w:hint="eastAsia" w:ascii="宋体" w:hAnsi="宋体" w:cs="宋体"/>
          <w:color w:val="auto"/>
          <w:kern w:val="0"/>
          <w:szCs w:val="21"/>
        </w:rPr>
        <w:t>，“中国政府采购网”（www.ccgp.gov.cn）中的“政府采购严重违法失信行为记录名单”，以及“深圳</w:t>
      </w:r>
      <w:r>
        <w:rPr>
          <w:rFonts w:hint="eastAsia" w:ascii="宋体" w:hAnsi="宋体" w:cs="宋体"/>
          <w:kern w:val="0"/>
          <w:szCs w:val="21"/>
        </w:rPr>
        <w:t>市政府采购监管网”（http://zfcg.sz.gov.cn）为供应商信用信息的查询渠道，相关信息以开标当日的查询结果为准；</w:t>
      </w:r>
    </w:p>
    <w:p>
      <w:pPr>
        <w:numPr>
          <w:ilvl w:val="0"/>
          <w:numId w:val="7"/>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p>
    <w:p>
      <w:pPr>
        <w:pStyle w:val="8"/>
        <w:numPr>
          <w:ilvl w:val="0"/>
          <w:numId w:val="0"/>
        </w:numPr>
      </w:pPr>
    </w:p>
    <w:p>
      <w:pPr>
        <w:ind w:firstLine="442" w:firstLineChars="200"/>
        <w:rPr>
          <w:b/>
        </w:rPr>
      </w:pPr>
      <w:r>
        <w:rPr>
          <w:rFonts w:hint="eastAsia"/>
          <w:b/>
          <w:sz w:val="22"/>
          <w:szCs w:val="18"/>
          <w:highlight w:val="none"/>
        </w:rPr>
        <w:t>完整公告内容详见：</w:t>
      </w:r>
      <w:r>
        <w:rPr>
          <w:rFonts w:hint="eastAsia"/>
          <w:b/>
          <w:sz w:val="22"/>
          <w:szCs w:val="18"/>
        </w:rPr>
        <w:t>深圳交易集团有限公司网站（https://www.szexgrp.com/）、深圳政府采购自行采购网站（https://zxcg.szggzy.com/home/index.html）</w:t>
      </w:r>
    </w:p>
    <w:p>
      <w:pPr>
        <w:ind w:firstLine="422" w:firstLineChars="200"/>
        <w:rPr>
          <w:b/>
        </w:rPr>
      </w:pPr>
    </w:p>
    <w:p>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sz w:val="28"/>
          <w:szCs w:val="28"/>
        </w:rPr>
      </w:pPr>
      <w:r>
        <w:rPr>
          <w:rFonts w:hint="eastAsia"/>
          <w:sz w:val="28"/>
          <w:szCs w:val="28"/>
        </w:rPr>
        <w:t xml:space="preserve">第二章 </w:t>
      </w:r>
      <w:bookmarkStart w:id="24" w:name="_Hlk71926094"/>
      <w:r>
        <w:rPr>
          <w:rFonts w:hint="eastAsia"/>
          <w:sz w:val="28"/>
          <w:szCs w:val="28"/>
        </w:rPr>
        <w:t>对通用条款的补充内容及其他关键信息</w:t>
      </w:r>
      <w:bookmarkEnd w:id="24"/>
    </w:p>
    <w:p>
      <w:pPr>
        <w:pStyle w:val="5"/>
        <w:spacing w:before="120" w:beforeLines="50" w:after="120" w:afterLines="50"/>
        <w:rPr>
          <w:szCs w:val="24"/>
        </w:rPr>
      </w:pPr>
      <w:bookmarkStart w:id="25" w:name="_Toc73517639"/>
      <w:bookmarkStart w:id="26" w:name="_Toc101074876"/>
      <w:bookmarkStart w:id="27" w:name="_Toc73518117"/>
      <w:bookmarkStart w:id="28" w:name="_Toc60631620"/>
      <w:bookmarkStart w:id="29" w:name="_Toc100052364"/>
      <w:bookmarkStart w:id="30" w:name="_Toc73521547"/>
      <w:bookmarkStart w:id="31" w:name="_Toc60560625"/>
      <w:bookmarkStart w:id="32" w:name="_Toc73521635"/>
      <w:r>
        <w:rPr>
          <w:rFonts w:hint="eastAsia"/>
          <w:szCs w:val="24"/>
        </w:rPr>
        <w:t>一、对通用条款的补充内容</w:t>
      </w:r>
    </w:p>
    <w:bookmarkEnd w:id="25"/>
    <w:bookmarkEnd w:id="26"/>
    <w:bookmarkEnd w:id="27"/>
    <w:bookmarkEnd w:id="28"/>
    <w:bookmarkEnd w:id="29"/>
    <w:bookmarkEnd w:id="30"/>
    <w:bookmarkEnd w:id="31"/>
    <w:bookmarkEnd w:id="32"/>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bookmarkStart w:id="33" w:name="_Hlk72218097"/>
            <w:r>
              <w:rPr>
                <w:rFonts w:hint="eastAsia" w:ascii="宋体" w:hAnsi="宋体"/>
                <w:b/>
                <w:bCs/>
              </w:rPr>
              <w:t>通用条款序号</w:t>
            </w:r>
          </w:p>
        </w:tc>
        <w:tc>
          <w:tcPr>
            <w:tcW w:w="2409" w:type="dxa"/>
            <w:vAlign w:val="center"/>
          </w:tcPr>
          <w:p>
            <w:pPr>
              <w:jc w:val="center"/>
              <w:rPr>
                <w:rFonts w:ascii="宋体" w:hAnsi="宋体"/>
                <w:b/>
                <w:bCs/>
              </w:rPr>
            </w:pPr>
            <w:r>
              <w:rPr>
                <w:rFonts w:hint="eastAsia" w:ascii="宋体" w:hAnsi="宋体"/>
                <w:b/>
                <w:bCs/>
              </w:rPr>
              <w:t>涉及事项</w:t>
            </w:r>
          </w:p>
        </w:tc>
        <w:tc>
          <w:tcPr>
            <w:tcW w:w="4980"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hint="default" w:ascii="宋体" w:hAnsi="宋体" w:eastAsia="宋体"/>
                <w:lang w:val="en-US" w:eastAsia="zh-CN"/>
              </w:rPr>
            </w:pPr>
            <w:r>
              <w:rPr>
                <w:rFonts w:hint="eastAsia" w:ascii="宋体" w:hAnsi="宋体"/>
                <w:lang w:val="en-US" w:eastAsia="zh-CN"/>
              </w:rPr>
              <w:t>深圳市大鹏新区医疗健康集团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.2</w:t>
            </w:r>
          </w:p>
        </w:tc>
        <w:tc>
          <w:tcPr>
            <w:tcW w:w="2409" w:type="dxa"/>
            <w:vAlign w:val="center"/>
          </w:tcPr>
          <w:p>
            <w:pPr>
              <w:jc w:val="center"/>
              <w:rPr>
                <w:rFonts w:ascii="宋体" w:hAnsi="宋体"/>
              </w:rPr>
            </w:pPr>
            <w:r>
              <w:rPr>
                <w:rFonts w:hint="eastAsia" w:ascii="宋体" w:hAnsi="宋体"/>
              </w:rPr>
              <w:t>政府集中采购机构</w:t>
            </w:r>
          </w:p>
        </w:tc>
        <w:tc>
          <w:tcPr>
            <w:tcW w:w="4980" w:type="dxa"/>
            <w:vAlign w:val="center"/>
          </w:tcPr>
          <w:p>
            <w:pPr>
              <w:jc w:val="center"/>
              <w:rPr>
                <w:rFonts w:hint="eastAsia" w:ascii="宋体" w:hAnsi="宋体"/>
              </w:rPr>
            </w:pPr>
            <w:r>
              <w:rPr>
                <w:rFonts w:hint="eastAsia" w:ascii="宋体" w:hAnsi="宋体"/>
              </w:rPr>
              <w:t>深圳公共资源交易中心</w:t>
            </w:r>
          </w:p>
          <w:p>
            <w:pPr>
              <w:jc w:val="center"/>
              <w:rPr>
                <w:rFonts w:ascii="宋体" w:hAnsi="宋体"/>
              </w:rPr>
            </w:pPr>
            <w:r>
              <w:rPr>
                <w:rFonts w:hint="eastAsia" w:ascii="宋体" w:hAnsi="宋体"/>
              </w:rPr>
              <w:t>（深圳交易集团有限公司</w:t>
            </w:r>
            <w:r>
              <w:rPr>
                <w:rFonts w:hint="eastAsia" w:ascii="宋体" w:hAnsi="宋体" w:cs="宋体"/>
                <w:kern w:val="0"/>
                <w:lang w:val="en-US" w:eastAsia="zh-CN"/>
              </w:rPr>
              <w:t>大鹏分公司</w:t>
            </w:r>
            <w:r>
              <w:rPr>
                <w:rFonts w:hint="eastAsia" w:ascii="宋体" w:hAnsi="宋体"/>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2409" w:type="dxa"/>
            <w:vAlign w:val="center"/>
          </w:tcPr>
          <w:p>
            <w:pPr>
              <w:jc w:val="center"/>
              <w:rPr>
                <w:rFonts w:ascii="宋体" w:hAnsi="宋体"/>
              </w:rPr>
            </w:pPr>
            <w:r>
              <w:rPr>
                <w:rFonts w:hint="eastAsia" w:ascii="宋体" w:hAnsi="宋体"/>
              </w:rPr>
              <w:t>踏勘现场</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2409" w:type="dxa"/>
            <w:vAlign w:val="center"/>
          </w:tcPr>
          <w:p>
            <w:pPr>
              <w:jc w:val="center"/>
              <w:rPr>
                <w:rFonts w:ascii="宋体" w:hAnsi="宋体"/>
              </w:rPr>
            </w:pPr>
            <w:r>
              <w:rPr>
                <w:rFonts w:hint="eastAsia" w:ascii="宋体" w:hAnsi="宋体"/>
              </w:rPr>
              <w:t>标前会议</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pPr>
              <w:jc w:val="center"/>
              <w:rPr>
                <w:rFonts w:ascii="宋体" w:hAnsi="宋体"/>
              </w:rPr>
            </w:pPr>
            <w:r>
              <w:rPr>
                <w:rFonts w:hint="eastAsia" w:ascii="宋体" w:hAnsi="宋体"/>
              </w:rPr>
              <w:t>招标文件的澄清和修改</w:t>
            </w:r>
          </w:p>
        </w:tc>
        <w:tc>
          <w:tcPr>
            <w:tcW w:w="4980" w:type="dxa"/>
            <w:vAlign w:val="center"/>
          </w:tcPr>
          <w:p>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2409" w:type="dxa"/>
            <w:vAlign w:val="center"/>
          </w:tcPr>
          <w:p>
            <w:pPr>
              <w:jc w:val="center"/>
              <w:rPr>
                <w:rFonts w:ascii="宋体" w:hAnsi="宋体"/>
              </w:rPr>
            </w:pPr>
            <w:r>
              <w:rPr>
                <w:rFonts w:hint="eastAsia" w:ascii="宋体" w:hAnsi="宋体"/>
              </w:rPr>
              <w:t>投标有效期</w:t>
            </w:r>
          </w:p>
        </w:tc>
        <w:tc>
          <w:tcPr>
            <w:tcW w:w="4980" w:type="dxa"/>
            <w:vAlign w:val="center"/>
          </w:tcPr>
          <w:p>
            <w:pPr>
              <w:jc w:val="center"/>
              <w:rPr>
                <w:rFonts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2409" w:type="dxa"/>
            <w:vAlign w:val="center"/>
          </w:tcPr>
          <w:p>
            <w:pPr>
              <w:jc w:val="center"/>
              <w:rPr>
                <w:rFonts w:ascii="宋体" w:hAnsi="宋体"/>
              </w:rPr>
            </w:pPr>
            <w:r>
              <w:rPr>
                <w:rFonts w:hint="eastAsia" w:ascii="宋体" w:hAnsi="宋体"/>
              </w:rPr>
              <w:t>投标人的替代方案</w:t>
            </w:r>
          </w:p>
        </w:tc>
        <w:tc>
          <w:tcPr>
            <w:tcW w:w="4980" w:type="dxa"/>
            <w:vAlign w:val="center"/>
          </w:tcPr>
          <w:p>
            <w:pPr>
              <w:jc w:val="center"/>
              <w:rPr>
                <w:rFonts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5</w:t>
            </w:r>
          </w:p>
        </w:tc>
        <w:tc>
          <w:tcPr>
            <w:tcW w:w="2409" w:type="dxa"/>
            <w:vAlign w:val="center"/>
          </w:tcPr>
          <w:p>
            <w:pPr>
              <w:jc w:val="center"/>
              <w:rPr>
                <w:rFonts w:ascii="宋体" w:hAnsi="宋体"/>
              </w:rPr>
            </w:pPr>
            <w:r>
              <w:rPr>
                <w:rFonts w:hint="eastAsia" w:ascii="宋体" w:hAnsi="宋体"/>
              </w:rPr>
              <w:t>投标文件的大小</w:t>
            </w:r>
          </w:p>
        </w:tc>
        <w:tc>
          <w:tcPr>
            <w:tcW w:w="4980" w:type="dxa"/>
            <w:vAlign w:val="center"/>
          </w:tcPr>
          <w:p>
            <w:pPr>
              <w:jc w:val="center"/>
              <w:rPr>
                <w:rFonts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2409" w:type="dxa"/>
            <w:vAlign w:val="center"/>
          </w:tcPr>
          <w:p>
            <w:pPr>
              <w:jc w:val="center"/>
              <w:rPr>
                <w:rFonts w:ascii="宋体" w:hAnsi="宋体"/>
              </w:rPr>
            </w:pPr>
            <w:bookmarkStart w:id="34" w:name="_Hlk71664860"/>
            <w:r>
              <w:rPr>
                <w:rFonts w:hint="eastAsia" w:ascii="宋体" w:hAnsi="宋体"/>
              </w:rPr>
              <w:t>样品、现场演示、方案讲解</w:t>
            </w:r>
            <w:bookmarkEnd w:id="34"/>
          </w:p>
        </w:tc>
        <w:tc>
          <w:tcPr>
            <w:tcW w:w="4980" w:type="dxa"/>
            <w:vAlign w:val="center"/>
          </w:tcPr>
          <w:p>
            <w:pPr>
              <w:jc w:val="center"/>
              <w:rPr>
                <w:rFonts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2409" w:type="dxa"/>
            <w:vAlign w:val="center"/>
          </w:tcPr>
          <w:p>
            <w:pPr>
              <w:jc w:val="center"/>
              <w:rPr>
                <w:rFonts w:ascii="宋体" w:hAnsi="宋体"/>
              </w:rPr>
            </w:pPr>
            <w:r>
              <w:rPr>
                <w:rFonts w:hint="eastAsia" w:ascii="宋体" w:hAnsi="宋体"/>
              </w:rPr>
              <w:t>评审方法</w:t>
            </w:r>
          </w:p>
        </w:tc>
        <w:tc>
          <w:tcPr>
            <w:tcW w:w="4980" w:type="dxa"/>
            <w:vAlign w:val="center"/>
          </w:tcPr>
          <w:p>
            <w:pPr>
              <w:jc w:val="center"/>
              <w:rPr>
                <w:rFonts w:ascii="宋体" w:hAnsi="宋体"/>
              </w:rPr>
            </w:pP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2409" w:type="dxa"/>
            <w:vAlign w:val="center"/>
          </w:tcPr>
          <w:p>
            <w:pPr>
              <w:jc w:val="center"/>
              <w:rPr>
                <w:rFonts w:ascii="宋体" w:hAnsi="宋体"/>
              </w:rPr>
            </w:pPr>
            <w:r>
              <w:rPr>
                <w:rFonts w:hint="eastAsia" w:ascii="宋体" w:hAnsi="宋体"/>
              </w:rPr>
              <w:t>定标方法</w:t>
            </w:r>
          </w:p>
        </w:tc>
        <w:tc>
          <w:tcPr>
            <w:tcW w:w="4980" w:type="dxa"/>
            <w:vAlign w:val="center"/>
          </w:tcPr>
          <w:p>
            <w:pPr>
              <w:jc w:val="center"/>
              <w:rPr>
                <w:rFonts w:ascii="宋体" w:hAnsi="宋体"/>
              </w:rPr>
            </w:pP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2409" w:type="dxa"/>
            <w:vAlign w:val="center"/>
          </w:tcPr>
          <w:p>
            <w:pPr>
              <w:jc w:val="center"/>
              <w:rPr>
                <w:rFonts w:ascii="宋体" w:hAnsi="宋体"/>
              </w:rPr>
            </w:pPr>
            <w:r>
              <w:rPr>
                <w:rFonts w:hint="eastAsia" w:ascii="宋体" w:hAnsi="宋体"/>
              </w:rPr>
              <w:t>履约担保</w:t>
            </w:r>
          </w:p>
        </w:tc>
        <w:tc>
          <w:tcPr>
            <w:tcW w:w="4980" w:type="dxa"/>
            <w:vAlign w:val="center"/>
          </w:tcPr>
          <w:p>
            <w:pPr>
              <w:jc w:val="center"/>
              <w:rPr>
                <w:rFonts w:ascii="宋体" w:hAnsi="宋体"/>
              </w:rPr>
            </w:pPr>
            <w:r>
              <w:rPr>
                <w:rFonts w:hint="eastAsia" w:ascii="宋体" w:hAnsi="宋体"/>
                <w:lang w:val="en-US" w:eastAsia="zh-CN"/>
              </w:rPr>
              <w:t>需要，详见招标文件第三章用户需求书</w:t>
            </w:r>
          </w:p>
        </w:tc>
      </w:tr>
    </w:tbl>
    <w:p>
      <w:pPr>
        <w:rPr>
          <w:b/>
        </w:rPr>
      </w:pPr>
      <w:r>
        <w:rPr>
          <w:rFonts w:hint="eastAsia"/>
          <w:szCs w:val="21"/>
        </w:rPr>
        <w:t>备注：本表是通用条款相关条款的补充和明确，如与通用条款内容相冲突的，以本表为准。</w:t>
      </w:r>
    </w:p>
    <w:bookmarkEnd w:id="33"/>
    <w:p>
      <w:pPr>
        <w:pStyle w:val="5"/>
        <w:spacing w:before="120" w:beforeLines="50" w:after="120" w:afterLines="50"/>
        <w:rPr>
          <w:szCs w:val="24"/>
        </w:rPr>
      </w:pPr>
      <w:bookmarkStart w:id="35" w:name="_Hlk72218117"/>
      <w:r>
        <w:rPr>
          <w:rFonts w:hint="eastAsia"/>
          <w:szCs w:val="24"/>
        </w:rPr>
        <w:t>二、其他关键信息</w:t>
      </w:r>
    </w:p>
    <w:p>
      <w:pPr>
        <w:ind w:firstLine="422" w:firstLineChars="200"/>
        <w:rPr>
          <w:b/>
          <w:bCs/>
        </w:rPr>
      </w:pPr>
      <w:bookmarkStart w:id="36" w:name="_Hlk72579427"/>
      <w:r>
        <w:rPr>
          <w:rFonts w:hint="eastAsia"/>
          <w:b/>
          <w:bCs/>
        </w:rPr>
        <w:t>（一）与“对通用条款的补充内容”章节相关的事项</w:t>
      </w:r>
    </w:p>
    <w:p>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5"/>
        <w:tblW w:w="8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评标方法</w:t>
            </w:r>
          </w:p>
        </w:tc>
        <w:tc>
          <w:tcPr>
            <w:tcW w:w="5579" w:type="dxa"/>
          </w:tcPr>
          <w:p>
            <w:pPr>
              <w:jc w:val="center"/>
              <w:rPr>
                <w:rFonts w:hint="default" w:eastAsia="宋体"/>
                <w:lang w:val="en-US" w:eastAsia="zh-CN"/>
              </w:rPr>
            </w:pP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候选中标供应商家数</w:t>
            </w:r>
          </w:p>
        </w:tc>
        <w:tc>
          <w:tcPr>
            <w:tcW w:w="5579" w:type="dxa"/>
          </w:tcPr>
          <w:p>
            <w:pPr>
              <w:jc w:val="center"/>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中标供应商家数</w:t>
            </w:r>
          </w:p>
        </w:tc>
        <w:tc>
          <w:tcPr>
            <w:tcW w:w="5579" w:type="dxa"/>
          </w:tcPr>
          <w:p>
            <w:pPr>
              <w:jc w:val="center"/>
            </w:pPr>
            <w:r>
              <w:rPr>
                <w:rFonts w:hint="eastAsia"/>
              </w:rPr>
              <w:t>1</w:t>
            </w:r>
          </w:p>
        </w:tc>
      </w:tr>
    </w:tbl>
    <w:p>
      <w:pPr>
        <w:ind w:firstLine="422" w:firstLineChars="200"/>
        <w:rPr>
          <w:rFonts w:hint="eastAsia"/>
          <w:b/>
        </w:rPr>
      </w:pPr>
    </w:p>
    <w:p>
      <w:pPr>
        <w:ind w:firstLine="422" w:firstLineChars="200"/>
        <w:rPr>
          <w:rFonts w:hint="eastAsia"/>
          <w:b/>
        </w:rPr>
      </w:pPr>
    </w:p>
    <w:p>
      <w:pPr>
        <w:ind w:firstLine="422" w:firstLineChars="200"/>
        <w:rPr>
          <w:b/>
        </w:rPr>
      </w:pPr>
      <w:r>
        <w:rPr>
          <w:rFonts w:hint="eastAsia"/>
          <w:b/>
        </w:rPr>
        <w:t>（二）其他事项</w:t>
      </w:r>
      <w:bookmarkEnd w:id="36"/>
    </w:p>
    <w:p>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rFonts w:hint="eastAsia"/>
          <w:color w:val="FF0000"/>
          <w:u w:val="single"/>
          <w:lang w:val="en-US" w:eastAsia="zh-CN"/>
        </w:rPr>
        <w:t>10</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7" w:name="_Hlk71970739"/>
      <w:r>
        <w:rPr>
          <w:rFonts w:hint="eastAsia" w:asciiTheme="minorEastAsia" w:hAnsiTheme="minorEastAsia" w:eastAsiaTheme="minorEastAsia" w:cstheme="minorEastAsia"/>
          <w:sz w:val="21"/>
          <w:szCs w:val="21"/>
        </w:rPr>
        <w:t>中小企业参加政府采购</w:t>
      </w:r>
      <w:r>
        <w:rPr>
          <w:rFonts w:hint="eastAsia" w:ascii="宋体" w:hAnsi="宋体" w:cs="宋体"/>
          <w:szCs w:val="21"/>
        </w:rPr>
        <w:t>、自行采购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w:t>
      </w:r>
      <w:r>
        <w:rPr>
          <w:rFonts w:hint="eastAsia"/>
          <w:b/>
          <w:bCs/>
          <w:color w:val="FF0000"/>
          <w:lang w:val="en-US" w:eastAsia="zh-CN"/>
        </w:rPr>
        <w:t>清单</w:t>
      </w:r>
      <w:r>
        <w:rPr>
          <w:rFonts w:hint="eastAsia" w:ascii="Times New Roman" w:eastAsia="宋体"/>
          <w:b/>
          <w:bCs/>
          <w:color w:val="FF0000"/>
          <w:lang w:val="en-US" w:eastAsia="zh-CN"/>
        </w:rPr>
        <w:t>明细”的“标的所属行业”一栏为准</w:t>
      </w:r>
      <w:r>
        <w:rPr>
          <w:rFonts w:hint="eastAsia" w:asciiTheme="minorEastAsia" w:hAnsiTheme="minorEastAsia" w:eastAsiaTheme="minorEastAsia" w:cstheme="minorEastAsia"/>
          <w:b/>
          <w:bCs/>
          <w:color w:val="FF0000"/>
          <w:sz w:val="21"/>
          <w:szCs w:val="21"/>
        </w:rPr>
        <w:t>。</w:t>
      </w:r>
      <w:bookmarkEnd w:id="37"/>
    </w:p>
    <w:p>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pPr>
        <w:ind w:firstLine="420" w:firstLineChars="200"/>
        <w:rPr>
          <w:color w:val="FF0000"/>
        </w:rPr>
      </w:pPr>
      <w:r>
        <w:rPr>
          <w:rFonts w:hint="eastAsia"/>
        </w:rPr>
        <w:t>（</w:t>
      </w:r>
      <w:r>
        <w:rPr>
          <w:rFonts w:hint="eastAsia"/>
          <w:lang w:val="en-US" w:eastAsia="zh-CN"/>
        </w:rPr>
        <w:t>5</w:t>
      </w:r>
      <w:r>
        <w:rPr>
          <w:rFonts w:hint="eastAsia"/>
        </w:rPr>
        <w:t>）享受价格扣除获得采购合同的，小微企业不得将合同分包给大中型企业。</w:t>
      </w:r>
    </w:p>
    <w:p>
      <w:pPr>
        <w:ind w:firstLine="422" w:firstLineChars="200"/>
        <w:rPr>
          <w:rFonts w:hint="eastAsia"/>
          <w:b/>
          <w:bCs/>
          <w:lang w:val="en-US" w:eastAsia="zh-CN"/>
        </w:rPr>
      </w:pPr>
    </w:p>
    <w:p>
      <w:pPr>
        <w:ind w:firstLine="422" w:firstLineChars="200"/>
        <w:rPr>
          <w:rFonts w:hint="eastAsia"/>
          <w:b/>
          <w:bCs/>
          <w:lang w:val="en-US" w:eastAsia="zh-CN"/>
        </w:rPr>
      </w:pPr>
      <w:r>
        <w:rPr>
          <w:rFonts w:hint="eastAsia"/>
          <w:b/>
          <w:bCs/>
          <w:lang w:val="en-US" w:eastAsia="zh-CN"/>
        </w:rPr>
        <w:t>2、本项目为代理服务项目，将向中标（成交）供应商收取代理服务费。</w:t>
      </w:r>
    </w:p>
    <w:p>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val="en-US" w:eastAsia="zh-CN"/>
        </w:rPr>
        <w:t>大鹏分公司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标准收取。</w:t>
      </w:r>
      <w:r>
        <w:rPr>
          <w:rFonts w:hint="eastAsia"/>
          <w:b/>
          <w:color w:val="FF0000"/>
        </w:rPr>
        <w:t>本项目类型为货物采购：</w:t>
      </w:r>
    </w:p>
    <w:p>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pPr>
        <w:pStyle w:val="37"/>
        <w:rPr>
          <w:b/>
        </w:rPr>
      </w:pPr>
    </w:p>
    <w:p>
      <w:pPr>
        <w:pStyle w:val="37"/>
        <w:rPr>
          <w:b/>
        </w:rPr>
      </w:pPr>
    </w:p>
    <w:p>
      <w:pPr>
        <w:pStyle w:val="37"/>
        <w:rPr>
          <w:b/>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5"/>
    <w:p>
      <w:pPr>
        <w:pStyle w:val="5"/>
        <w:rPr>
          <w:sz w:val="28"/>
          <w:szCs w:val="28"/>
        </w:rPr>
      </w:pPr>
      <w:r>
        <w:rPr>
          <w:rFonts w:hint="eastAsia"/>
          <w:sz w:val="28"/>
          <w:szCs w:val="28"/>
        </w:rPr>
        <w:t>第三章 用户需求书</w:t>
      </w:r>
    </w:p>
    <w:p>
      <w:pPr>
        <w:pStyle w:val="5"/>
        <w:spacing w:before="120" w:beforeLines="50" w:after="120" w:afterLines="50"/>
        <w:rPr>
          <w:szCs w:val="24"/>
        </w:rPr>
      </w:pPr>
      <w:r>
        <w:rPr>
          <w:rFonts w:hint="eastAsia"/>
          <w:szCs w:val="24"/>
        </w:rPr>
        <w:t>一、项目基本信息</w:t>
      </w:r>
    </w:p>
    <w:p>
      <w:pPr>
        <w:rPr>
          <w:rFonts w:ascii="宋体" w:hAnsi="宋体"/>
          <w:b/>
          <w:color w:val="FF0000"/>
          <w:szCs w:val="21"/>
        </w:rPr>
      </w:pPr>
    </w:p>
    <w:tbl>
      <w:tblPr>
        <w:tblStyle w:val="44"/>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657"/>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pPr>
              <w:jc w:val="center"/>
              <w:rPr>
                <w:bCs/>
                <w:szCs w:val="21"/>
              </w:rPr>
            </w:pPr>
            <w:r>
              <w:rPr>
                <w:rFonts w:hint="eastAsia"/>
                <w:bCs/>
                <w:szCs w:val="21"/>
              </w:rPr>
              <w:t>序号</w:t>
            </w:r>
          </w:p>
        </w:tc>
        <w:tc>
          <w:tcPr>
            <w:tcW w:w="4657" w:type="dxa"/>
            <w:vAlign w:val="center"/>
          </w:tcPr>
          <w:p>
            <w:pPr>
              <w:jc w:val="center"/>
              <w:rPr>
                <w:bCs/>
                <w:szCs w:val="21"/>
              </w:rPr>
            </w:pPr>
            <w:r>
              <w:rPr>
                <w:rFonts w:hint="eastAsia"/>
                <w:bCs/>
                <w:szCs w:val="21"/>
              </w:rPr>
              <w:t>采购项目名称</w:t>
            </w:r>
          </w:p>
        </w:tc>
        <w:tc>
          <w:tcPr>
            <w:tcW w:w="3015" w:type="dxa"/>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pPr>
              <w:jc w:val="center"/>
              <w:rPr>
                <w:bCs/>
                <w:color w:val="FF0000"/>
                <w:szCs w:val="21"/>
              </w:rPr>
            </w:pPr>
            <w:r>
              <w:rPr>
                <w:rFonts w:hint="eastAsia"/>
                <w:bCs/>
                <w:color w:val="FF0000"/>
                <w:szCs w:val="21"/>
              </w:rPr>
              <w:t>1</w:t>
            </w:r>
          </w:p>
        </w:tc>
        <w:tc>
          <w:tcPr>
            <w:tcW w:w="4657" w:type="dxa"/>
            <w:vAlign w:val="center"/>
          </w:tcPr>
          <w:p>
            <w:pPr>
              <w:jc w:val="center"/>
              <w:rPr>
                <w:rFonts w:hint="default" w:eastAsia="宋体"/>
                <w:b/>
                <w:bCs/>
                <w:color w:val="FF0000"/>
                <w:szCs w:val="21"/>
                <w:lang w:val="en-US" w:eastAsia="zh-CN"/>
              </w:rPr>
            </w:pPr>
            <w:r>
              <w:rPr>
                <w:rFonts w:hint="default" w:eastAsia="宋体"/>
                <w:b/>
                <w:bCs/>
                <w:color w:val="FF0000"/>
                <w:szCs w:val="21"/>
                <w:lang w:val="en-US" w:eastAsia="zh-CN"/>
              </w:rPr>
              <w:t>初级脑健康中心设备</w:t>
            </w:r>
            <w:r>
              <w:rPr>
                <w:rFonts w:hint="eastAsia"/>
                <w:b/>
                <w:bCs/>
                <w:color w:val="FF0000"/>
                <w:szCs w:val="21"/>
                <w:lang w:val="en-US" w:eastAsia="zh-CN"/>
              </w:rPr>
              <w:t>采购项目</w:t>
            </w:r>
          </w:p>
        </w:tc>
        <w:tc>
          <w:tcPr>
            <w:tcW w:w="3015" w:type="dxa"/>
            <w:vAlign w:val="center"/>
          </w:tcPr>
          <w:p>
            <w:pPr>
              <w:jc w:val="center"/>
              <w:rPr>
                <w:rFonts w:hint="default" w:eastAsia="宋体"/>
                <w:bCs/>
                <w:color w:val="FF0000"/>
                <w:szCs w:val="21"/>
                <w:lang w:val="en-US" w:eastAsia="zh-CN"/>
              </w:rPr>
            </w:pPr>
            <w:r>
              <w:rPr>
                <w:rFonts w:hint="eastAsia"/>
                <w:bCs/>
                <w:color w:val="FF0000"/>
                <w:szCs w:val="21"/>
                <w:lang w:val="en-US" w:eastAsia="zh-CN"/>
              </w:rPr>
              <w:t>919100</w:t>
            </w:r>
          </w:p>
        </w:tc>
      </w:tr>
    </w:tbl>
    <w:p>
      <w:pPr>
        <w:rPr>
          <w:rFonts w:ascii="宋体" w:hAnsi="宋体"/>
          <w:b/>
          <w:color w:val="FF0000"/>
          <w:szCs w:val="21"/>
        </w:rPr>
      </w:pPr>
    </w:p>
    <w:p>
      <w:pPr>
        <w:rPr>
          <w:rFonts w:ascii="宋体" w:hAnsi="宋体"/>
          <w:b/>
          <w:color w:val="FF0000"/>
          <w:szCs w:val="21"/>
        </w:rPr>
      </w:pPr>
    </w:p>
    <w:p>
      <w:pPr>
        <w:pStyle w:val="5"/>
        <w:spacing w:before="120" w:beforeLines="50" w:after="120" w:afterLines="50"/>
        <w:rPr>
          <w:szCs w:val="24"/>
        </w:rPr>
      </w:pPr>
      <w:bookmarkStart w:id="38" w:name="_Hlk72258617"/>
      <w:r>
        <w:rPr>
          <w:rFonts w:hint="eastAsia"/>
          <w:szCs w:val="24"/>
        </w:rPr>
        <w:t>二、</w:t>
      </w:r>
      <w:bookmarkStart w:id="39" w:name="_Hlk72073432"/>
      <w:r>
        <w:rPr>
          <w:rFonts w:hint="eastAsia"/>
          <w:szCs w:val="24"/>
        </w:rPr>
        <w:t>货物</w:t>
      </w:r>
      <w:r>
        <w:rPr>
          <w:rFonts w:hint="eastAsia"/>
          <w:szCs w:val="24"/>
          <w:lang w:val="en-US" w:eastAsia="zh-CN"/>
        </w:rPr>
        <w:t>清单</w:t>
      </w:r>
      <w:r>
        <w:rPr>
          <w:rFonts w:hint="eastAsia"/>
          <w:szCs w:val="24"/>
        </w:rPr>
        <w:t>明细</w:t>
      </w:r>
      <w:bookmarkEnd w:id="39"/>
    </w:p>
    <w:tbl>
      <w:tblPr>
        <w:tblStyle w:val="44"/>
        <w:tblW w:w="5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2055"/>
        <w:gridCol w:w="825"/>
        <w:gridCol w:w="921"/>
        <w:gridCol w:w="1224"/>
        <w:gridCol w:w="1224"/>
        <w:gridCol w:w="138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序号</w:t>
            </w:r>
          </w:p>
        </w:tc>
        <w:tc>
          <w:tcPr>
            <w:tcW w:w="1058"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货物名称（标的名称）</w:t>
            </w:r>
          </w:p>
        </w:tc>
        <w:tc>
          <w:tcPr>
            <w:tcW w:w="42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数量</w:t>
            </w:r>
          </w:p>
        </w:tc>
        <w:tc>
          <w:tcPr>
            <w:tcW w:w="47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w:t>
            </w:r>
          </w:p>
        </w:tc>
        <w:tc>
          <w:tcPr>
            <w:tcW w:w="630" w:type="pct"/>
            <w:vAlign w:val="center"/>
          </w:tcPr>
          <w:p>
            <w:pPr>
              <w:jc w:val="center"/>
              <w:rPr>
                <w:rFonts w:hint="default"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最高单价限价（元）</w:t>
            </w:r>
          </w:p>
        </w:tc>
        <w:tc>
          <w:tcPr>
            <w:tcW w:w="63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是否接受进口</w:t>
            </w:r>
          </w:p>
        </w:tc>
        <w:tc>
          <w:tcPr>
            <w:tcW w:w="71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是否专门面向中小企业</w:t>
            </w:r>
          </w:p>
        </w:tc>
        <w:tc>
          <w:tcPr>
            <w:tcW w:w="777"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p>
        </w:tc>
        <w:tc>
          <w:tcPr>
            <w:tcW w:w="1058"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认知康复评估与训练仪</w:t>
            </w:r>
          </w:p>
        </w:tc>
        <w:tc>
          <w:tcPr>
            <w:tcW w:w="42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p>
        </w:tc>
        <w:tc>
          <w:tcPr>
            <w:tcW w:w="47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台</w:t>
            </w:r>
          </w:p>
        </w:tc>
        <w:tc>
          <w:tcPr>
            <w:tcW w:w="630" w:type="pct"/>
            <w:vAlign w:val="center"/>
          </w:tcPr>
          <w:p>
            <w:pPr>
              <w:keepNext w:val="0"/>
              <w:keepLines w:val="0"/>
              <w:widowControl/>
              <w:suppressLineNumbers w:val="0"/>
              <w:jc w:val="center"/>
              <w:textAlignment w:val="auto"/>
              <w:rPr>
                <w:rFonts w:hint="default"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387400</w:t>
            </w:r>
          </w:p>
        </w:tc>
        <w:tc>
          <w:tcPr>
            <w:tcW w:w="630"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71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777"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p>
        </w:tc>
        <w:tc>
          <w:tcPr>
            <w:tcW w:w="1058"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自动化学发光免疫分析仪</w:t>
            </w:r>
          </w:p>
        </w:tc>
        <w:tc>
          <w:tcPr>
            <w:tcW w:w="42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p>
        </w:tc>
        <w:tc>
          <w:tcPr>
            <w:tcW w:w="47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套</w:t>
            </w:r>
          </w:p>
        </w:tc>
        <w:tc>
          <w:tcPr>
            <w:tcW w:w="630" w:type="pct"/>
            <w:vAlign w:val="center"/>
          </w:tcPr>
          <w:p>
            <w:pPr>
              <w:keepNext w:val="0"/>
              <w:keepLines w:val="0"/>
              <w:widowControl/>
              <w:suppressLineNumbers w:val="0"/>
              <w:jc w:val="center"/>
              <w:textAlignment w:val="auto"/>
              <w:rPr>
                <w:rFonts w:hint="default"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144300</w:t>
            </w:r>
          </w:p>
        </w:tc>
        <w:tc>
          <w:tcPr>
            <w:tcW w:w="630"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710"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否</w:t>
            </w:r>
          </w:p>
        </w:tc>
        <w:tc>
          <w:tcPr>
            <w:tcW w:w="777"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工业</w:t>
            </w:r>
          </w:p>
        </w:tc>
      </w:tr>
    </w:tbl>
    <w:p>
      <w:pPr>
        <w:ind w:firstLine="422" w:firstLineChars="200"/>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eastAsia="zh-CN"/>
        </w:rPr>
        <w:t>“是否接受进口”</w:t>
      </w:r>
      <w:r>
        <w:rPr>
          <w:rFonts w:hint="eastAsia" w:ascii="宋体" w:hAnsi="宋体"/>
          <w:b/>
          <w:color w:val="FF0000"/>
          <w:szCs w:val="21"/>
        </w:rPr>
        <w:t>栏注明“拒绝进口”的产品不接受投标人选用进口产品参与投标；注明“接受进口”的产品允许投标人选用进口产品参与投标，但不排斥国内产品。</w:t>
      </w:r>
    </w:p>
    <w:p>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2" w:firstLineChars="200"/>
        <w:rPr>
          <w:rFonts w:ascii="宋体" w:hAnsi="宋体"/>
          <w:b/>
          <w:color w:val="FF0000"/>
          <w:szCs w:val="21"/>
        </w:rPr>
      </w:pPr>
      <w:r>
        <w:rPr>
          <w:rFonts w:hint="eastAsia" w:ascii="宋体" w:hAnsi="宋体"/>
          <w:b/>
          <w:color w:val="FF0000"/>
          <w:szCs w:val="21"/>
        </w:rPr>
        <w:t>3、本项目核心产品为：</w:t>
      </w:r>
      <w:r>
        <w:rPr>
          <w:rFonts w:hint="eastAsia" w:ascii="宋体" w:hAnsi="宋体"/>
          <w:b/>
          <w:color w:val="FF0000"/>
          <w:szCs w:val="21"/>
          <w:highlight w:val="yellow"/>
          <w:u w:val="single"/>
        </w:rPr>
        <w:t xml:space="preserve"> 认知康复评估与训练仪</w:t>
      </w:r>
      <w:r>
        <w:rPr>
          <w:rFonts w:hint="eastAsia" w:ascii="宋体" w:hAnsi="宋体"/>
          <w:b/>
          <w:color w:val="FF0000"/>
          <w:szCs w:val="21"/>
          <w:u w:val="single"/>
        </w:rPr>
        <w:t xml:space="preserve"> </w:t>
      </w:r>
      <w:r>
        <w:rPr>
          <w:rFonts w:hint="eastAsia" w:ascii="宋体" w:hAnsi="宋体"/>
          <w:b/>
          <w:color w:val="FF0000"/>
          <w:szCs w:val="21"/>
        </w:rPr>
        <w:t>。</w:t>
      </w:r>
    </w:p>
    <w:bookmarkEnd w:id="38"/>
    <w:p>
      <w:pPr>
        <w:rPr>
          <w:rFonts w:ascii="宋体" w:hAnsi="宋体"/>
          <w:b/>
          <w:color w:val="FF0000"/>
          <w:szCs w:val="21"/>
        </w:rPr>
      </w:pPr>
    </w:p>
    <w:p>
      <w:pPr>
        <w:pStyle w:val="8"/>
      </w:pPr>
    </w:p>
    <w:p>
      <w:pPr>
        <w:pStyle w:val="5"/>
        <w:spacing w:before="120" w:beforeLines="50" w:after="120" w:afterLines="50"/>
        <w:rPr>
          <w:sz w:val="28"/>
          <w:szCs w:val="28"/>
        </w:rPr>
      </w:pPr>
      <w:bookmarkStart w:id="40" w:name="_Toc128884461"/>
      <w:r>
        <w:rPr>
          <w:rFonts w:hint="eastAsia"/>
          <w:sz w:val="28"/>
          <w:szCs w:val="28"/>
        </w:rPr>
        <w:t>三、实质性条款</w:t>
      </w:r>
    </w:p>
    <w:tbl>
      <w:tblPr>
        <w:tblStyle w:val="44"/>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282"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adjustRightInd w:val="0"/>
              <w:snapToGrid w:val="0"/>
              <w:spacing w:line="360" w:lineRule="auto"/>
              <w:jc w:val="both"/>
              <w:rPr>
                <w:rFonts w:hint="eastAsia" w:ascii="宋体" w:hAnsi="宋体" w:eastAsia="宋体"/>
                <w:kern w:val="0"/>
                <w:szCs w:val="21"/>
                <w:lang w:eastAsia="zh-CN"/>
              </w:rPr>
            </w:pPr>
            <w:r>
              <w:rPr>
                <w:rFonts w:hint="eastAsia" w:ascii="宋体" w:hAnsi="宋体"/>
                <w:kern w:val="0"/>
                <w:szCs w:val="21"/>
                <w:lang w:val="en-US" w:eastAsia="zh-CN"/>
              </w:rPr>
              <w:t>1</w:t>
            </w:r>
          </w:p>
        </w:tc>
        <w:tc>
          <w:tcPr>
            <w:tcW w:w="7282" w:type="dxa"/>
            <w:vAlign w:val="center"/>
          </w:tcPr>
          <w:p>
            <w:pPr>
              <w:adjustRightInd w:val="0"/>
              <w:snapToGrid w:val="0"/>
              <w:spacing w:line="360" w:lineRule="auto"/>
              <w:jc w:val="both"/>
              <w:rPr>
                <w:rFonts w:hAnsi="宋体"/>
                <w:kern w:val="0"/>
                <w:szCs w:val="21"/>
              </w:rPr>
            </w:pPr>
            <w:r>
              <w:rPr>
                <w:rFonts w:hint="eastAsia" w:ascii="宋体" w:hAnsi="宋体"/>
                <w:kern w:val="0"/>
                <w:szCs w:val="21"/>
              </w:rPr>
              <w:t>具体以采购文件第三章 用户需求书中带“★”的需求项为准。</w:t>
            </w:r>
          </w:p>
        </w:tc>
      </w:tr>
    </w:tbl>
    <w:p>
      <w:pPr>
        <w:rPr>
          <w:b/>
        </w:rPr>
      </w:pPr>
      <w:r>
        <w:rPr>
          <w:rFonts w:hint="eastAsia"/>
          <w:b/>
        </w:rPr>
        <w:t>注：上表所列内容为不可负偏离条款</w:t>
      </w:r>
      <w:bookmarkEnd w:id="40"/>
      <w:r>
        <w:rPr>
          <w:rFonts w:hint="eastAsia"/>
          <w:b/>
        </w:rPr>
        <w:t>，负偏离将视为未实质性满足招标文件要求作投标无效处理。</w:t>
      </w:r>
    </w:p>
    <w:p>
      <w:pPr>
        <w:rPr>
          <w:b/>
          <w:szCs w:val="21"/>
        </w:rPr>
      </w:pPr>
    </w:p>
    <w:p>
      <w:pPr>
        <w:pStyle w:val="8"/>
      </w:pPr>
    </w:p>
    <w:p>
      <w:pPr>
        <w:keepNext/>
        <w:keepLines/>
        <w:widowControl w:val="0"/>
        <w:adjustRightInd w:val="0"/>
        <w:spacing w:before="120" w:beforeLines="50" w:after="120" w:afterLines="50" w:line="240" w:lineRule="auto"/>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四、技术要求</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rPr>
      </w:pPr>
      <w:r>
        <w:rPr>
          <w:rFonts w:hint="eastAsia" w:ascii="Times New Roman" w:hAnsi="Times New Roman" w:eastAsia="宋体" w:cs="Times New Roman"/>
          <w:b/>
          <w:szCs w:val="21"/>
        </w:rPr>
        <w:t>说明：</w:t>
      </w:r>
      <w:r>
        <w:rPr>
          <w:rFonts w:ascii="Times New Roman" w:hAnsi="Times New Roman" w:eastAsia="宋体" w:cs="Times New Roman"/>
          <w:b/>
          <w:szCs w:val="21"/>
        </w:rPr>
        <w:t xml:space="preserve"> </w:t>
      </w:r>
      <w:r>
        <w:rPr>
          <w:rFonts w:ascii="Times New Roman" w:hAnsi="Times New Roman" w:eastAsia="宋体" w:cs="Times New Roman"/>
          <w:b/>
        </w:rPr>
        <w:t>1</w:t>
      </w:r>
      <w:r>
        <w:rPr>
          <w:rFonts w:hint="eastAsia" w:ascii="Times New Roman" w:hAnsi="Times New Roman" w:eastAsia="宋体" w:cs="Times New Roman"/>
          <w:b/>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szCs w:val="21"/>
        </w:rPr>
      </w:pPr>
      <w:r>
        <w:rPr>
          <w:rFonts w:ascii="Times New Roman" w:hAnsi="Times New Roman" w:eastAsia="宋体" w:cs="Times New Roman"/>
          <w:b/>
          <w:szCs w:val="21"/>
        </w:rPr>
        <w:t>2</w:t>
      </w:r>
      <w:r>
        <w:rPr>
          <w:rFonts w:hint="eastAsia" w:ascii="Times New Roman" w:hAnsi="Times New Roman" w:eastAsia="宋体" w:cs="Times New Roman"/>
          <w:b/>
          <w:szCs w:val="21"/>
        </w:rPr>
        <w:t>、带★号条款为不可</w:t>
      </w:r>
      <w:r>
        <w:rPr>
          <w:rFonts w:hint="eastAsia" w:ascii="Times New Roman" w:hAnsi="Times New Roman" w:eastAsia="宋体" w:cs="Times New Roman"/>
          <w:b/>
          <w:szCs w:val="21"/>
          <w:lang w:val="en-US" w:eastAsia="zh-CN"/>
        </w:rPr>
        <w:t>负</w:t>
      </w:r>
      <w:r>
        <w:rPr>
          <w:rFonts w:hint="eastAsia" w:ascii="Times New Roman" w:hAnsi="Times New Roman" w:eastAsia="宋体" w:cs="Times New Roman"/>
          <w:b/>
          <w:szCs w:val="21"/>
        </w:rPr>
        <w:t>偏离条款，不作为评分准则中的评分内容</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rPr>
        <w:t>如未响应或出现负偏离的，将作投标无效处理；带“</w:t>
      </w:r>
      <w:r>
        <w:rPr>
          <w:rFonts w:ascii="Times New Roman" w:hAnsi="Times New Roman" w:eastAsia="宋体" w:cs="Times New Roman"/>
        </w:rPr>
        <w:t>▲</w:t>
      </w:r>
      <w:r>
        <w:rPr>
          <w:rFonts w:hint="eastAsia" w:ascii="Times New Roman" w:hAnsi="Times New Roman" w:eastAsia="宋体" w:cs="Times New Roman"/>
          <w:b/>
          <w:szCs w:val="21"/>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ascii="Times New Roman" w:hAnsi="Times New Roman" w:eastAsia="宋体" w:cs="Times New Roman"/>
          <w:b/>
          <w:szCs w:val="21"/>
        </w:rPr>
        <w:t>3</w:t>
      </w:r>
      <w:r>
        <w:rPr>
          <w:rFonts w:hint="eastAsia" w:ascii="Times New Roman" w:hAnsi="Times New Roman" w:eastAsia="宋体" w:cs="Times New Roman"/>
          <w:b/>
          <w:szCs w:val="21"/>
        </w:rPr>
        <w:t>、</w:t>
      </w:r>
      <w:bookmarkStart w:id="41" w:name="_Hlk72585069"/>
      <w:r>
        <w:rPr>
          <w:rFonts w:hint="eastAsia" w:ascii="Times New Roman" w:hAnsi="Times New Roman" w:eastAsia="宋体" w:cs="Times New Roman"/>
          <w:b/>
          <w:szCs w:val="21"/>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（1）涉及相关既定值的，例：招标技术参数要求值为“20L”，投标技术参数响应值与“20L”不一致的，均视为负偏离；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（3）涉及相关区间范围值的，</w:t>
      </w:r>
      <w:r>
        <w:rPr>
          <w:rFonts w:hint="eastAsia" w:ascii="Times New Roman" w:hAnsi="Times New Roman" w:eastAsia="宋体" w:cs="Times New Roman"/>
          <w:b/>
          <w:kern w:val="2"/>
          <w:sz w:val="21"/>
          <w:szCs w:val="21"/>
          <w:lang w:val="en-US" w:eastAsia="zh-CN" w:bidi="ar-SA"/>
        </w:rPr>
        <w:t>除特别注明以外，均包含首尾两端本数。</w:t>
      </w:r>
      <w:r>
        <w:rPr>
          <w:rFonts w:hint="eastAsia" w:ascii="Times New Roman" w:hAnsi="Times New Roman" w:eastAsia="宋体" w:cs="Times New Roman"/>
          <w:kern w:val="2"/>
          <w:sz w:val="21"/>
          <w:szCs w:val="20"/>
          <w:lang w:val="en-US" w:eastAsia="zh-CN" w:bidi="ar-SA"/>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left"/>
        <w:rPr>
          <w:rFonts w:hint="default" w:ascii="Times New Roman" w:hAnsi="Times New Roman" w:eastAsia="宋体" w:cs="Times New Roman"/>
          <w:b/>
          <w:color w:val="FF0000"/>
          <w:szCs w:val="21"/>
          <w:lang w:val="en-US" w:eastAsia="zh-CN"/>
        </w:rPr>
      </w:pPr>
      <w:r>
        <w:rPr>
          <w:rFonts w:hint="eastAsia" w:ascii="Times New Roman" w:hAnsi="Times New Roman" w:eastAsia="宋体" w:cs="Times New Roman"/>
          <w:b/>
          <w:color w:val="FF0000"/>
          <w:szCs w:val="21"/>
          <w:lang w:val="en-US" w:eastAsia="zh-CN"/>
        </w:rPr>
        <w:t>6.在</w:t>
      </w:r>
      <w:r>
        <w:rPr>
          <w:rFonts w:hint="eastAsia" w:ascii="Times New Roman" w:hAnsi="Times New Roman" w:eastAsia="宋体" w:cs="Times New Roman"/>
          <w:b/>
          <w:color w:val="FF0000"/>
          <w:szCs w:val="21"/>
        </w:rPr>
        <w:t>招标技术要求中</w:t>
      </w:r>
      <w:r>
        <w:rPr>
          <w:rFonts w:hint="eastAsia" w:ascii="Times New Roman" w:hAnsi="Times New Roman" w:eastAsia="宋体" w:cs="Times New Roman"/>
          <w:b/>
          <w:color w:val="FF0000"/>
          <w:szCs w:val="21"/>
          <w:lang w:eastAsia="zh-CN"/>
        </w:rPr>
        <w:t>，</w:t>
      </w:r>
      <w:r>
        <w:rPr>
          <w:rFonts w:hint="eastAsia" w:ascii="Times New Roman" w:hAnsi="Times New Roman" w:eastAsia="宋体" w:cs="Times New Roman"/>
          <w:b/>
          <w:color w:val="FF0000"/>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hint="eastAsia" w:ascii="Times New Roman" w:hAnsi="Times New Roman" w:eastAsia="宋体" w:cs="Times New Roman"/>
          <w:kern w:val="2"/>
          <w:sz w:val="21"/>
          <w:szCs w:val="20"/>
          <w:lang w:val="en-US" w:eastAsia="zh-CN" w:bidi="ar-SA"/>
        </w:rPr>
      </w:pPr>
    </w:p>
    <w:bookmarkEnd w:id="41"/>
    <w:tbl>
      <w:tblPr>
        <w:tblStyle w:val="44"/>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134"/>
        <w:gridCol w:w="6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1" w:type="dxa"/>
            <w:vAlign w:val="center"/>
          </w:tcPr>
          <w:p>
            <w:pPr>
              <w:jc w:val="center"/>
              <w:rPr>
                <w:rFonts w:hint="eastAsia" w:ascii="宋体" w:hAnsi="宋体" w:eastAsia="宋体" w:cs="宋体"/>
                <w:color w:val="000000" w:themeColor="text1"/>
                <w:sz w:val="21"/>
                <w:szCs w:val="21"/>
                <w14:textFill>
                  <w14:solidFill>
                    <w14:schemeClr w14:val="tx1"/>
                  </w14:solidFill>
                </w14:textFill>
              </w:rPr>
            </w:pPr>
            <w:bookmarkStart w:id="42" w:name="_Hlk70236148"/>
            <w:r>
              <w:rPr>
                <w:rFonts w:hint="eastAsia" w:ascii="宋体" w:hAnsi="宋体" w:eastAsia="宋体" w:cs="宋体"/>
                <w:color w:val="000000" w:themeColor="text1"/>
                <w:sz w:val="21"/>
                <w:szCs w:val="21"/>
                <w14:textFill>
                  <w14:solidFill>
                    <w14:schemeClr w14:val="tx1"/>
                  </w14:solidFill>
                </w14:textFill>
              </w:rPr>
              <w:t>序号</w:t>
            </w:r>
          </w:p>
        </w:tc>
        <w:tc>
          <w:tcPr>
            <w:tcW w:w="1134" w:type="dxa"/>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货物名称</w:t>
            </w:r>
          </w:p>
        </w:tc>
        <w:tc>
          <w:tcPr>
            <w:tcW w:w="6485" w:type="dxa"/>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134"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认知康复评估与训练仪</w:t>
            </w:r>
          </w:p>
          <w:p>
            <w:pPr>
              <w:jc w:val="cente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1.设备具备筛查、评估、训练三个功能。具有包含反应速度、视听知觉、注意力维持等认知训练以及服药、预备水果、清洗碟碗等日常生活场常见场景泛化训练（ADL）。</w:t>
            </w:r>
            <w:r>
              <w:rPr>
                <w:rFonts w:hint="eastAsia" w:ascii="宋体" w:hAnsi="宋体" w:cs="宋体"/>
                <w:i w:val="0"/>
                <w:iCs w:val="0"/>
                <w:color w:val="000000"/>
                <w:kern w:val="0"/>
                <w:sz w:val="21"/>
                <w:szCs w:val="21"/>
                <w:u w:val="none"/>
                <w:lang w:val="en-US" w:eastAsia="zh-CN" w:bidi="ar"/>
              </w:rPr>
              <w:t>可</w:t>
            </w:r>
            <w:r>
              <w:rPr>
                <w:rFonts w:hint="eastAsia" w:ascii="宋体" w:hAnsi="宋体" w:eastAsia="宋体" w:cs="宋体"/>
                <w:i w:val="0"/>
                <w:iCs w:val="0"/>
                <w:color w:val="000000"/>
                <w:kern w:val="0"/>
                <w:sz w:val="21"/>
                <w:szCs w:val="21"/>
                <w:u w:val="none"/>
                <w:lang w:val="en-US" w:eastAsia="zh-CN" w:bidi="ar"/>
              </w:rPr>
              <w:t>通过量表对患者认知功进行评估，评估后出具结果报告，</w:t>
            </w:r>
            <w:r>
              <w:rPr>
                <w:rFonts w:hint="eastAsia" w:ascii="宋体" w:hAnsi="宋体" w:cs="宋体"/>
                <w:i w:val="0"/>
                <w:iCs w:val="0"/>
                <w:color w:val="000000"/>
                <w:kern w:val="0"/>
                <w:sz w:val="21"/>
                <w:szCs w:val="21"/>
                <w:u w:val="none"/>
                <w:lang w:val="en-US" w:eastAsia="zh-CN" w:bidi="ar"/>
              </w:rPr>
              <w:t>并</w:t>
            </w:r>
            <w:r>
              <w:rPr>
                <w:rFonts w:hint="eastAsia" w:ascii="宋体" w:hAnsi="宋体" w:eastAsia="宋体" w:cs="宋体"/>
                <w:i w:val="0"/>
                <w:iCs w:val="0"/>
                <w:color w:val="000000"/>
                <w:kern w:val="0"/>
                <w:sz w:val="21"/>
                <w:szCs w:val="21"/>
                <w:u w:val="none"/>
                <w:lang w:val="en-US" w:eastAsia="zh-CN" w:bidi="ar"/>
              </w:rPr>
              <w:t>针对该报告制定个性化训练计划并进行训练。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2.至少具备MoCA、OCS、NCSE三种认知专项量表测评，拥有治疗师和患者双屏共评模式和患者自评模式两种评估方式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3.具有评估范畴：记忆力、语言、数字、实践、注意与执行功能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4.具备多种训练制定方式，可根据训练评估制定方案、MOCA评估制定方案、个性化定制方案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5.筛查细项（注意力、执行功能、视空间和加工速度细项等多维度）需同时具有动画指引和语音读题功能。语音读题支持普通话、福清话、闽南话、粤语、海南话多种语言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6.训练题目大于2000个，具备难度等级制度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7.有医生</w:t>
            </w:r>
            <w:r>
              <w:rPr>
                <w:rFonts w:hint="eastAsia" w:ascii="宋体" w:hAnsi="宋体" w:cs="宋体"/>
                <w:i w:val="0"/>
                <w:iCs w:val="0"/>
                <w:color w:val="000000"/>
                <w:kern w:val="0"/>
                <w:sz w:val="21"/>
                <w:szCs w:val="21"/>
                <w:u w:val="none"/>
                <w:lang w:val="en-US" w:eastAsia="zh-CN" w:bidi="ar"/>
              </w:rPr>
              <w:t>端</w:t>
            </w:r>
            <w:r>
              <w:rPr>
                <w:rFonts w:hint="eastAsia" w:ascii="宋体" w:hAnsi="宋体" w:eastAsia="宋体" w:cs="宋体"/>
                <w:i w:val="0"/>
                <w:iCs w:val="0"/>
                <w:color w:val="000000"/>
                <w:kern w:val="0"/>
                <w:sz w:val="21"/>
                <w:szCs w:val="21"/>
                <w:u w:val="none"/>
                <w:lang w:val="en-US" w:eastAsia="zh-CN" w:bidi="ar"/>
              </w:rPr>
              <w:t>和患者端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8.筛查报告</w:t>
            </w:r>
            <w:r>
              <w:rPr>
                <w:rFonts w:hint="eastAsia" w:ascii="宋体" w:hAnsi="宋体" w:cs="宋体"/>
                <w:i w:val="0"/>
                <w:iCs w:val="0"/>
                <w:color w:val="000000"/>
                <w:kern w:val="0"/>
                <w:sz w:val="21"/>
                <w:szCs w:val="21"/>
                <w:u w:val="none"/>
                <w:lang w:val="en-US" w:eastAsia="zh-CN" w:bidi="ar"/>
              </w:rPr>
              <w:t>需</w:t>
            </w:r>
            <w:r>
              <w:rPr>
                <w:rFonts w:hint="eastAsia" w:ascii="宋体" w:hAnsi="宋体" w:eastAsia="宋体" w:cs="宋体"/>
                <w:i w:val="0"/>
                <w:iCs w:val="0"/>
                <w:color w:val="000000"/>
                <w:kern w:val="0"/>
                <w:sz w:val="21"/>
                <w:szCs w:val="21"/>
                <w:u w:val="none"/>
                <w:lang w:val="en-US" w:eastAsia="zh-CN" w:bidi="ar"/>
              </w:rPr>
              <w:t>包含语音读报告、测评用时、筛查结论、筛查分值、结果解释、筛查分值说明、筛查细项</w:t>
            </w:r>
            <w:r>
              <w:rPr>
                <w:rFonts w:hint="eastAsia" w:ascii="宋体" w:hAnsi="宋体" w:cs="宋体"/>
                <w:i w:val="0"/>
                <w:iCs w:val="0"/>
                <w:color w:val="000000"/>
                <w:kern w:val="0"/>
                <w:sz w:val="21"/>
                <w:szCs w:val="21"/>
                <w:u w:val="none"/>
                <w:lang w:val="en-US" w:eastAsia="zh-CN" w:bidi="ar"/>
              </w:rPr>
              <w:t>等</w:t>
            </w:r>
            <w:r>
              <w:rPr>
                <w:rFonts w:hint="eastAsia" w:ascii="宋体" w:hAnsi="宋体" w:eastAsia="宋体" w:cs="宋体"/>
                <w:i w:val="0"/>
                <w:iCs w:val="0"/>
                <w:color w:val="000000"/>
                <w:kern w:val="0"/>
                <w:sz w:val="21"/>
                <w:szCs w:val="21"/>
                <w:u w:val="none"/>
                <w:lang w:val="en-US" w:eastAsia="zh-CN" w:bidi="ar"/>
              </w:rPr>
              <w:t>。</w:t>
            </w:r>
          </w:p>
        </w:tc>
      </w:tr>
      <w:bookmark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9.屏幕</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15.6英寸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10.支持通过平板使用电子化量表，可提供语音播放标准指导语、自动评分、实时存储、自动生成评估结论及建议、自定义出具认知评估结论、数据查看功能。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Cs/>
                <w:sz w:val="21"/>
                <w:szCs w:val="21"/>
              </w:rPr>
              <w:t>★</w:t>
            </w:r>
            <w:r>
              <w:rPr>
                <w:rFonts w:hint="eastAsia" w:ascii="宋体" w:hAnsi="宋体" w:eastAsia="宋体" w:cs="宋体"/>
                <w:i w:val="0"/>
                <w:iCs w:val="0"/>
                <w:color w:val="000000"/>
                <w:kern w:val="0"/>
                <w:sz w:val="21"/>
                <w:szCs w:val="21"/>
                <w:u w:val="none"/>
                <w:lang w:val="en-US" w:eastAsia="zh-CN" w:bidi="ar"/>
              </w:rPr>
              <w:t>配置清单：</w:t>
            </w:r>
          </w:p>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认知康复评估与训练工作站2台</w:t>
            </w:r>
          </w:p>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数字认知功能筛查仪2台</w:t>
            </w:r>
          </w:p>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平板终端2台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1134"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自动化学发光免疫分析仪</w:t>
            </w:r>
          </w:p>
          <w:p>
            <w:pPr>
              <w:tabs>
                <w:tab w:val="left" w:pos="520"/>
              </w:tabs>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Cs/>
                <w:sz w:val="21"/>
                <w:szCs w:val="21"/>
              </w:rPr>
              <w:t>★</w:t>
            </w:r>
            <w:r>
              <w:rPr>
                <w:rFonts w:hint="eastAsia" w:ascii="宋体" w:hAnsi="宋体" w:eastAsia="宋体" w:cs="宋体"/>
                <w:i w:val="0"/>
                <w:iCs w:val="0"/>
                <w:color w:val="000000"/>
                <w:kern w:val="0"/>
                <w:sz w:val="21"/>
                <w:szCs w:val="21"/>
                <w:u w:val="none"/>
                <w:lang w:val="en-US" w:eastAsia="zh-CN" w:bidi="ar"/>
              </w:rPr>
              <w:t>1.支持血清和血浆；采用夹心法原理进行检测，用 Aβ1-40/Aβ1-42/p-Tau181/</w:t>
            </w:r>
            <w:r>
              <w:rPr>
                <w:rFonts w:hint="eastAsia" w:ascii="宋体" w:hAnsi="宋体" w:eastAsia="宋体" w:cs="宋体"/>
                <w:i w:val="0"/>
                <w:iCs w:val="0"/>
                <w:color w:val="auto"/>
                <w:kern w:val="0"/>
                <w:sz w:val="21"/>
                <w:szCs w:val="21"/>
                <w:u w:val="none"/>
                <w:lang w:val="en-US" w:eastAsia="zh-CN" w:bidi="ar"/>
              </w:rPr>
              <w:t>p-Tau217</w:t>
            </w:r>
            <w:r>
              <w:rPr>
                <w:rFonts w:hint="eastAsia" w:ascii="宋体" w:hAnsi="宋体" w:eastAsia="宋体" w:cs="宋体"/>
                <w:i w:val="0"/>
                <w:iCs w:val="0"/>
                <w:color w:val="000000"/>
                <w:kern w:val="0"/>
                <w:sz w:val="21"/>
                <w:szCs w:val="21"/>
                <w:u w:val="none"/>
                <w:lang w:val="en-US" w:eastAsia="zh-CN" w:bidi="ar"/>
              </w:rPr>
              <w:t>/GFAP/NfL抗体包被磁微粒混悬液，吖啶酯标记Aβ1-40/Aβ1-42/p-Tau181/p-Tau217/GFAP/NfL抗体制备吖啶酯标记物。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2.检测速度≥200测试/小时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3.首样本测试运行时间＜30分钟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4.支持批量检测，可放入≥60个样本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5.试剂位：≥25个，支持带冷藏功能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6.具备清洗功能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7.携带污染率：≤5×10</w:t>
            </w:r>
            <w:r>
              <w:rPr>
                <w:rFonts w:hint="eastAsia" w:ascii="宋体" w:hAnsi="宋体" w:eastAsia="宋体" w:cs="宋体"/>
                <w:i w:val="0"/>
                <w:iCs w:val="0"/>
                <w:color w:val="000000"/>
                <w:kern w:val="0"/>
                <w:sz w:val="21"/>
                <w:szCs w:val="21"/>
                <w:u w:val="none"/>
                <w:vertAlign w:val="superscript"/>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8.反应杯装载量：≥500个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9.孵育孔位≥90个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Cs/>
                <w:sz w:val="21"/>
                <w:szCs w:val="21"/>
              </w:rPr>
              <w:t>★</w:t>
            </w:r>
            <w:r>
              <w:rPr>
                <w:rFonts w:hint="eastAsia" w:ascii="宋体" w:hAnsi="宋体" w:eastAsia="宋体" w:cs="宋体"/>
                <w:i w:val="0"/>
                <w:iCs w:val="0"/>
                <w:color w:val="000000"/>
                <w:kern w:val="0"/>
                <w:sz w:val="21"/>
                <w:szCs w:val="21"/>
                <w:u w:val="none"/>
                <w:lang w:val="en-US" w:eastAsia="zh-CN" w:bidi="ar"/>
              </w:rPr>
              <w:t>配置清单：</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整机 1台</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电源线 1根</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手持式条码扫描仪</w:t>
            </w:r>
            <w:r>
              <w:rPr>
                <w:rFonts w:hint="eastAsia" w:ascii="宋体" w:hAnsi="宋体" w:eastAsia="宋体" w:cs="宋体"/>
                <w:bCs/>
                <w:kern w:val="2"/>
                <w:sz w:val="21"/>
                <w:szCs w:val="21"/>
                <w:lang w:val="en-US" w:eastAsia="zh-CN" w:bidi="ar-SA"/>
              </w:rPr>
              <w:t>1</w:t>
            </w:r>
            <w:r>
              <w:rPr>
                <w:rFonts w:hint="eastAsia" w:ascii="宋体" w:hAnsi="宋体" w:eastAsia="宋体" w:cs="宋体"/>
                <w:i w:val="0"/>
                <w:iCs w:val="0"/>
                <w:color w:val="000000"/>
                <w:kern w:val="0"/>
                <w:sz w:val="21"/>
                <w:szCs w:val="21"/>
                <w:u w:val="none"/>
                <w:lang w:val="en-US" w:eastAsia="zh-CN" w:bidi="ar"/>
              </w:rPr>
              <w:t>个</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外置条码通讯线</w:t>
            </w:r>
            <w:r>
              <w:rPr>
                <w:rFonts w:hint="eastAsia" w:ascii="宋体" w:hAnsi="宋体" w:eastAsia="宋体" w:cs="宋体"/>
                <w:bCs/>
                <w:kern w:val="2"/>
                <w:sz w:val="21"/>
                <w:szCs w:val="21"/>
                <w:lang w:val="en-US" w:eastAsia="zh-CN" w:bidi="ar-SA"/>
              </w:rPr>
              <w:t>1</w:t>
            </w:r>
            <w:r>
              <w:rPr>
                <w:rFonts w:hint="eastAsia" w:ascii="宋体" w:hAnsi="宋体" w:eastAsia="宋体" w:cs="宋体"/>
                <w:i w:val="0"/>
                <w:iCs w:val="0"/>
                <w:color w:val="000000"/>
                <w:kern w:val="0"/>
                <w:sz w:val="21"/>
                <w:szCs w:val="21"/>
                <w:u w:val="none"/>
                <w:lang w:val="en-US" w:eastAsia="zh-CN" w:bidi="ar"/>
              </w:rPr>
              <w:t>根</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保险管</w:t>
            </w:r>
            <w:r>
              <w:rPr>
                <w:rFonts w:hint="eastAsia" w:ascii="宋体" w:hAnsi="宋体" w:eastAsia="宋体" w:cs="宋体"/>
                <w:bCs/>
                <w:kern w:val="2"/>
                <w:sz w:val="21"/>
                <w:szCs w:val="21"/>
                <w:lang w:val="en-US" w:eastAsia="zh-CN" w:bidi="ar-SA"/>
              </w:rPr>
              <w:t>2</w:t>
            </w:r>
            <w:r>
              <w:rPr>
                <w:rFonts w:hint="eastAsia" w:ascii="宋体" w:hAnsi="宋体" w:eastAsia="宋体" w:cs="宋体"/>
                <w:i w:val="0"/>
                <w:iCs w:val="0"/>
                <w:color w:val="000000"/>
                <w:kern w:val="0"/>
                <w:sz w:val="21"/>
                <w:szCs w:val="21"/>
                <w:u w:val="none"/>
                <w:lang w:val="en-US" w:eastAsia="zh-CN" w:bidi="ar"/>
              </w:rPr>
              <w:t>根</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PVC管 ID1/8(3.2mm)× OD1/4(6.4mm) 2000 Mm   </w:t>
            </w:r>
            <w:r>
              <w:rPr>
                <w:rFonts w:hint="eastAsia" w:ascii="宋体" w:hAnsi="宋体" w:eastAsia="宋体" w:cs="宋体"/>
                <w:bCs/>
                <w:kern w:val="2"/>
                <w:sz w:val="21"/>
                <w:szCs w:val="21"/>
                <w:lang w:val="en-US" w:eastAsia="zh-CN" w:bidi="ar-SA"/>
              </w:rPr>
              <w:t>1</w:t>
            </w:r>
            <w:r>
              <w:rPr>
                <w:rFonts w:hint="eastAsia" w:ascii="宋体" w:hAnsi="宋体" w:eastAsia="宋体" w:cs="宋体"/>
                <w:i w:val="0"/>
                <w:iCs w:val="0"/>
                <w:color w:val="000000"/>
                <w:kern w:val="0"/>
                <w:sz w:val="21"/>
                <w:szCs w:val="21"/>
                <w:u w:val="none"/>
                <w:lang w:val="en-US" w:eastAsia="zh-CN" w:bidi="ar"/>
              </w:rPr>
              <w:t>根</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硅胶管 ID3.2mm×OD6.4mm 2000 mm    </w:t>
            </w:r>
            <w:r>
              <w:rPr>
                <w:rFonts w:hint="eastAsia" w:ascii="宋体" w:hAnsi="宋体" w:eastAsia="宋体" w:cs="宋体"/>
                <w:bCs/>
                <w:kern w:val="2"/>
                <w:sz w:val="21"/>
                <w:szCs w:val="21"/>
                <w:lang w:val="en-US" w:eastAsia="zh-CN" w:bidi="ar-SA"/>
              </w:rPr>
              <w:t>1</w:t>
            </w:r>
            <w:r>
              <w:rPr>
                <w:rFonts w:hint="eastAsia" w:ascii="宋体" w:hAnsi="宋体" w:eastAsia="宋体" w:cs="宋体"/>
                <w:i w:val="0"/>
                <w:iCs w:val="0"/>
                <w:color w:val="000000"/>
                <w:kern w:val="0"/>
                <w:sz w:val="21"/>
                <w:szCs w:val="21"/>
                <w:u w:val="none"/>
                <w:lang w:val="en-US" w:eastAsia="zh-CN" w:bidi="ar"/>
              </w:rPr>
              <w:t>根</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硅胶管 ID6mm×OD9.5mm 2000 mm    </w:t>
            </w:r>
            <w:r>
              <w:rPr>
                <w:rFonts w:hint="eastAsia" w:ascii="宋体" w:hAnsi="宋体" w:eastAsia="宋体" w:cs="宋体"/>
                <w:bCs/>
                <w:kern w:val="2"/>
                <w:sz w:val="21"/>
                <w:szCs w:val="21"/>
                <w:lang w:val="en-US" w:eastAsia="zh-CN" w:bidi="ar-SA"/>
              </w:rPr>
              <w:t>1</w:t>
            </w:r>
            <w:r>
              <w:rPr>
                <w:rFonts w:hint="eastAsia" w:ascii="宋体" w:hAnsi="宋体" w:eastAsia="宋体" w:cs="宋体"/>
                <w:i w:val="0"/>
                <w:iCs w:val="0"/>
                <w:color w:val="000000"/>
                <w:kern w:val="0"/>
                <w:sz w:val="21"/>
                <w:szCs w:val="21"/>
                <w:u w:val="none"/>
                <w:lang w:val="en-US" w:eastAsia="zh-CN" w:bidi="ar"/>
              </w:rPr>
              <w:t>根</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鲁尔母接头 配管 1/8(3.2mm)    </w:t>
            </w:r>
            <w:r>
              <w:rPr>
                <w:rFonts w:hint="eastAsia" w:ascii="宋体" w:hAnsi="宋体" w:eastAsia="宋体" w:cs="宋体"/>
                <w:bCs/>
                <w:kern w:val="2"/>
                <w:sz w:val="21"/>
                <w:szCs w:val="21"/>
                <w:lang w:val="en-US" w:eastAsia="zh-CN" w:bidi="ar-SA"/>
              </w:rPr>
              <w:t>1</w:t>
            </w:r>
            <w:r>
              <w:rPr>
                <w:rFonts w:hint="eastAsia" w:ascii="宋体" w:hAnsi="宋体" w:eastAsia="宋体" w:cs="宋体"/>
                <w:i w:val="0"/>
                <w:iCs w:val="0"/>
                <w:color w:val="000000"/>
                <w:kern w:val="0"/>
                <w:sz w:val="21"/>
                <w:szCs w:val="21"/>
                <w:u w:val="none"/>
                <w:lang w:val="en-US" w:eastAsia="zh-CN" w:bidi="ar"/>
              </w:rPr>
              <w:t>个</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一次性反应杯 1000PCS/袋      </w:t>
            </w:r>
            <w:r>
              <w:rPr>
                <w:rFonts w:hint="eastAsia" w:ascii="宋体" w:hAnsi="宋体" w:eastAsia="宋体" w:cs="宋体"/>
                <w:bCs/>
                <w:kern w:val="2"/>
                <w:sz w:val="21"/>
                <w:szCs w:val="21"/>
                <w:lang w:val="en-US" w:eastAsia="zh-CN" w:bidi="ar-SA"/>
              </w:rPr>
              <w:t>1袋</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废杯盒</w:t>
            </w:r>
            <w:r>
              <w:rPr>
                <w:rFonts w:hint="eastAsia" w:ascii="宋体" w:hAnsi="宋体" w:eastAsia="宋体" w:cs="宋体"/>
                <w:bCs/>
                <w:kern w:val="2"/>
                <w:sz w:val="21"/>
                <w:szCs w:val="21"/>
                <w:lang w:val="en-US" w:eastAsia="zh-CN" w:bidi="ar-SA"/>
              </w:rPr>
              <w:t>5个</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棕色底物瓶 125ml(附带瓶盖)     </w:t>
            </w:r>
            <w:r>
              <w:rPr>
                <w:rFonts w:hint="eastAsia" w:ascii="宋体" w:hAnsi="宋体" w:eastAsia="宋体" w:cs="宋体"/>
                <w:bCs/>
                <w:kern w:val="2"/>
                <w:sz w:val="21"/>
                <w:szCs w:val="21"/>
                <w:lang w:val="en-US" w:eastAsia="zh-CN" w:bidi="ar-SA"/>
              </w:rPr>
              <w:t>1个</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本色底物瓶 125ml(附带瓶盖)     </w:t>
            </w:r>
            <w:r>
              <w:rPr>
                <w:rFonts w:hint="eastAsia" w:ascii="宋体" w:hAnsi="宋体" w:eastAsia="宋体" w:cs="宋体"/>
                <w:bCs/>
                <w:kern w:val="2"/>
                <w:sz w:val="21"/>
                <w:szCs w:val="21"/>
                <w:lang w:val="en-US" w:eastAsia="zh-CN" w:bidi="ar-SA"/>
              </w:rPr>
              <w:t>1个</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样本架</w:t>
            </w:r>
            <w:r>
              <w:rPr>
                <w:rFonts w:hint="eastAsia" w:ascii="宋体" w:hAnsi="宋体" w:eastAsia="宋体" w:cs="宋体"/>
                <w:bCs/>
                <w:kern w:val="2"/>
                <w:sz w:val="21"/>
                <w:szCs w:val="21"/>
                <w:lang w:val="en-US" w:eastAsia="zh-CN" w:bidi="ar-SA"/>
              </w:rPr>
              <w:t>6个</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新版试剂盒组件</w:t>
            </w:r>
            <w:r>
              <w:rPr>
                <w:rFonts w:hint="eastAsia" w:ascii="宋体" w:hAnsi="宋体" w:eastAsia="宋体" w:cs="宋体"/>
                <w:bCs/>
                <w:kern w:val="2"/>
                <w:sz w:val="21"/>
                <w:szCs w:val="21"/>
                <w:lang w:val="en-US" w:eastAsia="zh-CN" w:bidi="ar-SA"/>
              </w:rPr>
              <w:t>25</w:t>
            </w:r>
            <w:r>
              <w:rPr>
                <w:rFonts w:hint="eastAsia" w:ascii="宋体" w:hAnsi="宋体" w:eastAsia="宋体" w:cs="宋体"/>
                <w:i w:val="0"/>
                <w:iCs w:val="0"/>
                <w:color w:val="000000"/>
                <w:kern w:val="0"/>
                <w:sz w:val="21"/>
                <w:szCs w:val="21"/>
                <w:u w:val="none"/>
                <w:lang w:val="en-US" w:eastAsia="zh-CN" w:bidi="ar"/>
              </w:rPr>
              <w:t>个</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试剂瓶口胶塞 </w:t>
            </w:r>
            <w:r>
              <w:rPr>
                <w:rFonts w:hint="eastAsia" w:ascii="宋体" w:hAnsi="宋体" w:eastAsia="宋体" w:cs="宋体"/>
                <w:bCs/>
                <w:kern w:val="2"/>
                <w:sz w:val="21"/>
                <w:szCs w:val="21"/>
                <w:lang w:val="en-US" w:eastAsia="zh-CN" w:bidi="ar-SA"/>
              </w:rPr>
              <w:t>75</w:t>
            </w:r>
            <w:r>
              <w:rPr>
                <w:rFonts w:hint="eastAsia" w:ascii="宋体" w:hAnsi="宋体" w:eastAsia="宋体" w:cs="宋体"/>
                <w:i w:val="0"/>
                <w:iCs w:val="0"/>
                <w:color w:val="000000"/>
                <w:kern w:val="0"/>
                <w:sz w:val="21"/>
                <w:szCs w:val="21"/>
                <w:u w:val="none"/>
                <w:lang w:val="en-US" w:eastAsia="zh-CN" w:bidi="ar"/>
              </w:rPr>
              <w:t>个</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磁珠瓶硅胶盖 </w:t>
            </w:r>
            <w:r>
              <w:rPr>
                <w:rFonts w:hint="eastAsia" w:ascii="宋体" w:hAnsi="宋体" w:eastAsia="宋体" w:cs="宋体"/>
                <w:bCs/>
                <w:kern w:val="2"/>
                <w:sz w:val="21"/>
                <w:szCs w:val="21"/>
                <w:lang w:val="en-US" w:eastAsia="zh-CN" w:bidi="ar-SA"/>
              </w:rPr>
              <w:t>25</w:t>
            </w:r>
            <w:r>
              <w:rPr>
                <w:rFonts w:hint="eastAsia" w:ascii="宋体" w:hAnsi="宋体" w:eastAsia="宋体" w:cs="宋体"/>
                <w:i w:val="0"/>
                <w:iCs w:val="0"/>
                <w:color w:val="000000"/>
                <w:kern w:val="0"/>
                <w:sz w:val="21"/>
                <w:szCs w:val="21"/>
                <w:u w:val="none"/>
                <w:lang w:val="en-US" w:eastAsia="zh-CN" w:bidi="ar"/>
              </w:rPr>
              <w:t>个</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手柄胶塞</w:t>
            </w:r>
            <w:r>
              <w:rPr>
                <w:rFonts w:hint="eastAsia" w:ascii="宋体" w:hAnsi="宋体" w:eastAsia="宋体" w:cs="宋体"/>
                <w:bCs/>
                <w:kern w:val="2"/>
                <w:sz w:val="21"/>
                <w:szCs w:val="21"/>
                <w:lang w:val="en-US" w:eastAsia="zh-CN" w:bidi="ar-SA"/>
              </w:rPr>
              <w:t>4</w:t>
            </w:r>
            <w:r>
              <w:rPr>
                <w:rFonts w:hint="eastAsia" w:ascii="宋体" w:hAnsi="宋体" w:eastAsia="宋体" w:cs="宋体"/>
                <w:i w:val="0"/>
                <w:iCs w:val="0"/>
                <w:color w:val="000000"/>
                <w:kern w:val="0"/>
                <w:sz w:val="21"/>
                <w:szCs w:val="21"/>
                <w:u w:val="none"/>
                <w:lang w:val="en-US" w:eastAsia="zh-CN" w:bidi="ar"/>
              </w:rPr>
              <w:t>个</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产品使用说明书</w:t>
            </w:r>
            <w:r>
              <w:rPr>
                <w:rFonts w:hint="eastAsia" w:ascii="宋体" w:hAnsi="宋体" w:eastAsia="宋体" w:cs="宋体"/>
                <w:bCs/>
                <w:kern w:val="2"/>
                <w:sz w:val="21"/>
                <w:szCs w:val="21"/>
                <w:lang w:val="en-US" w:eastAsia="zh-CN" w:bidi="ar-SA"/>
              </w:rPr>
              <w:t>1</w:t>
            </w:r>
            <w:r>
              <w:rPr>
                <w:rFonts w:hint="eastAsia" w:ascii="宋体" w:hAnsi="宋体" w:eastAsia="宋体" w:cs="宋体"/>
                <w:i w:val="0"/>
                <w:iCs w:val="0"/>
                <w:color w:val="000000"/>
                <w:kern w:val="0"/>
                <w:sz w:val="21"/>
                <w:szCs w:val="21"/>
                <w:u w:val="none"/>
                <w:lang w:val="en-US" w:eastAsia="zh-CN" w:bidi="ar"/>
              </w:rPr>
              <w:t>份</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简明操作流程卡</w:t>
            </w:r>
            <w:r>
              <w:rPr>
                <w:rFonts w:hint="eastAsia" w:ascii="宋体" w:hAnsi="宋体" w:eastAsia="宋体" w:cs="宋体"/>
                <w:bCs/>
                <w:kern w:val="2"/>
                <w:sz w:val="21"/>
                <w:szCs w:val="21"/>
                <w:lang w:val="en-US" w:eastAsia="zh-CN" w:bidi="ar-SA"/>
              </w:rPr>
              <w:t>1</w:t>
            </w:r>
            <w:r>
              <w:rPr>
                <w:rFonts w:hint="eastAsia" w:ascii="宋体" w:hAnsi="宋体" w:eastAsia="宋体" w:cs="宋体"/>
                <w:i w:val="0"/>
                <w:iCs w:val="0"/>
                <w:color w:val="000000"/>
                <w:kern w:val="0"/>
                <w:sz w:val="21"/>
                <w:szCs w:val="21"/>
                <w:u w:val="none"/>
                <w:lang w:val="en-US" w:eastAsia="zh-CN" w:bidi="ar"/>
              </w:rPr>
              <w:t>份</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产品保修卡</w:t>
            </w:r>
            <w:r>
              <w:rPr>
                <w:rFonts w:hint="eastAsia" w:ascii="宋体" w:hAnsi="宋体" w:eastAsia="宋体" w:cs="宋体"/>
                <w:bCs/>
                <w:kern w:val="2"/>
                <w:sz w:val="21"/>
                <w:szCs w:val="21"/>
                <w:lang w:val="en-US" w:eastAsia="zh-CN" w:bidi="ar-SA"/>
              </w:rPr>
              <w:t>1</w:t>
            </w:r>
            <w:r>
              <w:rPr>
                <w:rFonts w:hint="eastAsia" w:ascii="宋体" w:hAnsi="宋体" w:eastAsia="宋体" w:cs="宋体"/>
                <w:i w:val="0"/>
                <w:iCs w:val="0"/>
                <w:color w:val="000000"/>
                <w:kern w:val="0"/>
                <w:sz w:val="21"/>
                <w:szCs w:val="21"/>
                <w:u w:val="none"/>
                <w:lang w:val="en-US" w:eastAsia="zh-CN" w:bidi="ar"/>
              </w:rPr>
              <w:t>份</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合格证</w:t>
            </w:r>
            <w:r>
              <w:rPr>
                <w:rFonts w:hint="eastAsia" w:ascii="宋体" w:hAnsi="宋体" w:eastAsia="宋体" w:cs="宋体"/>
                <w:bCs/>
                <w:kern w:val="2"/>
                <w:sz w:val="21"/>
                <w:szCs w:val="21"/>
                <w:lang w:val="en-US" w:eastAsia="zh-CN" w:bidi="ar-SA"/>
              </w:rPr>
              <w:t>1</w:t>
            </w:r>
            <w:r>
              <w:rPr>
                <w:rFonts w:hint="eastAsia" w:ascii="宋体" w:hAnsi="宋体" w:eastAsia="宋体" w:cs="宋体"/>
                <w:i w:val="0"/>
                <w:iCs w:val="0"/>
                <w:color w:val="000000"/>
                <w:kern w:val="0"/>
                <w:sz w:val="21"/>
                <w:szCs w:val="21"/>
                <w:u w:val="none"/>
                <w:lang w:val="en-US" w:eastAsia="zh-CN" w:bidi="ar"/>
              </w:rPr>
              <w:t>张</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废液桶 20L    </w:t>
            </w:r>
            <w:r>
              <w:rPr>
                <w:rFonts w:hint="eastAsia" w:ascii="宋体" w:hAnsi="宋体" w:eastAsia="宋体" w:cs="宋体"/>
                <w:bCs/>
                <w:kern w:val="2"/>
                <w:sz w:val="21"/>
                <w:szCs w:val="21"/>
                <w:lang w:val="en-US" w:eastAsia="zh-CN" w:bidi="ar-SA"/>
              </w:rPr>
              <w:t>1</w:t>
            </w:r>
            <w:r>
              <w:rPr>
                <w:rFonts w:hint="eastAsia" w:ascii="宋体" w:hAnsi="宋体" w:eastAsia="宋体" w:cs="宋体"/>
                <w:i w:val="0"/>
                <w:iCs w:val="0"/>
                <w:color w:val="000000"/>
                <w:kern w:val="0"/>
                <w:sz w:val="21"/>
                <w:szCs w:val="21"/>
                <w:u w:val="none"/>
                <w:lang w:val="en-US" w:eastAsia="zh-CN" w:bidi="ar"/>
              </w:rPr>
              <w:t>个</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废液桶盖组件</w:t>
            </w:r>
            <w:r>
              <w:rPr>
                <w:rFonts w:hint="eastAsia" w:ascii="宋体" w:hAnsi="宋体" w:eastAsia="宋体" w:cs="宋体"/>
                <w:bCs/>
                <w:kern w:val="2"/>
                <w:sz w:val="21"/>
                <w:szCs w:val="21"/>
                <w:lang w:val="en-US" w:eastAsia="zh-CN" w:bidi="ar-SA"/>
              </w:rPr>
              <w:t>1</w:t>
            </w:r>
            <w:r>
              <w:rPr>
                <w:rFonts w:hint="eastAsia" w:ascii="宋体" w:hAnsi="宋体" w:eastAsia="宋体" w:cs="宋体"/>
                <w:i w:val="0"/>
                <w:iCs w:val="0"/>
                <w:color w:val="000000"/>
                <w:kern w:val="0"/>
                <w:sz w:val="21"/>
                <w:szCs w:val="21"/>
                <w:u w:val="none"/>
                <w:lang w:val="en-US" w:eastAsia="zh-CN" w:bidi="ar"/>
              </w:rPr>
              <w:t>根</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分离液桶 10L    </w:t>
            </w:r>
            <w:r>
              <w:rPr>
                <w:rFonts w:hint="eastAsia" w:ascii="宋体" w:hAnsi="宋体" w:eastAsia="宋体" w:cs="宋体"/>
                <w:bCs/>
                <w:kern w:val="2"/>
                <w:sz w:val="21"/>
                <w:szCs w:val="21"/>
                <w:lang w:val="en-US" w:eastAsia="zh-CN" w:bidi="ar-SA"/>
              </w:rPr>
              <w:t>2</w:t>
            </w:r>
            <w:r>
              <w:rPr>
                <w:rFonts w:hint="eastAsia" w:ascii="宋体" w:hAnsi="宋体" w:eastAsia="宋体" w:cs="宋体"/>
                <w:i w:val="0"/>
                <w:iCs w:val="0"/>
                <w:color w:val="000000"/>
                <w:kern w:val="0"/>
                <w:sz w:val="21"/>
                <w:szCs w:val="21"/>
                <w:u w:val="none"/>
                <w:lang w:val="en-US" w:eastAsia="zh-CN" w:bidi="ar"/>
              </w:rPr>
              <w:t>个</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分离液桶盖组件</w:t>
            </w:r>
            <w:r>
              <w:rPr>
                <w:rFonts w:hint="eastAsia" w:ascii="宋体" w:hAnsi="宋体" w:eastAsia="宋体" w:cs="宋体"/>
                <w:bCs/>
                <w:kern w:val="2"/>
                <w:sz w:val="21"/>
                <w:szCs w:val="21"/>
                <w:lang w:val="en-US" w:eastAsia="zh-CN" w:bidi="ar-SA"/>
              </w:rPr>
              <w:t>1</w:t>
            </w:r>
            <w:r>
              <w:rPr>
                <w:rFonts w:hint="eastAsia" w:ascii="宋体" w:hAnsi="宋体" w:eastAsia="宋体" w:cs="宋体"/>
                <w:i w:val="0"/>
                <w:iCs w:val="0"/>
                <w:color w:val="000000"/>
                <w:kern w:val="0"/>
                <w:sz w:val="21"/>
                <w:szCs w:val="21"/>
                <w:u w:val="none"/>
                <w:lang w:val="en-US" w:eastAsia="zh-CN" w:bidi="ar"/>
              </w:rPr>
              <w:t>套</w:t>
            </w:r>
          </w:p>
        </w:tc>
      </w:tr>
    </w:tbl>
    <w:p>
      <w:pPr>
        <w:rPr>
          <w:rFonts w:ascii="Times New Roman" w:hAnsi="Times New Roman" w:eastAsia="宋体" w:cs="Times New Roman"/>
          <w:b/>
          <w:szCs w:val="21"/>
        </w:rPr>
      </w:pPr>
    </w:p>
    <w:p>
      <w:pPr>
        <w:rPr>
          <w:rFonts w:ascii="Times New Roman" w:hAnsi="Times New Roman" w:eastAsia="宋体" w:cs="Times New Roman"/>
          <w:b/>
          <w:szCs w:val="21"/>
        </w:rPr>
      </w:pPr>
    </w:p>
    <w:p>
      <w:pPr>
        <w:pStyle w:val="5"/>
        <w:spacing w:before="120" w:beforeLines="50" w:after="120" w:afterLines="50"/>
        <w:rPr>
          <w:sz w:val="28"/>
          <w:szCs w:val="28"/>
        </w:rPr>
      </w:pPr>
      <w:r>
        <w:rPr>
          <w:rFonts w:hint="eastAsia"/>
          <w:sz w:val="28"/>
          <w:szCs w:val="28"/>
        </w:rPr>
        <w:t>五、商务要求</w:t>
      </w:r>
    </w:p>
    <w:p>
      <w:pPr>
        <w:ind w:firstLine="422" w:firstLineChars="200"/>
        <w:rPr>
          <w:b/>
          <w:szCs w:val="21"/>
        </w:rPr>
      </w:pPr>
      <w:r>
        <w:rPr>
          <w:rFonts w:hint="eastAsia"/>
          <w:b/>
          <w:szCs w:val="21"/>
        </w:rPr>
        <w:t>说明：带★号条款为不可偏离条款，不作为评分准则中的评分内容</w:t>
      </w:r>
      <w:r>
        <w:rPr>
          <w:rFonts w:hint="eastAsia"/>
          <w:b/>
          <w:szCs w:val="21"/>
          <w:lang w:eastAsia="zh-CN"/>
        </w:rPr>
        <w:t>，</w:t>
      </w:r>
      <w:r>
        <w:rPr>
          <w:rFonts w:hint="eastAsia"/>
          <w:b/>
          <w:szCs w:val="21"/>
        </w:rPr>
        <w:t>如未响应或出现负偏离的，将作投标无效处理。</w:t>
      </w:r>
    </w:p>
    <w:tbl>
      <w:tblPr>
        <w:tblStyle w:val="478"/>
        <w:tblW w:w="90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1846"/>
        <w:gridCol w:w="63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spacing w:val="6"/>
                <w:kern w:val="0"/>
                <w:sz w:val="21"/>
                <w:szCs w:val="21"/>
              </w:rPr>
              <w:t>序号</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spacing w:val="-14"/>
                <w:kern w:val="0"/>
                <w:sz w:val="21"/>
                <w:szCs w:val="21"/>
              </w:rPr>
              <w:t>目录</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spacing w:val="8"/>
                <w:kern w:val="0"/>
                <w:sz w:val="21"/>
                <w:szCs w:val="21"/>
              </w:rPr>
              <w:t>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spacing w:val="4"/>
                <w:kern w:val="0"/>
                <w:sz w:val="21"/>
                <w:szCs w:val="21"/>
              </w:rPr>
              <w:t>（一）免费保修期内售后服务要求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position w:val="-1"/>
                <w:sz w:val="21"/>
                <w:szCs w:val="21"/>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9"/>
                <w:kern w:val="0"/>
                <w:sz w:val="21"/>
                <w:szCs w:val="21"/>
              </w:rPr>
              <w:t>维修及维护服务</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default" w:asciiTheme="minorEastAsia" w:hAnsiTheme="minorEastAsia" w:eastAsiaTheme="minorEastAsia" w:cstheme="minorEastAsia"/>
                <w:b/>
                <w:bCs/>
                <w:color w:val="FF0000"/>
                <w:spacing w:val="9"/>
                <w:kern w:val="0"/>
                <w:sz w:val="21"/>
                <w:szCs w:val="21"/>
                <w:lang w:val="en-US" w:eastAsia="zh-CN"/>
              </w:rPr>
            </w:pPr>
            <w:r>
              <w:rPr>
                <w:rFonts w:hint="eastAsia" w:asciiTheme="minorEastAsia" w:hAnsiTheme="minorEastAsia" w:eastAsiaTheme="minorEastAsia" w:cstheme="minorEastAsia"/>
                <w:b/>
                <w:bCs/>
                <w:color w:val="FF0000"/>
                <w:spacing w:val="9"/>
                <w:kern w:val="0"/>
                <w:sz w:val="21"/>
                <w:szCs w:val="21"/>
              </w:rPr>
              <w:t>★</w:t>
            </w:r>
            <w:r>
              <w:rPr>
                <w:rFonts w:hint="eastAsia" w:asciiTheme="minorEastAsia" w:hAnsiTheme="minorEastAsia" w:cstheme="minorEastAsia"/>
                <w:b/>
                <w:bCs/>
                <w:color w:val="FF0000"/>
                <w:spacing w:val="9"/>
                <w:kern w:val="0"/>
                <w:sz w:val="21"/>
                <w:szCs w:val="21"/>
                <w:lang w:val="en-US" w:eastAsia="zh-CN"/>
              </w:rPr>
              <w:t>关于免费保修期：</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b/>
                <w:bCs/>
                <w:color w:val="FF0000"/>
                <w:spacing w:val="9"/>
                <w:kern w:val="0"/>
                <w:sz w:val="21"/>
                <w:szCs w:val="21"/>
              </w:rPr>
            </w:pPr>
            <w:r>
              <w:rPr>
                <w:rFonts w:hint="eastAsia" w:asciiTheme="minorEastAsia" w:hAnsiTheme="minorEastAsia" w:eastAsiaTheme="minorEastAsia" w:cstheme="minorEastAsia"/>
                <w:b/>
                <w:bCs/>
                <w:color w:val="FF0000"/>
                <w:spacing w:val="9"/>
                <w:kern w:val="0"/>
                <w:sz w:val="21"/>
                <w:szCs w:val="21"/>
              </w:rPr>
              <w:t>1.1各</w:t>
            </w:r>
            <w:r>
              <w:rPr>
                <w:rFonts w:hint="eastAsia" w:asciiTheme="minorEastAsia" w:hAnsiTheme="minorEastAsia" w:eastAsiaTheme="minorEastAsia" w:cstheme="minorEastAsia"/>
                <w:b/>
                <w:bCs/>
                <w:color w:val="FF0000"/>
                <w:spacing w:val="9"/>
                <w:kern w:val="0"/>
                <w:sz w:val="21"/>
                <w:szCs w:val="21"/>
                <w:lang w:eastAsia="zh-CN"/>
              </w:rPr>
              <w:t>中标人</w:t>
            </w:r>
            <w:r>
              <w:rPr>
                <w:rFonts w:hint="eastAsia" w:asciiTheme="minorEastAsia" w:hAnsiTheme="minorEastAsia" w:eastAsiaTheme="minorEastAsia" w:cstheme="minorEastAsia"/>
                <w:b/>
                <w:bCs/>
                <w:color w:val="FF0000"/>
                <w:spacing w:val="9"/>
                <w:kern w:val="0"/>
                <w:sz w:val="21"/>
                <w:szCs w:val="21"/>
              </w:rPr>
              <w:t>应在投标文件中列明各主机、配件和易耗品的保修期限，并承诺提供</w:t>
            </w:r>
            <w:r>
              <w:rPr>
                <w:rFonts w:hint="eastAsia" w:asciiTheme="minorEastAsia" w:hAnsiTheme="minorEastAsia" w:cstheme="minorEastAsia"/>
                <w:b/>
                <w:bCs/>
                <w:color w:val="FF0000"/>
                <w:spacing w:val="9"/>
                <w:kern w:val="0"/>
                <w:sz w:val="21"/>
                <w:szCs w:val="21"/>
                <w:lang w:val="en-US" w:eastAsia="zh-CN"/>
              </w:rPr>
              <w:t>原厂</w:t>
            </w:r>
            <w:r>
              <w:rPr>
                <w:rFonts w:hint="eastAsia" w:asciiTheme="minorEastAsia" w:hAnsiTheme="minorEastAsia" w:eastAsiaTheme="minorEastAsia" w:cstheme="minorEastAsia"/>
                <w:b/>
                <w:bCs/>
                <w:color w:val="FF0000"/>
                <w:spacing w:val="9"/>
                <w:kern w:val="0"/>
                <w:sz w:val="21"/>
                <w:szCs w:val="21"/>
              </w:rPr>
              <w:t>主机及配件免费保修期</w:t>
            </w:r>
            <w:r>
              <w:rPr>
                <w:rFonts w:hint="eastAsia" w:asciiTheme="minorEastAsia" w:hAnsiTheme="minorEastAsia" w:cstheme="minorEastAsia"/>
                <w:b/>
                <w:bCs/>
                <w:color w:val="FF0000"/>
                <w:spacing w:val="9"/>
                <w:kern w:val="0"/>
                <w:sz w:val="21"/>
                <w:szCs w:val="21"/>
                <w:lang w:val="en-US" w:eastAsia="zh-CN"/>
              </w:rPr>
              <w:t>为5</w:t>
            </w:r>
            <w:r>
              <w:rPr>
                <w:rFonts w:hint="eastAsia" w:asciiTheme="minorEastAsia" w:hAnsiTheme="minorEastAsia" w:eastAsiaTheme="minorEastAsia" w:cstheme="minorEastAsia"/>
                <w:b/>
                <w:bCs/>
                <w:color w:val="FF0000"/>
                <w:spacing w:val="9"/>
                <w:kern w:val="0"/>
                <w:sz w:val="21"/>
                <w:szCs w:val="21"/>
              </w:rPr>
              <w:t>年，保修期以验收合格，双方代表签署“验收报告”之日起计算。</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lang w:val="en-US" w:eastAsia="zh-CN"/>
              </w:rPr>
              <w:t>1.2</w:t>
            </w:r>
            <w:r>
              <w:rPr>
                <w:rFonts w:hint="eastAsia" w:asciiTheme="majorEastAsia" w:hAnsiTheme="majorEastAsia" w:eastAsiaTheme="majorEastAsia" w:cstheme="majorEastAsia"/>
                <w:b/>
                <w:bCs/>
                <w:color w:val="FF0000"/>
                <w:sz w:val="21"/>
                <w:szCs w:val="21"/>
              </w:rPr>
              <w:t>保修期内更换零配件、软件升级、人工等服务如原厂需收费由</w:t>
            </w:r>
            <w:r>
              <w:rPr>
                <w:rFonts w:hint="eastAsia" w:asciiTheme="majorEastAsia" w:hAnsiTheme="majorEastAsia" w:eastAsiaTheme="majorEastAsia" w:cstheme="majorEastAsia"/>
                <w:b/>
                <w:bCs/>
                <w:color w:val="FF0000"/>
                <w:sz w:val="21"/>
                <w:szCs w:val="21"/>
                <w:lang w:val="en-US" w:eastAsia="zh-CN"/>
              </w:rPr>
              <w:t>中标人</w:t>
            </w:r>
            <w:r>
              <w:rPr>
                <w:rFonts w:hint="eastAsia" w:asciiTheme="majorEastAsia" w:hAnsiTheme="majorEastAsia" w:eastAsiaTheme="majorEastAsia" w:cstheme="majorEastAsia"/>
                <w:b/>
                <w:bCs/>
                <w:color w:val="FF0000"/>
                <w:sz w:val="21"/>
                <w:szCs w:val="21"/>
              </w:rPr>
              <w:t>承担。</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Chars="0"/>
              <w:jc w:val="left"/>
              <w:textAlignment w:val="baseline"/>
              <w:rPr>
                <w:rFonts w:hint="eastAsia" w:asciiTheme="majorEastAsia" w:hAnsiTheme="majorEastAsia" w:eastAsiaTheme="majorEastAsia" w:cstheme="majorEastAsia"/>
                <w:b/>
                <w:bCs/>
                <w:color w:val="FF0000"/>
                <w:spacing w:val="0"/>
                <w:sz w:val="21"/>
                <w:szCs w:val="21"/>
                <w:lang w:eastAsia="zh-CN"/>
              </w:rPr>
            </w:pPr>
            <w:r>
              <w:rPr>
                <w:rFonts w:hint="eastAsia" w:asciiTheme="majorEastAsia" w:hAnsiTheme="majorEastAsia" w:eastAsiaTheme="majorEastAsia" w:cstheme="majorEastAsia"/>
                <w:b/>
                <w:bCs/>
                <w:color w:val="FF0000"/>
                <w:spacing w:val="0"/>
                <w:sz w:val="21"/>
                <w:szCs w:val="21"/>
                <w:lang w:val="en-US" w:eastAsia="zh-CN"/>
              </w:rPr>
              <w:t xml:space="preserve">1.3 </w:t>
            </w:r>
            <w:r>
              <w:rPr>
                <w:rFonts w:hint="eastAsia" w:asciiTheme="majorEastAsia" w:hAnsiTheme="majorEastAsia" w:eastAsiaTheme="majorEastAsia" w:cstheme="majorEastAsia"/>
                <w:b/>
                <w:bCs/>
                <w:color w:val="FF0000"/>
                <w:spacing w:val="0"/>
                <w:sz w:val="21"/>
                <w:szCs w:val="21"/>
                <w:lang w:eastAsia="zh-CN"/>
              </w:rPr>
              <w:t>在保修期内，中标人应确保设备安全正常运行，年开机率保证在95%</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以上。因设备故障导致开机率不足95%</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不含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以上，将做以下处理：</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2" w:firstLineChars="200"/>
              <w:jc w:val="left"/>
              <w:textAlignment w:val="baseline"/>
              <w:rPr>
                <w:rFonts w:hint="eastAsia" w:asciiTheme="majorEastAsia" w:hAnsiTheme="majorEastAsia" w:eastAsiaTheme="majorEastAsia" w:cstheme="majorEastAsia"/>
                <w:b/>
                <w:bCs/>
                <w:color w:val="FF0000"/>
                <w:spacing w:val="0"/>
                <w:sz w:val="21"/>
                <w:szCs w:val="21"/>
                <w:lang w:eastAsia="zh-CN"/>
              </w:rPr>
            </w:pPr>
            <w:r>
              <w:rPr>
                <w:rFonts w:hint="eastAsia" w:asciiTheme="majorEastAsia" w:hAnsiTheme="majorEastAsia" w:eastAsiaTheme="majorEastAsia" w:cstheme="majorEastAsia"/>
                <w:b/>
                <w:bCs/>
                <w:color w:val="FF0000"/>
                <w:spacing w:val="0"/>
                <w:sz w:val="21"/>
                <w:szCs w:val="21"/>
                <w:lang w:eastAsia="zh-CN"/>
              </w:rPr>
              <w:t>a.年开机率在90%</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～95%</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不含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之间按一赔二延长保修期；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2" w:firstLineChars="200"/>
              <w:jc w:val="left"/>
              <w:textAlignment w:val="baseline"/>
              <w:rPr>
                <w:rFonts w:hint="eastAsia" w:asciiTheme="majorEastAsia" w:hAnsiTheme="majorEastAsia" w:eastAsiaTheme="majorEastAsia" w:cstheme="majorEastAsia"/>
                <w:b/>
                <w:bCs/>
                <w:color w:val="FF0000"/>
                <w:spacing w:val="0"/>
                <w:sz w:val="21"/>
                <w:szCs w:val="21"/>
                <w:lang w:eastAsia="zh-CN"/>
              </w:rPr>
            </w:pPr>
            <w:r>
              <w:rPr>
                <w:rFonts w:hint="eastAsia" w:asciiTheme="majorEastAsia" w:hAnsiTheme="majorEastAsia" w:eastAsiaTheme="majorEastAsia" w:cstheme="majorEastAsia"/>
                <w:b/>
                <w:bCs/>
                <w:color w:val="FF0000"/>
                <w:spacing w:val="0"/>
                <w:sz w:val="21"/>
                <w:szCs w:val="21"/>
                <w:lang w:eastAsia="zh-CN"/>
              </w:rPr>
              <w:t>b.年开机率在85%</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～90%</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不含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之间按一赔五延长保修期；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2" w:firstLineChars="200"/>
              <w:jc w:val="left"/>
              <w:textAlignment w:val="baseline"/>
              <w:rPr>
                <w:rFonts w:hint="eastAsia" w:asciiTheme="majorEastAsia" w:hAnsiTheme="majorEastAsia" w:eastAsiaTheme="majorEastAsia" w:cstheme="majorEastAsia"/>
                <w:b/>
                <w:bCs/>
                <w:color w:val="FF0000"/>
                <w:spacing w:val="0"/>
                <w:sz w:val="21"/>
                <w:szCs w:val="21"/>
                <w:lang w:eastAsia="zh-CN"/>
              </w:rPr>
            </w:pPr>
            <w:r>
              <w:rPr>
                <w:rFonts w:hint="eastAsia" w:asciiTheme="majorEastAsia" w:hAnsiTheme="majorEastAsia" w:eastAsiaTheme="majorEastAsia" w:cstheme="majorEastAsia"/>
                <w:b/>
                <w:bCs/>
                <w:color w:val="FF0000"/>
                <w:spacing w:val="0"/>
                <w:sz w:val="21"/>
                <w:szCs w:val="21"/>
                <w:lang w:eastAsia="zh-CN"/>
              </w:rPr>
              <w:t>c.年开机率低于85%</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不含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，中标人必须无条件更换新机，并重新计算保修期，以及赔偿</w:t>
            </w:r>
            <w:r>
              <w:rPr>
                <w:rFonts w:hint="eastAsia" w:asciiTheme="majorEastAsia" w:hAnsiTheme="majorEastAsia" w:eastAsiaTheme="majorEastAsia" w:cstheme="majorEastAsia"/>
                <w:b/>
                <w:bCs/>
                <w:color w:val="FF0000"/>
                <w:spacing w:val="0"/>
                <w:sz w:val="21"/>
                <w:szCs w:val="21"/>
                <w:lang w:val="en-US" w:eastAsia="zh-CN"/>
              </w:rPr>
              <w:t>采购人</w:t>
            </w:r>
            <w:r>
              <w:rPr>
                <w:rFonts w:hint="eastAsia" w:asciiTheme="majorEastAsia" w:hAnsiTheme="majorEastAsia" w:eastAsiaTheme="majorEastAsia" w:cstheme="majorEastAsia"/>
                <w:b/>
                <w:bCs/>
                <w:color w:val="FF0000"/>
                <w:spacing w:val="0"/>
                <w:sz w:val="21"/>
                <w:szCs w:val="21"/>
                <w:lang w:eastAsia="zh-CN"/>
              </w:rPr>
              <w:t>的直接经济损失和间接经济损失，</w:t>
            </w:r>
            <w:r>
              <w:rPr>
                <w:rFonts w:hint="eastAsia" w:asciiTheme="majorEastAsia" w:hAnsiTheme="majorEastAsia" w:eastAsiaTheme="majorEastAsia" w:cstheme="majorEastAsia"/>
                <w:b/>
                <w:bCs/>
                <w:color w:val="FF0000"/>
                <w:spacing w:val="0"/>
                <w:sz w:val="21"/>
                <w:szCs w:val="21"/>
                <w:lang w:val="en-US" w:eastAsia="zh-CN"/>
              </w:rPr>
              <w:t>同时，采购人还有权选择退货</w:t>
            </w:r>
            <w:r>
              <w:rPr>
                <w:rFonts w:hint="eastAsia" w:asciiTheme="majorEastAsia" w:hAnsiTheme="majorEastAsia" w:eastAsiaTheme="majorEastAsia" w:cstheme="majorEastAsia"/>
                <w:b/>
                <w:bCs/>
                <w:color w:val="FF0000"/>
                <w:spacing w:val="0"/>
                <w:sz w:val="21"/>
                <w:szCs w:val="21"/>
                <w:lang w:eastAsia="zh-CN"/>
              </w:rPr>
              <w:t>处理。</w:t>
            </w:r>
          </w:p>
          <w:p>
            <w:pPr>
              <w:pStyle w:val="8"/>
              <w:rPr>
                <w:rFonts w:hint="eastAsia"/>
              </w:rPr>
            </w:pPr>
            <w:r>
              <w:rPr>
                <w:rFonts w:hint="eastAsia" w:asciiTheme="majorEastAsia" w:hAnsiTheme="majorEastAsia" w:eastAsiaTheme="majorEastAsia" w:cstheme="majorEastAsia"/>
                <w:b/>
                <w:bCs/>
                <w:color w:val="FF0000"/>
                <w:spacing w:val="0"/>
                <w:sz w:val="21"/>
                <w:szCs w:val="21"/>
                <w:lang w:eastAsia="zh-CN"/>
              </w:rPr>
              <w:t>注：年开机率 =（365-停机天数）/365。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1.2由生产厂家提供售后服务，4 小时内响应，24小时维修到位。消耗品和零配件供应及时，</w:t>
            </w:r>
            <w:r>
              <w:rPr>
                <w:rFonts w:hint="eastAsia" w:asciiTheme="majorEastAsia" w:hAnsiTheme="majorEastAsia" w:eastAsiaTheme="majorEastAsia" w:cstheme="majorEastAsia"/>
                <w:bCs/>
                <w:sz w:val="21"/>
                <w:szCs w:val="21"/>
              </w:rPr>
              <w:t>发生突发问题厂家需携带可使用的备用机24小时内到场，根据现场情况采用现场维修或备用机替代的方法。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1.4保修期内，设备主机及配件免费维修、免费更换、免工时费，并免费提供软件升级。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1.5保修期内，</w:t>
            </w:r>
            <w:r>
              <w:rPr>
                <w:rFonts w:hint="eastAsia" w:asciiTheme="minorEastAsia" w:hAnsiTheme="minorEastAsia" w:eastAsiaTheme="minorEastAsia" w:cstheme="minorEastAsia"/>
                <w:spacing w:val="9"/>
                <w:kern w:val="0"/>
                <w:sz w:val="21"/>
                <w:szCs w:val="21"/>
                <w:lang w:eastAsia="zh-CN"/>
              </w:rPr>
              <w:t>中标人</w:t>
            </w:r>
            <w:r>
              <w:rPr>
                <w:rFonts w:hint="eastAsia" w:asciiTheme="minorEastAsia" w:hAnsiTheme="minorEastAsia" w:eastAsiaTheme="minorEastAsia" w:cstheme="minorEastAsia"/>
                <w:spacing w:val="9"/>
                <w:kern w:val="0"/>
                <w:sz w:val="21"/>
                <w:szCs w:val="21"/>
              </w:rPr>
              <w:t>负责提供及开放数据接口，免费提供该设备与医院PACS、HIS、叫号系统等的数据接口服务，次数不限，涉及与第三方公司的接口费用，由</w:t>
            </w:r>
            <w:r>
              <w:rPr>
                <w:rFonts w:hint="eastAsia" w:asciiTheme="minorEastAsia" w:hAnsiTheme="minorEastAsia" w:eastAsiaTheme="minorEastAsia" w:cstheme="minorEastAsia"/>
                <w:spacing w:val="9"/>
                <w:kern w:val="0"/>
                <w:sz w:val="21"/>
                <w:szCs w:val="21"/>
                <w:lang w:eastAsia="zh-CN"/>
              </w:rPr>
              <w:t>中标人</w:t>
            </w:r>
            <w:r>
              <w:rPr>
                <w:rFonts w:hint="eastAsia" w:asciiTheme="minorEastAsia" w:hAnsiTheme="minorEastAsia" w:eastAsiaTheme="minorEastAsia" w:cstheme="minorEastAsia"/>
                <w:spacing w:val="9"/>
                <w:kern w:val="0"/>
                <w:sz w:val="21"/>
                <w:szCs w:val="21"/>
              </w:rPr>
              <w:t>负责。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4"/>
                <w:kern w:val="0"/>
                <w:sz w:val="21"/>
                <w:szCs w:val="21"/>
              </w:rPr>
              <w:t>（二）免费保修期外售后服务要求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spacing w:val="9"/>
                <w:kern w:val="0"/>
                <w:sz w:val="21"/>
                <w:szCs w:val="21"/>
                <w:lang w:val="en-US" w:eastAsia="zh-CN"/>
              </w:rPr>
              <w:t>维修</w:t>
            </w:r>
            <w:r>
              <w:rPr>
                <w:rFonts w:hint="eastAsia" w:asciiTheme="minorEastAsia" w:hAnsiTheme="minorEastAsia" w:cstheme="minorEastAsia"/>
                <w:spacing w:val="6"/>
                <w:kern w:val="0"/>
                <w:sz w:val="21"/>
                <w:szCs w:val="21"/>
                <w:lang w:val="en-US" w:eastAsia="zh-CN"/>
              </w:rPr>
              <w:t>服务和优惠价格</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1.1由生产厂家提供售后服务，4小时内响应，24 小时维修到位。消耗品和零配件供应及时，特殊情况下可提供备用机。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1.2终身维修，保修期满后，生产厂家对用户进行的售后服务只收更换部件的成本费，提供维修零配件、消耗品优惠价格。</w:t>
            </w:r>
            <w:r>
              <w:rPr>
                <w:rFonts w:hint="eastAsia" w:asciiTheme="majorEastAsia" w:hAnsiTheme="majorEastAsia" w:eastAsiaTheme="majorEastAsia" w:cstheme="majorEastAsia"/>
                <w:bCs/>
                <w:sz w:val="21"/>
                <w:szCs w:val="21"/>
                <w:lang w:eastAsia="zh-CN"/>
              </w:rPr>
              <w:t>中标人</w:t>
            </w:r>
            <w:r>
              <w:rPr>
                <w:rFonts w:hint="eastAsia" w:asciiTheme="majorEastAsia" w:hAnsiTheme="majorEastAsia" w:eastAsiaTheme="majorEastAsia" w:cstheme="majorEastAsia"/>
                <w:bCs/>
                <w:sz w:val="21"/>
                <w:szCs w:val="21"/>
              </w:rPr>
              <w:t>负责设备的终身维修并应继续提供优质的服务，储备足够的零配件备库并保证十年以上维修配件、耗材的正常供应。</w:t>
            </w:r>
            <w:r>
              <w:rPr>
                <w:rFonts w:hint="eastAsia" w:asciiTheme="majorEastAsia" w:hAnsiTheme="majorEastAsia" w:eastAsiaTheme="majorEastAsia" w:cstheme="majorEastAsia"/>
                <w:bCs/>
                <w:sz w:val="21"/>
                <w:szCs w:val="21"/>
                <w:lang w:val="en-US" w:eastAsia="zh-CN"/>
              </w:rPr>
              <w:t>十</w:t>
            </w:r>
            <w:r>
              <w:rPr>
                <w:rFonts w:hint="eastAsia" w:asciiTheme="majorEastAsia" w:hAnsiTheme="majorEastAsia" w:eastAsiaTheme="majorEastAsia" w:cstheme="majorEastAsia"/>
                <w:bCs/>
                <w:spacing w:val="0"/>
                <w:sz w:val="21"/>
                <w:szCs w:val="21"/>
                <w:lang w:eastAsia="zh-CN"/>
              </w:rPr>
              <w:t>年内免费提供软件升级服务。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1.3采购人可与</w:t>
            </w:r>
            <w:r>
              <w:rPr>
                <w:rFonts w:hint="eastAsia" w:asciiTheme="minorEastAsia" w:hAnsiTheme="minorEastAsia" w:eastAsiaTheme="minorEastAsia" w:cstheme="minorEastAsia"/>
                <w:spacing w:val="9"/>
                <w:kern w:val="0"/>
                <w:sz w:val="21"/>
                <w:szCs w:val="21"/>
                <w:lang w:eastAsia="zh-CN"/>
              </w:rPr>
              <w:t>中标人</w:t>
            </w:r>
            <w:r>
              <w:rPr>
                <w:rFonts w:hint="eastAsia" w:asciiTheme="minorEastAsia" w:hAnsiTheme="minorEastAsia" w:eastAsiaTheme="minorEastAsia" w:cstheme="minorEastAsia"/>
                <w:spacing w:val="9"/>
                <w:kern w:val="0"/>
                <w:sz w:val="21"/>
                <w:szCs w:val="21"/>
              </w:rPr>
              <w:t>就优惠价进行谈判，但优惠价不得高于</w:t>
            </w:r>
            <w:r>
              <w:rPr>
                <w:rFonts w:hint="eastAsia" w:asciiTheme="minorEastAsia" w:hAnsiTheme="minorEastAsia" w:eastAsiaTheme="minorEastAsia" w:cstheme="minorEastAsia"/>
                <w:spacing w:val="9"/>
                <w:kern w:val="0"/>
                <w:sz w:val="21"/>
                <w:szCs w:val="21"/>
                <w:lang w:eastAsia="zh-CN"/>
              </w:rPr>
              <w:t>中标人</w:t>
            </w:r>
            <w:r>
              <w:rPr>
                <w:rFonts w:hint="eastAsia" w:asciiTheme="minorEastAsia" w:hAnsiTheme="minorEastAsia" w:eastAsiaTheme="minorEastAsia" w:cstheme="minorEastAsia"/>
                <w:spacing w:val="9"/>
                <w:kern w:val="0"/>
                <w:sz w:val="21"/>
                <w:szCs w:val="21"/>
              </w:rPr>
              <w:t>在投标文件中承诺的消耗品、零配件报价。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1.4生产厂家维修的货物经采购人验收合格，且厂家提供维修发票后，采购人支付维修费用。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1.5</w:t>
            </w:r>
            <w:r>
              <w:rPr>
                <w:rFonts w:hint="eastAsia" w:asciiTheme="minorEastAsia" w:hAnsiTheme="minorEastAsia" w:eastAsiaTheme="minorEastAsia" w:cstheme="minorEastAsia"/>
                <w:spacing w:val="9"/>
                <w:kern w:val="0"/>
                <w:sz w:val="21"/>
                <w:szCs w:val="21"/>
                <w:lang w:eastAsia="zh-CN"/>
              </w:rPr>
              <w:t>中标人</w:t>
            </w:r>
            <w:r>
              <w:rPr>
                <w:rFonts w:hint="eastAsia" w:asciiTheme="minorEastAsia" w:hAnsiTheme="minorEastAsia" w:eastAsiaTheme="minorEastAsia" w:cstheme="minorEastAsia"/>
                <w:spacing w:val="9"/>
                <w:kern w:val="0"/>
                <w:sz w:val="21"/>
                <w:szCs w:val="21"/>
              </w:rPr>
              <w:t>及生产厂家不得以任何理由不按时进行维修，不得要求采购人购买所谓“保修服务”（即：不论设备有无故障，先买保修服务），不得在设备中嵌设任何不利于采购人使用与维修设备的障碍。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default" w:asciiTheme="minorEastAsia" w:hAnsiTheme="minorEastAsia" w:eastAsiaTheme="minorEastAsia" w:cstheme="minorEastAsia"/>
                <w:spacing w:val="9"/>
                <w:kern w:val="0"/>
                <w:sz w:val="21"/>
                <w:szCs w:val="21"/>
                <w:lang w:val="en-US" w:eastAsia="zh-CN"/>
              </w:rPr>
            </w:pPr>
            <w:r>
              <w:rPr>
                <w:rFonts w:hint="eastAsia" w:asciiTheme="minorEastAsia" w:hAnsiTheme="minorEastAsia" w:cstheme="minorEastAsia"/>
                <w:spacing w:val="9"/>
                <w:kern w:val="0"/>
                <w:sz w:val="21"/>
                <w:szCs w:val="21"/>
                <w:lang w:val="en-US" w:eastAsia="zh-CN"/>
              </w:rPr>
              <w:t>1.6信息化系统：</w:t>
            </w:r>
            <w:r>
              <w:rPr>
                <w:rFonts w:hint="eastAsia" w:asciiTheme="majorEastAsia" w:hAnsiTheme="majorEastAsia" w:eastAsiaTheme="majorEastAsia" w:cstheme="majorEastAsia"/>
                <w:bCs/>
                <w:color w:val="auto"/>
                <w:spacing w:val="0"/>
                <w:sz w:val="21"/>
                <w:szCs w:val="21"/>
                <w:lang w:eastAsia="zh-CN"/>
              </w:rPr>
              <w:t>含设备接入医院信息系统（包括但不限于HIS、PACS、LIS等）端口开发、调试及对接费用，确保设备数据能实时、准确上传至医院指定系统，投标供应商须配合医院信息科及科室完成系统对接测试。</w:t>
            </w:r>
            <w:r>
              <w:rPr>
                <w:rFonts w:hint="eastAsia" w:asciiTheme="majorEastAsia" w:hAnsiTheme="majorEastAsia" w:eastAsiaTheme="majorEastAsia" w:cstheme="majorEastAsia"/>
                <w:bCs/>
                <w:spacing w:val="0"/>
                <w:sz w:val="21"/>
                <w:szCs w:val="21"/>
                <w:lang w:eastAsia="zh-CN"/>
              </w:rPr>
              <w:t>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spacing w:val="10"/>
                <w:kern w:val="0"/>
                <w:sz w:val="21"/>
                <w:szCs w:val="21"/>
              </w:rPr>
              <w:t>（三）其他商务要求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8"/>
                <w:kern w:val="0"/>
                <w:sz w:val="21"/>
                <w:szCs w:val="21"/>
              </w:rPr>
              <w:t>交货要求</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b/>
                <w:bCs/>
                <w:color w:val="FF0000"/>
                <w:spacing w:val="9"/>
                <w:kern w:val="0"/>
                <w:sz w:val="21"/>
                <w:szCs w:val="21"/>
              </w:rPr>
              <w:t>★</w:t>
            </w:r>
            <w:r>
              <w:rPr>
                <w:rFonts w:hint="eastAsia" w:asciiTheme="minorEastAsia" w:hAnsiTheme="minorEastAsia" w:cstheme="minorEastAsia"/>
                <w:b/>
                <w:bCs/>
                <w:color w:val="FF0000"/>
                <w:spacing w:val="8"/>
                <w:kern w:val="0"/>
                <w:sz w:val="21"/>
                <w:szCs w:val="21"/>
                <w:lang w:val="en-US" w:eastAsia="zh-CN"/>
              </w:rPr>
              <w:t>1.</w:t>
            </w:r>
            <w:r>
              <w:rPr>
                <w:rFonts w:hint="eastAsia" w:asciiTheme="minorEastAsia" w:hAnsiTheme="minorEastAsia" w:eastAsiaTheme="minorEastAsia" w:cstheme="minorEastAsia"/>
                <w:b/>
                <w:bCs/>
                <w:color w:val="FF0000"/>
                <w:spacing w:val="8"/>
                <w:kern w:val="0"/>
                <w:sz w:val="21"/>
                <w:szCs w:val="21"/>
                <w:lang w:eastAsia="zh-CN"/>
              </w:rPr>
              <w:t>中标人</w:t>
            </w:r>
            <w:r>
              <w:rPr>
                <w:rFonts w:hint="eastAsia" w:asciiTheme="minorEastAsia" w:hAnsiTheme="minorEastAsia" w:eastAsiaTheme="minorEastAsia" w:cstheme="minorEastAsia"/>
                <w:b/>
                <w:bCs/>
                <w:color w:val="FF0000"/>
                <w:spacing w:val="8"/>
                <w:kern w:val="0"/>
                <w:sz w:val="21"/>
                <w:szCs w:val="21"/>
              </w:rPr>
              <w:t>在签订合同之日起</w:t>
            </w:r>
            <w:r>
              <w:rPr>
                <w:rFonts w:hint="eastAsia" w:asciiTheme="minorEastAsia" w:hAnsiTheme="minorEastAsia" w:cstheme="minorEastAsia"/>
                <w:b/>
                <w:bCs/>
                <w:color w:val="FF0000"/>
                <w:spacing w:val="8"/>
                <w:kern w:val="0"/>
                <w:sz w:val="21"/>
                <w:szCs w:val="21"/>
                <w:lang w:val="en-US" w:eastAsia="zh-CN"/>
              </w:rPr>
              <w:t>30</w:t>
            </w:r>
            <w:r>
              <w:rPr>
                <w:rFonts w:hint="eastAsia" w:asciiTheme="minorEastAsia" w:hAnsiTheme="minorEastAsia" w:eastAsiaTheme="minorEastAsia" w:cstheme="minorEastAsia"/>
                <w:b/>
                <w:bCs/>
                <w:color w:val="FF0000"/>
                <w:spacing w:val="8"/>
                <w:kern w:val="0"/>
                <w:sz w:val="21"/>
                <w:szCs w:val="21"/>
              </w:rPr>
              <w:t>天（日历日）内交货。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default" w:asciiTheme="minorEastAsia" w:hAnsiTheme="minorEastAsia" w:eastAsiaTheme="minorEastAsia" w:cstheme="minorEastAsia"/>
                <w:b/>
                <w:bCs/>
                <w:color w:val="FF0000"/>
                <w:spacing w:val="9"/>
                <w:kern w:val="0"/>
                <w:sz w:val="21"/>
                <w:szCs w:val="21"/>
                <w:lang w:val="en-US" w:eastAsia="zh-CN"/>
              </w:rPr>
            </w:pPr>
            <w:r>
              <w:rPr>
                <w:rFonts w:hint="eastAsia" w:asciiTheme="minorEastAsia" w:hAnsiTheme="minorEastAsia" w:cstheme="minorEastAsia"/>
                <w:b w:val="0"/>
                <w:bCs w:val="0"/>
                <w:color w:val="auto"/>
                <w:spacing w:val="9"/>
                <w:kern w:val="0"/>
                <w:sz w:val="21"/>
                <w:szCs w:val="21"/>
                <w:lang w:val="en-US" w:eastAsia="zh-CN"/>
              </w:rPr>
              <w:t>2.交货地点：采购人指定的地点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3.</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4.</w:t>
            </w:r>
            <w:r>
              <w:rPr>
                <w:rFonts w:hint="eastAsia" w:asciiTheme="minorEastAsia" w:hAnsiTheme="minorEastAsia" w:eastAsiaTheme="minorEastAsia" w:cstheme="minorEastAsia"/>
                <w:spacing w:val="8"/>
                <w:kern w:val="0"/>
                <w:sz w:val="21"/>
                <w:szCs w:val="21"/>
              </w:rPr>
              <w:t>提供的货物须为全新、经检验合格的产品。产品如需要计量检定的应提供相关计量检定部门出具的合法检定报告。其中，进口设备必须提供相关进口资料。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eastAsiaTheme="minorEastAsia" w:cstheme="minorEastAsia"/>
                <w:spacing w:val="8"/>
                <w:kern w:val="0"/>
                <w:sz w:val="21"/>
                <w:szCs w:val="21"/>
                <w:lang w:val="en-US" w:eastAsia="zh-CN"/>
              </w:rPr>
            </w:pPr>
            <w:r>
              <w:rPr>
                <w:rFonts w:hint="eastAsia" w:asciiTheme="minorEastAsia" w:hAnsiTheme="minorEastAsia" w:cstheme="minorEastAsia"/>
                <w:spacing w:val="8"/>
                <w:kern w:val="0"/>
                <w:sz w:val="21"/>
                <w:szCs w:val="21"/>
                <w:lang w:val="en-US" w:eastAsia="zh-CN"/>
              </w:rPr>
              <w:t>报价要求</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ajorEastAsia" w:hAnsiTheme="majorEastAsia" w:eastAsiaTheme="majorEastAsia" w:cstheme="majorEastAsia"/>
                <w:bCs/>
                <w:sz w:val="21"/>
                <w:szCs w:val="21"/>
              </w:rPr>
              <w:t>投标总价是完成该项目的一切费用总和，</w:t>
            </w:r>
            <w:r>
              <w:rPr>
                <w:rFonts w:hint="eastAsia" w:asciiTheme="majorEastAsia" w:hAnsiTheme="majorEastAsia" w:eastAsiaTheme="majorEastAsia" w:cstheme="majorEastAsia"/>
                <w:bCs/>
                <w:snapToGrid/>
                <w:color w:val="auto"/>
                <w:spacing w:val="0"/>
                <w:sz w:val="21"/>
                <w:szCs w:val="21"/>
                <w:lang w:val="en-US" w:eastAsia="zh-CN" w:bidi="ar-SA"/>
              </w:rPr>
              <w:t>包括完成采购项目所需的一切费用，即：设备费、软件费、税费、运输费、装卸费、安装费、调试费、培训费、计量及技术服务费和一切不可预见等费用，项目结算时不做任何单价或费用的调整(因数量变更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3</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cstheme="minorEastAsia"/>
                <w:spacing w:val="8"/>
                <w:kern w:val="0"/>
                <w:sz w:val="21"/>
                <w:szCs w:val="21"/>
                <w:lang w:val="en-US" w:eastAsia="zh-CN"/>
              </w:rPr>
            </w:pPr>
            <w:r>
              <w:rPr>
                <w:rFonts w:hint="eastAsia" w:asciiTheme="minorEastAsia" w:hAnsiTheme="minorEastAsia" w:cstheme="minorEastAsia"/>
                <w:spacing w:val="8"/>
                <w:kern w:val="0"/>
                <w:sz w:val="21"/>
                <w:szCs w:val="21"/>
                <w:lang w:val="en-US" w:eastAsia="zh-CN"/>
              </w:rPr>
              <w:t>质量要求</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
                <w:bCs/>
                <w:color w:val="FF0000"/>
                <w:sz w:val="21"/>
                <w:szCs w:val="21"/>
              </w:rPr>
              <w:t>★</w:t>
            </w:r>
            <w:r>
              <w:rPr>
                <w:rFonts w:hint="eastAsia" w:asciiTheme="majorEastAsia" w:hAnsiTheme="majorEastAsia" w:eastAsiaTheme="majorEastAsia" w:cstheme="majorEastAsia"/>
                <w:b/>
                <w:bCs/>
                <w:color w:val="FF0000"/>
                <w:sz w:val="21"/>
                <w:szCs w:val="21"/>
                <w:highlight w:val="none"/>
                <w:lang w:val="en-US" w:eastAsia="zh-CN"/>
              </w:rPr>
              <w:t>投标人</w:t>
            </w:r>
            <w:r>
              <w:rPr>
                <w:rFonts w:hint="eastAsia" w:asciiTheme="majorEastAsia" w:hAnsiTheme="majorEastAsia" w:eastAsiaTheme="majorEastAsia" w:cstheme="majorEastAsia"/>
                <w:b/>
                <w:bCs/>
                <w:color w:val="FF0000"/>
                <w:sz w:val="21"/>
                <w:szCs w:val="21"/>
                <w:highlight w:val="none"/>
                <w:lang w:eastAsia="zh-CN"/>
              </w:rPr>
              <w:t>保证所提供的产品必须</w:t>
            </w:r>
            <w:r>
              <w:rPr>
                <w:rFonts w:hint="eastAsia" w:asciiTheme="majorEastAsia" w:hAnsiTheme="majorEastAsia" w:eastAsiaTheme="majorEastAsia" w:cstheme="majorEastAsia"/>
                <w:b/>
                <w:bCs/>
                <w:color w:val="FF0000"/>
                <w:sz w:val="21"/>
                <w:szCs w:val="21"/>
                <w:highlight w:val="none"/>
                <w:lang w:val="en-US" w:eastAsia="zh-CN"/>
              </w:rPr>
              <w:t>是</w:t>
            </w:r>
            <w:r>
              <w:rPr>
                <w:rFonts w:hint="eastAsia" w:asciiTheme="majorEastAsia" w:hAnsiTheme="majorEastAsia" w:eastAsiaTheme="majorEastAsia" w:cstheme="majorEastAsia"/>
                <w:b/>
                <w:bCs/>
                <w:color w:val="FF0000"/>
                <w:sz w:val="21"/>
                <w:szCs w:val="21"/>
                <w:highlight w:val="none"/>
                <w:lang w:eastAsia="zh-CN"/>
              </w:rPr>
              <w:t>生产日期在半年内未使用过的</w:t>
            </w:r>
            <w:r>
              <w:rPr>
                <w:rFonts w:hint="eastAsia" w:asciiTheme="majorEastAsia" w:hAnsiTheme="majorEastAsia" w:eastAsiaTheme="majorEastAsia" w:cstheme="majorEastAsia"/>
                <w:b/>
                <w:bCs/>
                <w:color w:val="FF0000"/>
                <w:sz w:val="21"/>
                <w:szCs w:val="21"/>
                <w:highlight w:val="none"/>
                <w:lang w:val="en-US" w:eastAsia="zh-CN"/>
              </w:rPr>
              <w:t>原厂</w:t>
            </w:r>
            <w:r>
              <w:rPr>
                <w:rFonts w:hint="eastAsia" w:asciiTheme="majorEastAsia" w:hAnsiTheme="majorEastAsia" w:eastAsiaTheme="majorEastAsia" w:cstheme="majorEastAsia"/>
                <w:b/>
                <w:bCs/>
                <w:color w:val="FF0000"/>
                <w:sz w:val="21"/>
                <w:szCs w:val="21"/>
                <w:highlight w:val="none"/>
                <w:lang w:eastAsia="zh-CN"/>
              </w:rPr>
              <w:t>全新产品（</w:t>
            </w:r>
            <w:r>
              <w:rPr>
                <w:rFonts w:hint="eastAsia" w:asciiTheme="majorEastAsia" w:hAnsiTheme="majorEastAsia" w:eastAsiaTheme="majorEastAsia" w:cstheme="majorEastAsia"/>
                <w:b/>
                <w:bCs/>
                <w:color w:val="FF0000"/>
                <w:sz w:val="21"/>
                <w:szCs w:val="21"/>
                <w:highlight w:val="none"/>
                <w:lang w:val="en-US" w:eastAsia="zh-CN"/>
              </w:rPr>
              <w:t>包括零部件</w:t>
            </w:r>
            <w:r>
              <w:rPr>
                <w:rFonts w:hint="eastAsia" w:asciiTheme="majorEastAsia" w:hAnsiTheme="majorEastAsia" w:eastAsiaTheme="majorEastAsia" w:cstheme="majorEastAsia"/>
                <w:b/>
                <w:bCs/>
                <w:color w:val="FF0000"/>
                <w:sz w:val="21"/>
                <w:szCs w:val="21"/>
                <w:highlight w:val="none"/>
                <w:lang w:eastAsia="zh-CN"/>
              </w:rPr>
              <w:t>），符合国家或省级行业质量标准。确保产品投入使用前，按照国家规定办理好产品所有启用所需的资质证件。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4</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heme="minorEastAsia" w:hAnsiTheme="minorEastAsia" w:eastAsiaTheme="minorEastAsia" w:cstheme="minorEastAsia"/>
                <w:spacing w:val="3"/>
                <w:kern w:val="0"/>
                <w:sz w:val="21"/>
                <w:szCs w:val="21"/>
                <w:lang w:val="en-US" w:eastAsia="zh-CN" w:bidi="ar-SA"/>
              </w:rPr>
            </w:pPr>
            <w:r>
              <w:rPr>
                <w:rFonts w:hint="eastAsia" w:asciiTheme="minorEastAsia" w:hAnsiTheme="minorEastAsia" w:cstheme="minorEastAsia"/>
                <w:spacing w:val="3"/>
                <w:kern w:val="0"/>
                <w:sz w:val="21"/>
                <w:szCs w:val="21"/>
                <w:lang w:val="en-US" w:eastAsia="zh-CN"/>
              </w:rPr>
              <w:t>付款方式</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highlight w:val="none"/>
              </w:rPr>
            </w:pPr>
            <w:r>
              <w:rPr>
                <w:rFonts w:hint="eastAsia" w:asciiTheme="minorEastAsia" w:hAnsiTheme="minorEastAsia" w:eastAsiaTheme="minorEastAsia" w:cstheme="minorEastAsia"/>
                <w:spacing w:val="8"/>
                <w:kern w:val="0"/>
                <w:sz w:val="21"/>
                <w:szCs w:val="21"/>
              </w:rPr>
              <w:t>合同签订后，</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需向</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提供</w:t>
            </w:r>
            <w:r>
              <w:rPr>
                <w:rFonts w:hint="eastAsia" w:asciiTheme="minorEastAsia" w:hAnsiTheme="minorEastAsia" w:cstheme="minorEastAsia"/>
                <w:spacing w:val="8"/>
                <w:kern w:val="0"/>
                <w:sz w:val="21"/>
                <w:szCs w:val="21"/>
                <w:lang w:val="en-US" w:eastAsia="zh-CN"/>
              </w:rPr>
              <w:t>全额</w:t>
            </w:r>
            <w:r>
              <w:rPr>
                <w:rFonts w:hint="eastAsia" w:asciiTheme="minorEastAsia" w:hAnsiTheme="minorEastAsia" w:eastAsiaTheme="minorEastAsia" w:cstheme="minorEastAsia"/>
                <w:spacing w:val="8"/>
                <w:kern w:val="0"/>
                <w:sz w:val="21"/>
                <w:szCs w:val="21"/>
              </w:rPr>
              <w:t>发票</w:t>
            </w:r>
            <w:r>
              <w:rPr>
                <w:rFonts w:hint="eastAsia" w:asciiTheme="minorEastAsia" w:hAnsiTheme="minorEastAsia" w:cstheme="minorEastAsia"/>
                <w:spacing w:val="8"/>
                <w:kern w:val="0"/>
                <w:sz w:val="21"/>
                <w:szCs w:val="21"/>
                <w:lang w:eastAsia="zh-CN"/>
              </w:rPr>
              <w:t>，</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在收到发</w:t>
            </w:r>
            <w:r>
              <w:rPr>
                <w:rFonts w:hint="eastAsia" w:asciiTheme="minorEastAsia" w:hAnsiTheme="minorEastAsia" w:eastAsiaTheme="minorEastAsia" w:cstheme="minorEastAsia"/>
                <w:spacing w:val="8"/>
                <w:kern w:val="0"/>
                <w:sz w:val="21"/>
                <w:szCs w:val="21"/>
                <w:highlight w:val="none"/>
              </w:rPr>
              <w:t>票</w:t>
            </w:r>
            <w:r>
              <w:rPr>
                <w:rFonts w:hint="eastAsia" w:asciiTheme="minorEastAsia" w:hAnsiTheme="minorEastAsia" w:cstheme="minorEastAsia"/>
                <w:spacing w:val="8"/>
                <w:kern w:val="0"/>
                <w:sz w:val="21"/>
                <w:szCs w:val="21"/>
                <w:highlight w:val="none"/>
                <w:lang w:val="en-US" w:eastAsia="zh-CN"/>
              </w:rPr>
              <w:t>且财政资金到位后</w:t>
            </w:r>
            <w:r>
              <w:rPr>
                <w:rFonts w:hint="eastAsia" w:asciiTheme="minorEastAsia" w:hAnsiTheme="minorEastAsia" w:eastAsiaTheme="minorEastAsia" w:cstheme="minorEastAsia"/>
                <w:spacing w:val="8"/>
                <w:kern w:val="0"/>
                <w:sz w:val="21"/>
                <w:szCs w:val="21"/>
                <w:highlight w:val="none"/>
              </w:rPr>
              <w:t>，向</w:t>
            </w:r>
            <w:r>
              <w:rPr>
                <w:rFonts w:hint="eastAsia" w:asciiTheme="minorEastAsia" w:hAnsiTheme="minorEastAsia" w:eastAsiaTheme="minorEastAsia" w:cstheme="minorEastAsia"/>
                <w:spacing w:val="8"/>
                <w:kern w:val="0"/>
                <w:sz w:val="21"/>
                <w:szCs w:val="21"/>
                <w:highlight w:val="none"/>
                <w:lang w:eastAsia="zh-CN"/>
              </w:rPr>
              <w:t>中标人</w:t>
            </w:r>
            <w:r>
              <w:rPr>
                <w:rFonts w:hint="eastAsia" w:asciiTheme="minorEastAsia" w:hAnsiTheme="minorEastAsia" w:eastAsiaTheme="minorEastAsia" w:cstheme="minorEastAsia"/>
                <w:spacing w:val="8"/>
                <w:kern w:val="0"/>
                <w:sz w:val="21"/>
                <w:szCs w:val="21"/>
                <w:highlight w:val="none"/>
              </w:rPr>
              <w:t>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将货物运至指定地点、完成安装调试、设备运行合格并通过性能验收后，</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2.1若财政资金足额到位且设备验收合格，</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2.2若财政资金不足以支付尾款，</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Theme="minorEastAsia" w:hAnsiTheme="minorEastAsia" w:eastAsiaTheme="minorEastAsia" w:cstheme="minorEastAsia"/>
                <w:spacing w:val="8"/>
                <w:kern w:val="0"/>
                <w:sz w:val="21"/>
                <w:szCs w:val="21"/>
                <w:lang w:val="en-US" w:eastAsia="zh-CN" w:bidi="ar-SA"/>
              </w:rPr>
            </w:pPr>
            <w:r>
              <w:rPr>
                <w:rFonts w:hint="eastAsia" w:asciiTheme="minorEastAsia" w:hAnsiTheme="minorEastAsia" w:eastAsiaTheme="minorEastAsia" w:cstheme="minorEastAsia"/>
                <w:spacing w:val="8"/>
                <w:kern w:val="0"/>
                <w:sz w:val="21"/>
                <w:szCs w:val="21"/>
              </w:rPr>
              <w:t>2.3若</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2025年资金预算不足，付款顺延至2026年。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5</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3"/>
                <w:kern w:val="0"/>
                <w:sz w:val="21"/>
                <w:szCs w:val="21"/>
              </w:rPr>
              <w:t>运输、安装和验收</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1.</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负责将货物安全无损运抵采购人指定地点，并承担设备的包装、运输、保险、装卸、安装调试、培训、商检及计量检测、关税、增值税和进口代理等费用。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2.</w:t>
            </w:r>
            <w:r>
              <w:rPr>
                <w:rFonts w:hint="eastAsia" w:asciiTheme="minorEastAsia" w:hAnsiTheme="minorEastAsia" w:eastAsiaTheme="minorEastAsia" w:cstheme="minorEastAsia"/>
                <w:spacing w:val="8"/>
                <w:kern w:val="0"/>
                <w:sz w:val="21"/>
                <w:szCs w:val="21"/>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3.</w:t>
            </w:r>
            <w:r>
              <w:rPr>
                <w:rFonts w:hint="eastAsia" w:asciiTheme="minorEastAsia" w:hAnsiTheme="minorEastAsia" w:eastAsiaTheme="minorEastAsia" w:cstheme="minorEastAsia"/>
                <w:spacing w:val="8"/>
                <w:kern w:val="0"/>
                <w:sz w:val="21"/>
                <w:szCs w:val="21"/>
              </w:rPr>
              <w:t>采购人有权检验或测试货物，以确认货物是否符合合同规格的要求，并且不承担额外的费用。如果发现所交货物与投标文件中所承诺的不符或存在质量、技术缺陷等，采购人可以拒绝接收该货物，</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应在  30  天（日历日）内采取补足、更换或退货等措施，以满足规格的要求，由此发生的一切损失和费用由</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4.</w:t>
            </w:r>
            <w:r>
              <w:rPr>
                <w:rFonts w:hint="eastAsia" w:asciiTheme="minorEastAsia" w:hAnsiTheme="minorEastAsia" w:eastAsiaTheme="minorEastAsia" w:cstheme="minorEastAsia"/>
                <w:spacing w:val="8"/>
                <w:kern w:val="0"/>
                <w:sz w:val="21"/>
                <w:szCs w:val="21"/>
              </w:rPr>
              <w:t>供货时须确保产品外观清洁，标记编号以及盘面显示等字体清晰、明确，能够准确无误地表示产品的型号、规格、制造商等，并保证所提供的产品的可追溯性。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5.</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负责货物的现场安装和调试，提供货物安装、调试和维修所需的专用工具和辅助材料。</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应在货物运至指定地点后一周内开始安装调试，并在15天（日历日）内完成安装调试工作。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w:t>
            </w:r>
            <w:r>
              <w:rPr>
                <w:rFonts w:hint="eastAsia" w:asciiTheme="majorEastAsia" w:hAnsiTheme="majorEastAsia" w:eastAsiaTheme="majorEastAsia" w:cstheme="majorEastAsia"/>
                <w:b/>
                <w:bCs/>
                <w:color w:val="FF0000"/>
                <w:sz w:val="21"/>
                <w:szCs w:val="21"/>
                <w:lang w:val="en-US" w:eastAsia="zh-CN"/>
              </w:rPr>
              <w:t>6.</w:t>
            </w:r>
            <w:r>
              <w:rPr>
                <w:rFonts w:hint="eastAsia" w:asciiTheme="majorEastAsia" w:hAnsiTheme="majorEastAsia" w:eastAsiaTheme="majorEastAsia" w:cstheme="majorEastAsia"/>
                <w:b/>
                <w:bCs/>
                <w:color w:val="FF0000"/>
                <w:sz w:val="21"/>
                <w:szCs w:val="21"/>
              </w:rPr>
              <w:t>当满足以下条件时，采购人才向中标人签发货物验收报告：</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（1）设备全新,外观无伤痕变形或明显修饰痕迹。</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（3）技术文件资料、备件等已按规定数量移交完毕。</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（4）按照招标文件要求及投标文件提供的技术要求验收合格。</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（5）</w:t>
            </w:r>
            <w:r>
              <w:rPr>
                <w:rFonts w:hint="eastAsia" w:asciiTheme="majorEastAsia" w:hAnsiTheme="majorEastAsia" w:eastAsiaTheme="majorEastAsia" w:cstheme="majorEastAsia"/>
                <w:b/>
                <w:bCs/>
                <w:color w:val="FF0000"/>
                <w:sz w:val="21"/>
                <w:szCs w:val="21"/>
                <w:lang w:eastAsia="zh-CN"/>
              </w:rPr>
              <w:t>中标人</w:t>
            </w:r>
            <w:r>
              <w:rPr>
                <w:rFonts w:hint="eastAsia" w:asciiTheme="majorEastAsia" w:hAnsiTheme="majorEastAsia" w:eastAsiaTheme="majorEastAsia" w:cstheme="majorEastAsia"/>
                <w:b/>
                <w:bCs/>
                <w:color w:val="FF0000"/>
                <w:sz w:val="21"/>
                <w:szCs w:val="21"/>
              </w:rPr>
              <w:t>提供的各种文件载明的内容应保证真实，其技术数据采购人有权要求</w:t>
            </w:r>
            <w:r>
              <w:rPr>
                <w:rFonts w:hint="eastAsia" w:asciiTheme="majorEastAsia" w:hAnsiTheme="majorEastAsia" w:eastAsiaTheme="majorEastAsia" w:cstheme="majorEastAsia"/>
                <w:b/>
                <w:bCs/>
                <w:color w:val="FF0000"/>
                <w:sz w:val="21"/>
                <w:szCs w:val="21"/>
                <w:lang w:eastAsia="zh-CN"/>
              </w:rPr>
              <w:t>中标人</w:t>
            </w:r>
            <w:r>
              <w:rPr>
                <w:rFonts w:hint="eastAsia" w:asciiTheme="majorEastAsia" w:hAnsiTheme="majorEastAsia" w:eastAsiaTheme="majorEastAsia" w:cstheme="majorEastAsia"/>
                <w:b/>
                <w:bCs/>
                <w:color w:val="FF0000"/>
                <w:sz w:val="21"/>
                <w:szCs w:val="21"/>
              </w:rPr>
              <w:t>提供采购人认可的第三方按照双方同意的试验方法进行检测。检测结果需证明</w:t>
            </w:r>
            <w:r>
              <w:rPr>
                <w:rFonts w:hint="eastAsia" w:asciiTheme="majorEastAsia" w:hAnsiTheme="majorEastAsia" w:eastAsiaTheme="majorEastAsia" w:cstheme="majorEastAsia"/>
                <w:b/>
                <w:bCs/>
                <w:color w:val="FF0000"/>
                <w:sz w:val="21"/>
                <w:szCs w:val="21"/>
                <w:lang w:eastAsia="zh-CN"/>
              </w:rPr>
              <w:t>中标人</w:t>
            </w:r>
            <w:r>
              <w:rPr>
                <w:rFonts w:hint="eastAsia" w:asciiTheme="majorEastAsia" w:hAnsiTheme="majorEastAsia" w:eastAsiaTheme="majorEastAsia" w:cstheme="majorEastAsia"/>
                <w:b/>
                <w:bCs/>
                <w:color w:val="FF0000"/>
                <w:sz w:val="21"/>
                <w:szCs w:val="21"/>
              </w:rPr>
              <w:t>提供的技术数据是真实的，否则视为不合格。</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（6）货物具备产品合格证。</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ajorEastAsia" w:hAnsiTheme="majorEastAsia" w:eastAsiaTheme="majorEastAsia" w:cstheme="majorEastAsia"/>
                <w:b/>
                <w:bCs/>
                <w:color w:val="FF0000"/>
                <w:sz w:val="21"/>
                <w:szCs w:val="21"/>
              </w:rPr>
              <w:t>（7）在货物安装调试合格后，所有技术指标达到技术规范书要求，经验收合格后，双方共同签署验收报告。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6</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cstheme="minorEastAsia"/>
                <w:spacing w:val="3"/>
                <w:kern w:val="0"/>
                <w:sz w:val="21"/>
                <w:szCs w:val="21"/>
                <w:lang w:val="en-US" w:eastAsia="zh-CN"/>
              </w:rPr>
            </w:pPr>
            <w:r>
              <w:rPr>
                <w:rFonts w:hint="eastAsia" w:asciiTheme="minorEastAsia" w:hAnsiTheme="minorEastAsia" w:cstheme="minorEastAsia"/>
                <w:spacing w:val="3"/>
                <w:kern w:val="0"/>
                <w:sz w:val="21"/>
                <w:szCs w:val="21"/>
                <w:lang w:val="en-US" w:eastAsia="zh-CN"/>
              </w:rPr>
              <w:t>履约保证金</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1.履约</w:t>
            </w:r>
            <w:r>
              <w:rPr>
                <w:rFonts w:hint="eastAsia" w:asciiTheme="minorEastAsia" w:hAnsiTheme="minorEastAsia" w:cstheme="minorEastAsia"/>
                <w:spacing w:val="8"/>
                <w:kern w:val="0"/>
                <w:sz w:val="21"/>
                <w:szCs w:val="21"/>
                <w:lang w:val="en-US" w:eastAsia="zh-CN"/>
              </w:rPr>
              <w:t>保证金</w:t>
            </w:r>
            <w:r>
              <w:rPr>
                <w:rFonts w:hint="eastAsia" w:asciiTheme="minorEastAsia" w:hAnsiTheme="minorEastAsia" w:eastAsiaTheme="minorEastAsia" w:cstheme="minorEastAsia"/>
                <w:spacing w:val="8"/>
                <w:kern w:val="0"/>
                <w:sz w:val="21"/>
                <w:szCs w:val="21"/>
              </w:rPr>
              <w:t>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highlight w:val="none"/>
              </w:rPr>
            </w:pPr>
            <w:r>
              <w:rPr>
                <w:rFonts w:hint="eastAsia" w:asciiTheme="minorEastAsia" w:hAnsiTheme="minorEastAsia" w:eastAsiaTheme="minorEastAsia" w:cstheme="minorEastAsia"/>
                <w:spacing w:val="8"/>
                <w:kern w:val="0"/>
                <w:sz w:val="21"/>
                <w:szCs w:val="21"/>
              </w:rPr>
              <w:t>1.1</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需向</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提供合同总额5%的</w:t>
            </w:r>
            <w:r>
              <w:rPr>
                <w:rFonts w:hint="eastAsia" w:asciiTheme="minorEastAsia" w:hAnsiTheme="minorEastAsia" w:cstheme="minorEastAsia"/>
                <w:spacing w:val="8"/>
                <w:kern w:val="0"/>
                <w:sz w:val="21"/>
                <w:szCs w:val="21"/>
                <w:lang w:val="en-US" w:eastAsia="zh-CN"/>
              </w:rPr>
              <w:t>履约保证金，</w:t>
            </w:r>
            <w:r>
              <w:rPr>
                <w:rFonts w:hint="eastAsia" w:asciiTheme="minorEastAsia" w:hAnsiTheme="minorEastAsia" w:cstheme="minorEastAsia"/>
                <w:spacing w:val="8"/>
                <w:kern w:val="0"/>
                <w:sz w:val="21"/>
                <w:szCs w:val="21"/>
                <w:highlight w:val="none"/>
                <w:lang w:val="en-US" w:eastAsia="zh-CN"/>
              </w:rPr>
              <w:t>由供应商自主选择以支票、汇票、本票、保函等非现金方式提交</w:t>
            </w:r>
            <w:r>
              <w:rPr>
                <w:rFonts w:hint="eastAsia" w:asciiTheme="minorEastAsia" w:hAnsiTheme="minorEastAsia" w:eastAsiaTheme="minorEastAsia" w:cstheme="minorEastAsia"/>
                <w:spacing w:val="8"/>
                <w:kern w:val="0"/>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1.2提交时间：合同签订后</w:t>
            </w:r>
            <w:r>
              <w:rPr>
                <w:rFonts w:hint="eastAsia" w:asciiTheme="minorEastAsia" w:hAnsiTheme="minorEastAsia" w:cstheme="minorEastAsia"/>
                <w:spacing w:val="8"/>
                <w:kern w:val="0"/>
                <w:sz w:val="21"/>
                <w:szCs w:val="21"/>
                <w:lang w:val="en-US" w:eastAsia="zh-CN"/>
              </w:rPr>
              <w:t>10</w:t>
            </w:r>
            <w:r>
              <w:rPr>
                <w:rFonts w:hint="eastAsia" w:asciiTheme="minorEastAsia" w:hAnsiTheme="minorEastAsia" w:eastAsiaTheme="minorEastAsia" w:cstheme="minorEastAsia"/>
                <w:spacing w:val="8"/>
                <w:kern w:val="0"/>
                <w:sz w:val="21"/>
                <w:szCs w:val="21"/>
              </w:rPr>
              <w:t>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1.3</w:t>
            </w:r>
            <w:r>
              <w:rPr>
                <w:rFonts w:hint="eastAsia" w:asciiTheme="minorEastAsia" w:hAnsiTheme="minorEastAsia" w:cstheme="minorEastAsia"/>
                <w:spacing w:val="8"/>
                <w:kern w:val="0"/>
                <w:sz w:val="21"/>
                <w:szCs w:val="21"/>
                <w:lang w:val="en-US" w:eastAsia="zh-CN"/>
              </w:rPr>
              <w:t>如涉及相关费用的，</w:t>
            </w:r>
            <w:r>
              <w:rPr>
                <w:rFonts w:hint="eastAsia" w:asciiTheme="minorEastAsia" w:hAnsiTheme="minorEastAsia" w:eastAsiaTheme="minorEastAsia" w:cstheme="minorEastAsia"/>
                <w:spacing w:val="8"/>
                <w:kern w:val="0"/>
                <w:sz w:val="21"/>
                <w:szCs w:val="21"/>
              </w:rPr>
              <w:t>均由</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w:t>
            </w:r>
            <w:r>
              <w:rPr>
                <w:rFonts w:hint="eastAsia" w:asciiTheme="minorEastAsia" w:hAnsiTheme="minorEastAsia" w:cstheme="minorEastAsia"/>
                <w:spacing w:val="8"/>
                <w:kern w:val="0"/>
                <w:sz w:val="21"/>
                <w:szCs w:val="21"/>
                <w:lang w:val="en-US" w:eastAsia="zh-CN"/>
              </w:rPr>
              <w:t>.</w:t>
            </w:r>
            <w:r>
              <w:rPr>
                <w:rFonts w:hint="eastAsia" w:asciiTheme="minorEastAsia" w:hAnsiTheme="minorEastAsia" w:eastAsiaTheme="minorEastAsia" w:cstheme="minorEastAsia"/>
                <w:spacing w:val="8"/>
                <w:kern w:val="0"/>
                <w:sz w:val="21"/>
                <w:szCs w:val="21"/>
              </w:rPr>
              <w:t>保证金退还：</w:t>
            </w:r>
            <w:r>
              <w:rPr>
                <w:rFonts w:hint="eastAsia" w:asciiTheme="minorEastAsia" w:hAnsiTheme="minorEastAsia" w:cstheme="minorEastAsia"/>
                <w:spacing w:val="8"/>
                <w:kern w:val="0"/>
                <w:sz w:val="21"/>
                <w:szCs w:val="21"/>
                <w:lang w:val="en-US" w:eastAsia="zh-CN"/>
              </w:rPr>
              <w:t>中标人完成供货且经过采购人验收合格后，采购人在30日内不计息退还</w:t>
            </w:r>
            <w:r>
              <w:rPr>
                <w:rFonts w:hint="eastAsia" w:asciiTheme="minorEastAsia" w:hAnsiTheme="minorEastAsia" w:eastAsiaTheme="minorEastAsia" w:cstheme="minorEastAsia"/>
                <w:spacing w:val="8"/>
                <w:kern w:val="0"/>
                <w:sz w:val="21"/>
                <w:szCs w:val="21"/>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3.</w:t>
            </w:r>
            <w:r>
              <w:rPr>
                <w:rFonts w:hint="eastAsia" w:asciiTheme="minorEastAsia" w:hAnsiTheme="minorEastAsia" w:eastAsiaTheme="minorEastAsia" w:cstheme="minorEastAsia"/>
                <w:spacing w:val="8"/>
                <w:kern w:val="0"/>
                <w:sz w:val="21"/>
                <w:szCs w:val="21"/>
              </w:rPr>
              <w:t>违约处理：如</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发生违约行为，如设备出现质量问题，或</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未按</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要求维修或替换，则</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有权</w:t>
            </w:r>
            <w:r>
              <w:rPr>
                <w:rFonts w:hint="eastAsia" w:asciiTheme="minorEastAsia" w:hAnsiTheme="minorEastAsia" w:cstheme="minorEastAsia"/>
                <w:spacing w:val="8"/>
                <w:kern w:val="0"/>
                <w:sz w:val="21"/>
                <w:szCs w:val="21"/>
                <w:lang w:val="en-US" w:eastAsia="zh-CN"/>
              </w:rPr>
              <w:t>扣除已收取的履约保证金</w:t>
            </w:r>
            <w:r>
              <w:rPr>
                <w:rFonts w:hint="eastAsia" w:asciiTheme="minorEastAsia" w:hAnsiTheme="minorEastAsia" w:eastAsiaTheme="minorEastAsia" w:cstheme="minorEastAsia"/>
                <w:spacing w:val="8"/>
                <w:kern w:val="0"/>
                <w:sz w:val="21"/>
                <w:szCs w:val="21"/>
              </w:rPr>
              <w:t>，无需经过</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同意，由此造成的一切损失由</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7</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5"/>
                <w:kern w:val="0"/>
                <w:sz w:val="21"/>
                <w:szCs w:val="21"/>
              </w:rPr>
              <w:t>培训</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中标人应派专业技术人员免费对采购单位制定人员进行定期培训及指导，直至其完全掌握设备的基本故障处理技术</w:t>
            </w:r>
            <w:r>
              <w:rPr>
                <w:rFonts w:hint="eastAsia" w:asciiTheme="minorEastAsia" w:hAnsiTheme="minorEastAsia" w:cstheme="minorEastAsia"/>
                <w:spacing w:val="8"/>
                <w:kern w:val="0"/>
                <w:sz w:val="21"/>
                <w:szCs w:val="21"/>
                <w:lang w:eastAsia="zh-CN"/>
              </w:rPr>
              <w:t>，</w:t>
            </w:r>
            <w:r>
              <w:rPr>
                <w:rFonts w:hint="eastAsia" w:asciiTheme="minorEastAsia" w:hAnsiTheme="minorEastAsia" w:cstheme="minorEastAsia"/>
                <w:spacing w:val="8"/>
                <w:kern w:val="0"/>
                <w:sz w:val="21"/>
                <w:szCs w:val="21"/>
                <w:lang w:val="en-US" w:eastAsia="zh-CN"/>
              </w:rPr>
              <w:t>其中第一次培训应在</w:t>
            </w:r>
            <w:r>
              <w:rPr>
                <w:rFonts w:hint="eastAsia" w:asciiTheme="majorEastAsia" w:hAnsiTheme="majorEastAsia" w:eastAsiaTheme="majorEastAsia" w:cstheme="majorEastAsia"/>
                <w:bCs/>
                <w:spacing w:val="0"/>
                <w:sz w:val="21"/>
                <w:szCs w:val="21"/>
                <w:lang w:val="en-US" w:eastAsia="zh-CN"/>
              </w:rPr>
              <w:t>设备验收后一周内有专业人员对采购人临床操作人员进行专业的培训。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8</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eastAsiaTheme="minorEastAsia" w:cstheme="minorEastAsia"/>
                <w:spacing w:val="5"/>
                <w:kern w:val="0"/>
                <w:sz w:val="21"/>
                <w:szCs w:val="21"/>
                <w:lang w:val="en-US" w:eastAsia="zh-CN"/>
              </w:rPr>
            </w:pPr>
            <w:r>
              <w:rPr>
                <w:rFonts w:hint="eastAsia" w:asciiTheme="minorEastAsia" w:hAnsiTheme="minorEastAsia" w:cstheme="minorEastAsia"/>
                <w:spacing w:val="5"/>
                <w:kern w:val="0"/>
                <w:sz w:val="21"/>
                <w:szCs w:val="21"/>
                <w:lang w:val="en-US" w:eastAsia="zh-CN"/>
              </w:rPr>
              <w:t>违约条款</w:t>
            </w:r>
          </w:p>
        </w:tc>
        <w:tc>
          <w:tcPr>
            <w:tcW w:w="6343" w:type="dxa"/>
            <w:vAlign w:val="center"/>
          </w:tcPr>
          <w:p>
            <w:pPr>
              <w:spacing w:line="240" w:lineRule="auto"/>
              <w:jc w:val="left"/>
              <w:rPr>
                <w:rFonts w:hint="eastAsia" w:asciiTheme="majorEastAsia" w:hAnsiTheme="majorEastAsia" w:eastAsiaTheme="majorEastAsia" w:cstheme="majorEastAsia"/>
                <w:bCs/>
                <w:kern w:val="2"/>
                <w:sz w:val="21"/>
                <w:szCs w:val="21"/>
                <w:lang w:val="en-US" w:eastAsia="zh-CN" w:bidi="ar-SA"/>
              </w:rPr>
            </w:pPr>
            <w:r>
              <w:rPr>
                <w:rFonts w:hint="eastAsia" w:asciiTheme="majorEastAsia" w:hAnsiTheme="majorEastAsia" w:eastAsiaTheme="majorEastAsia" w:cstheme="majorEastAsia"/>
                <w:bCs/>
                <w:sz w:val="21"/>
                <w:szCs w:val="21"/>
                <w:lang w:val="en-US" w:eastAsia="zh-CN"/>
              </w:rPr>
              <w:t>1.</w:t>
            </w:r>
            <w:r>
              <w:rPr>
                <w:rFonts w:hint="eastAsia" w:asciiTheme="majorEastAsia" w:hAnsiTheme="majorEastAsia" w:eastAsiaTheme="majorEastAsia" w:cstheme="majorEastAsia"/>
                <w:bCs/>
                <w:spacing w:val="0"/>
                <w:sz w:val="21"/>
                <w:szCs w:val="21"/>
                <w:lang w:val="en-US" w:eastAsia="zh-CN"/>
              </w:rPr>
              <w:t>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pPr>
          </w:p>
        </w:tc>
        <w:tc>
          <w:tcPr>
            <w:tcW w:w="6343" w:type="dxa"/>
            <w:vAlign w:val="center"/>
          </w:tcPr>
          <w:p>
            <w:pPr>
              <w:spacing w:line="240" w:lineRule="auto"/>
              <w:jc w:val="left"/>
              <w:rPr>
                <w:rFonts w:hint="eastAsia" w:asciiTheme="majorEastAsia" w:hAnsiTheme="majorEastAsia" w:eastAsiaTheme="majorEastAsia" w:cstheme="majorEastAsia"/>
                <w:bCs/>
                <w:kern w:val="2"/>
                <w:sz w:val="21"/>
                <w:szCs w:val="21"/>
                <w:lang w:val="en-US" w:eastAsia="zh-CN" w:bidi="ar-SA"/>
              </w:rPr>
            </w:pPr>
            <w:r>
              <w:rPr>
                <w:rFonts w:hint="eastAsia" w:asciiTheme="majorEastAsia" w:hAnsiTheme="majorEastAsia" w:eastAsiaTheme="majorEastAsia" w:cstheme="majorEastAsia"/>
                <w:bCs/>
                <w:spacing w:val="0"/>
                <w:sz w:val="21"/>
                <w:szCs w:val="21"/>
                <w:lang w:val="en-US" w:eastAsia="zh-CN"/>
              </w:rPr>
              <w:t>2.中标人无正当理由不能交付设备的，采购人有权解除合同，中标人应向采购人支付合同总价30%的违约金，如违约金不足以弥补采购人损失的，中标人还应按实际损失对采购人予以赔偿。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bCs/>
                <w:kern w:val="2"/>
                <w:sz w:val="21"/>
                <w:szCs w:val="21"/>
                <w:lang w:val="en-US" w:eastAsia="zh-CN" w:bidi="ar-SA"/>
              </w:rPr>
            </w:pPr>
            <w:r>
              <w:rPr>
                <w:rFonts w:hint="eastAsia" w:asciiTheme="majorEastAsia" w:hAnsiTheme="majorEastAsia" w:eastAsiaTheme="majorEastAsia" w:cstheme="majorEastAsia"/>
                <w:bCs/>
                <w:sz w:val="21"/>
                <w:szCs w:val="21"/>
                <w:lang w:val="en-US" w:eastAsia="zh-CN"/>
              </w:rPr>
              <w:t>3.</w:t>
            </w:r>
            <w:r>
              <w:rPr>
                <w:rFonts w:hint="eastAsia" w:asciiTheme="majorEastAsia" w:hAnsiTheme="majorEastAsia" w:eastAsiaTheme="majorEastAsia" w:cstheme="majorEastAsia"/>
                <w:bCs/>
                <w:spacing w:val="0"/>
                <w:sz w:val="21"/>
                <w:szCs w:val="21"/>
                <w:lang w:val="en-US" w:eastAsia="zh-CN"/>
              </w:rPr>
              <w:t>中标人未按合同约定履行保修维修服务的，中标人向采购人每日给付违约金为合同总价的1%，逾期提供服务超过30天的，采购人有权解除合同，中标人应向采购人支付合同总价30%的违约金，如采购人已支付货款的中标人还应立即退还，若违约金不足以弥补采购人损失的，中标人还应按实际损失对采购人予以赔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bCs/>
                <w:kern w:val="2"/>
                <w:sz w:val="21"/>
                <w:szCs w:val="21"/>
                <w:lang w:val="en-US" w:eastAsia="zh-CN" w:bidi="ar-SA"/>
              </w:rPr>
            </w:pPr>
            <w:r>
              <w:rPr>
                <w:rFonts w:hint="eastAsia" w:asciiTheme="majorEastAsia" w:hAnsiTheme="majorEastAsia" w:eastAsiaTheme="majorEastAsia" w:cstheme="majorEastAsia"/>
                <w:bCs/>
                <w:sz w:val="21"/>
                <w:szCs w:val="21"/>
                <w:lang w:val="en-US" w:eastAsia="zh-CN"/>
              </w:rPr>
              <w:t>4.</w:t>
            </w:r>
            <w:r>
              <w:rPr>
                <w:rFonts w:hint="eastAsia" w:asciiTheme="majorEastAsia" w:hAnsiTheme="majorEastAsia" w:eastAsiaTheme="majorEastAsia" w:cstheme="majorEastAsia"/>
                <w:bCs/>
                <w:spacing w:val="0"/>
                <w:sz w:val="21"/>
                <w:szCs w:val="21"/>
                <w:lang w:eastAsia="zh-CN"/>
              </w:rPr>
              <w:t>中标人承诺所使用软件的合法性，因中标人使用的软件引起纠纷给采购人造成损失的，应按合同总价的30%向采购人承担违约责任，违约金不足以弥补损失的，还应赔偿相应损失。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color w:val="FF0000"/>
                <w:kern w:val="2"/>
                <w:sz w:val="21"/>
                <w:szCs w:val="21"/>
                <w:lang w:val="en-US" w:eastAsia="zh-CN" w:bidi="ar-SA"/>
              </w:rPr>
            </w:pPr>
            <w:r>
              <w:rPr>
                <w:rFonts w:hint="eastAsia" w:asciiTheme="majorEastAsia" w:hAnsiTheme="majorEastAsia" w:eastAsiaTheme="majorEastAsia" w:cstheme="majorEastAsia"/>
                <w:bCs/>
                <w:spacing w:val="0"/>
                <w:sz w:val="21"/>
                <w:szCs w:val="21"/>
                <w:lang w:val="en-US" w:eastAsia="zh-CN"/>
              </w:rPr>
              <w:t>5.</w:t>
            </w:r>
            <w:r>
              <w:rPr>
                <w:rFonts w:hint="eastAsia" w:asciiTheme="majorEastAsia" w:hAnsiTheme="majorEastAsia" w:eastAsiaTheme="majorEastAsia" w:cstheme="majorEastAsia"/>
                <w:bCs/>
                <w:spacing w:val="0"/>
                <w:sz w:val="21"/>
                <w:szCs w:val="21"/>
                <w:lang w:eastAsia="zh-CN"/>
              </w:rPr>
              <w:t>由于中标人的原因，未能按时供货</w:t>
            </w:r>
            <w:r>
              <w:rPr>
                <w:rFonts w:hint="eastAsia" w:asciiTheme="majorEastAsia" w:hAnsiTheme="majorEastAsia" w:eastAsiaTheme="majorEastAsia" w:cstheme="majorEastAsia"/>
                <w:bCs/>
                <w:spacing w:val="0"/>
                <w:sz w:val="21"/>
                <w:szCs w:val="21"/>
                <w:lang w:val="en-US" w:eastAsia="zh-CN"/>
              </w:rPr>
              <w:t>或配合验收的</w:t>
            </w:r>
            <w:r>
              <w:rPr>
                <w:rFonts w:hint="eastAsia" w:asciiTheme="majorEastAsia" w:hAnsiTheme="majorEastAsia" w:eastAsiaTheme="majorEastAsia" w:cstheme="majorEastAsia"/>
                <w:bCs/>
                <w:spacing w:val="0"/>
                <w:sz w:val="21"/>
                <w:szCs w:val="21"/>
                <w:lang w:eastAsia="zh-CN"/>
              </w:rPr>
              <w:t>，每迟一天应给付采购人的违约金为合同总额的1%，总额不超过</w:t>
            </w:r>
            <w:r>
              <w:rPr>
                <w:rFonts w:hint="eastAsia" w:asciiTheme="majorEastAsia" w:hAnsiTheme="majorEastAsia" w:eastAsiaTheme="majorEastAsia" w:cstheme="majorEastAsia"/>
                <w:bCs/>
                <w:spacing w:val="0"/>
                <w:sz w:val="21"/>
                <w:szCs w:val="21"/>
                <w:lang w:val="en-US" w:eastAsia="zh-CN"/>
              </w:rPr>
              <w:t>合同总价</w:t>
            </w:r>
            <w:r>
              <w:rPr>
                <w:rFonts w:hint="eastAsia" w:asciiTheme="majorEastAsia" w:hAnsiTheme="majorEastAsia" w:eastAsiaTheme="majorEastAsia" w:cstheme="majorEastAsia"/>
                <w:bCs/>
                <w:spacing w:val="0"/>
                <w:sz w:val="21"/>
                <w:szCs w:val="21"/>
                <w:lang w:eastAsia="zh-CN"/>
              </w:rPr>
              <w:t>的30%；如超过供货期30日，采购人有权</w:t>
            </w:r>
            <w:r>
              <w:rPr>
                <w:rFonts w:hint="eastAsia" w:asciiTheme="majorEastAsia" w:hAnsiTheme="majorEastAsia" w:eastAsiaTheme="majorEastAsia" w:cstheme="majorEastAsia"/>
                <w:bCs/>
                <w:spacing w:val="0"/>
                <w:sz w:val="21"/>
                <w:szCs w:val="21"/>
                <w:lang w:val="en-US" w:eastAsia="zh-CN"/>
              </w:rPr>
              <w:t>解除</w:t>
            </w:r>
            <w:r>
              <w:rPr>
                <w:rFonts w:hint="eastAsia" w:asciiTheme="majorEastAsia" w:hAnsiTheme="majorEastAsia" w:eastAsiaTheme="majorEastAsia" w:cstheme="majorEastAsia"/>
                <w:bCs/>
                <w:spacing w:val="0"/>
                <w:sz w:val="21"/>
                <w:szCs w:val="21"/>
                <w:lang w:eastAsia="zh-CN"/>
              </w:rPr>
              <w:t>合同，</w:t>
            </w:r>
            <w:r>
              <w:rPr>
                <w:rFonts w:hint="eastAsia" w:asciiTheme="majorEastAsia" w:hAnsiTheme="majorEastAsia" w:eastAsiaTheme="majorEastAsia" w:cstheme="majorEastAsia"/>
                <w:bCs/>
                <w:spacing w:val="0"/>
                <w:sz w:val="21"/>
                <w:szCs w:val="21"/>
                <w:lang w:val="en-US" w:eastAsia="zh-CN"/>
              </w:rPr>
              <w:t>如采购人已支付货款的中标人还应立即退还，</w:t>
            </w:r>
            <w:r>
              <w:rPr>
                <w:rFonts w:hint="eastAsia" w:asciiTheme="majorEastAsia" w:hAnsiTheme="majorEastAsia" w:eastAsiaTheme="majorEastAsia" w:cstheme="majorEastAsia"/>
                <w:bCs/>
                <w:spacing w:val="0"/>
                <w:sz w:val="21"/>
                <w:szCs w:val="21"/>
                <w:lang w:eastAsia="zh-CN"/>
              </w:rPr>
              <w:t>违约金不足以弥补损失的，应赔偿相应损失。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color w:val="FF0000"/>
                <w:kern w:val="2"/>
                <w:sz w:val="21"/>
                <w:szCs w:val="21"/>
                <w:lang w:val="en-US" w:eastAsia="zh-CN" w:bidi="ar-SA"/>
              </w:rPr>
            </w:pPr>
            <w:r>
              <w:rPr>
                <w:rFonts w:hint="eastAsia" w:asciiTheme="majorEastAsia" w:hAnsiTheme="majorEastAsia" w:eastAsiaTheme="majorEastAsia" w:cstheme="majorEastAsia"/>
                <w:bCs/>
                <w:spacing w:val="0"/>
                <w:sz w:val="21"/>
                <w:szCs w:val="21"/>
                <w:lang w:val="en-US" w:eastAsia="zh-CN"/>
              </w:rPr>
              <w:t>6.</w:t>
            </w:r>
            <w:r>
              <w:rPr>
                <w:rFonts w:hint="eastAsia" w:asciiTheme="majorEastAsia" w:hAnsiTheme="majorEastAsia" w:eastAsiaTheme="majorEastAsia" w:cstheme="majorEastAsia"/>
                <w:bCs/>
                <w:spacing w:val="0"/>
                <w:sz w:val="21"/>
                <w:szCs w:val="21"/>
                <w:lang w:eastAsia="zh-CN"/>
              </w:rPr>
              <w:t>由于中标人的原因，在货到一周内未进行安装调试，或安装调试时间超过正常要求（30日），每超过一天应给付采购人的违约金为合同总额的1%。违约金不足以弥补采购人损失的，中标人应承担相应损失。情节严重者，采购人将依法律程序要求中标人进行索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bCs/>
                <w:spacing w:val="0"/>
                <w:sz w:val="21"/>
                <w:szCs w:val="21"/>
                <w:lang w:val="en-US" w:eastAsia="zh-CN"/>
              </w:rPr>
              <w:t>7.中标人提供的设备经调试验收合格后，在保修期内连续三个月内频繁（平均每月1次或1次以上）出现设备不能正常使用的情况，采购人有权要求中标人免费更换新机或者退货。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8.</w:t>
            </w:r>
            <w:r>
              <w:rPr>
                <w:rFonts w:hint="eastAsia" w:asciiTheme="majorEastAsia" w:hAnsiTheme="majorEastAsia" w:eastAsiaTheme="majorEastAsia" w:cstheme="majorEastAsia"/>
                <w:color w:val="auto"/>
                <w:sz w:val="21"/>
                <w:szCs w:val="21"/>
              </w:rPr>
              <w:t>中标人违约或给采购人造成损失的，应承担采购人的维权费用（包括但不限于诉讼费，财产保全担保费，律师费，调查取证费，鉴定费，交通费，差旅费等）。在合同履行过程中，如双方发生分歧或纠纷，应首先通过友好协商方式解决，协商未果，任何一方均可向采购人所在地有管辖权的人民法院提起诉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9</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7"/>
                <w:kern w:val="0"/>
                <w:sz w:val="21"/>
                <w:szCs w:val="21"/>
              </w:rPr>
              <w:t>知识产权</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1.</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应保证采购人在使用该货物或其任何一部分时，免受第三方提出的侵犯其专利权、商标权、著作权或其他知识产权的起诉。</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保证所提供软件的合法性，所发生的任何知识产权纠纷与采购人无关。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7"/>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2.</w:t>
            </w:r>
            <w:r>
              <w:rPr>
                <w:rFonts w:hint="eastAsia" w:asciiTheme="minorEastAsia" w:hAnsiTheme="minorEastAsia" w:eastAsiaTheme="minorEastAsia" w:cstheme="minorEastAsia"/>
                <w:spacing w:val="8"/>
                <w:kern w:val="0"/>
                <w:sz w:val="21"/>
                <w:szCs w:val="21"/>
              </w:rPr>
              <w:t>采购人购买产品后，有权对该产品与其他设备进行配套、整合或适当改进，而免受侵犯专利权的起诉。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10</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spacing w:val="7"/>
                <w:kern w:val="0"/>
                <w:sz w:val="21"/>
                <w:szCs w:val="21"/>
              </w:rPr>
              <w:t>其他</w:t>
            </w:r>
            <w:r>
              <w:rPr>
                <w:rFonts w:hint="eastAsia" w:asciiTheme="minorEastAsia" w:hAnsiTheme="minorEastAsia" w:cstheme="minorEastAsia"/>
                <w:spacing w:val="7"/>
                <w:kern w:val="0"/>
                <w:sz w:val="21"/>
                <w:szCs w:val="21"/>
                <w:lang w:val="en-US" w:eastAsia="zh-CN"/>
              </w:rPr>
              <w:t>要求</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1.</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应按其投标文件中的承诺，进行其他售后服务工作。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7"/>
                <w:kern w:val="0"/>
                <w:sz w:val="21"/>
                <w:szCs w:val="21"/>
              </w:rPr>
            </w:pPr>
          </w:p>
        </w:tc>
        <w:tc>
          <w:tcPr>
            <w:tcW w:w="6343" w:type="dxa"/>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default" w:asciiTheme="minorEastAsia" w:hAnsiTheme="minorEastAsia" w:eastAsiaTheme="minorEastAsia" w:cstheme="minorEastAsia"/>
                <w:spacing w:val="8"/>
                <w:kern w:val="0"/>
                <w:sz w:val="21"/>
                <w:szCs w:val="21"/>
                <w:lang w:val="en-US" w:eastAsia="zh-CN"/>
              </w:rPr>
            </w:pPr>
            <w:r>
              <w:rPr>
                <w:rFonts w:hint="eastAsia" w:asciiTheme="minorEastAsia" w:hAnsiTheme="minorEastAsia" w:eastAsiaTheme="minorEastAsia" w:cstheme="minorEastAsia"/>
                <w:b/>
                <w:bCs/>
                <w:color w:val="FF0000"/>
                <w:spacing w:val="9"/>
                <w:kern w:val="0"/>
                <w:sz w:val="21"/>
                <w:szCs w:val="21"/>
              </w:rPr>
              <w:t>★</w:t>
            </w:r>
            <w:r>
              <w:rPr>
                <w:rFonts w:hint="eastAsia" w:asciiTheme="minorEastAsia" w:hAnsiTheme="minorEastAsia" w:eastAsiaTheme="minorEastAsia" w:cstheme="minorEastAsia"/>
                <w:b/>
                <w:bCs/>
                <w:color w:val="FF0000"/>
                <w:spacing w:val="9"/>
                <w:kern w:val="0"/>
                <w:sz w:val="21"/>
                <w:szCs w:val="21"/>
                <w:lang w:val="en-US" w:eastAsia="zh-CN"/>
              </w:rPr>
              <w:t>2.</w:t>
            </w:r>
            <w:r>
              <w:rPr>
                <w:rFonts w:hint="eastAsia" w:asciiTheme="minorEastAsia" w:hAnsiTheme="minorEastAsia" w:eastAsiaTheme="minorEastAsia" w:cstheme="minorEastAsia"/>
                <w:b/>
                <w:bCs/>
                <w:color w:val="FF0000"/>
                <w:spacing w:val="8"/>
                <w:kern w:val="0"/>
                <w:sz w:val="21"/>
                <w:szCs w:val="21"/>
                <w:lang w:val="en-US" w:eastAsia="zh-CN"/>
              </w:rPr>
              <w:t>投标人所投产品（认知康复评估与训练仪、自动化学发光免疫分析仪），必须提供医疗器械注册证书（或者备案凭证）扫描件，原件备查。开标时，该证应在有效期内，若不在有效期内，则需提供该证和所投产品在该证有效期内生产的药监局出具的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7"/>
                <w:kern w:val="0"/>
                <w:sz w:val="21"/>
                <w:szCs w:val="21"/>
              </w:rPr>
            </w:pPr>
          </w:p>
        </w:tc>
        <w:tc>
          <w:tcPr>
            <w:tcW w:w="6343" w:type="dxa"/>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Theme="minorEastAsia" w:hAnsiTheme="minorEastAsia" w:eastAsiaTheme="minorEastAsia" w:cstheme="minorEastAsia"/>
                <w:b/>
                <w:bCs/>
                <w:color w:val="FF0000"/>
                <w:spacing w:val="9"/>
                <w:kern w:val="0"/>
                <w:sz w:val="21"/>
                <w:szCs w:val="21"/>
              </w:rPr>
            </w:pPr>
            <w:r>
              <w:rPr>
                <w:rFonts w:hint="eastAsia" w:asciiTheme="minorEastAsia" w:hAnsiTheme="minorEastAsia" w:eastAsiaTheme="minorEastAsia" w:cstheme="minorEastAsia"/>
                <w:b/>
                <w:bCs/>
                <w:color w:val="FF0000"/>
                <w:spacing w:val="9"/>
                <w:kern w:val="0"/>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b/>
        </w:rPr>
      </w:pPr>
    </w:p>
    <w:p>
      <w:pPr>
        <w:pStyle w:val="7"/>
        <w:spacing w:before="60" w:beforeLines="25" w:after="60" w:afterLines="25"/>
        <w:ind w:firstLine="0" w:firstLineChars="0"/>
        <w:rPr>
          <w:rFonts w:ascii="宋体" w:hAnsi="宋体"/>
          <w:szCs w:val="21"/>
        </w:rPr>
      </w:pPr>
    </w:p>
    <w:p>
      <w:pPr>
        <w:pStyle w:val="5"/>
        <w:spacing w:before="120" w:beforeLines="50" w:after="120" w:afterLines="50"/>
        <w:rPr>
          <w:sz w:val="28"/>
          <w:szCs w:val="28"/>
        </w:rPr>
      </w:pPr>
      <w:r>
        <w:rPr>
          <w:rFonts w:hint="eastAsia"/>
          <w:sz w:val="28"/>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、除采购合同继续履行将损害国家利益和社会公共利益外，双方当事人不得擅自变更、中止或者终止合同。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rPr>
          <w:rFonts w:ascii="宋体" w:hAnsi="宋体"/>
        </w:rPr>
      </w:pPr>
    </w:p>
    <w:p>
      <w:pPr>
        <w:pStyle w:val="8"/>
        <w:rPr>
          <w:rFonts w:ascii="宋体" w:hAnsi="宋体"/>
        </w:rPr>
      </w:pPr>
    </w:p>
    <w:p>
      <w:pPr>
        <w:pStyle w:val="37"/>
      </w:pPr>
    </w:p>
    <w:p>
      <w:pPr>
        <w:pStyle w:val="8"/>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kern w:val="2"/>
        </w:rPr>
      </w:pPr>
      <w:r>
        <w:rPr>
          <w:rFonts w:hint="eastAsia"/>
          <w:kern w:val="2"/>
        </w:rPr>
        <w:t>第四章</w:t>
      </w:r>
      <w:r>
        <w:rPr>
          <w:kern w:val="2"/>
        </w:rPr>
        <w:t xml:space="preserve"> </w:t>
      </w:r>
      <w:r>
        <w:rPr>
          <w:rFonts w:hint="eastAsia"/>
          <w:kern w:val="2"/>
        </w:rPr>
        <w:t xml:space="preserve"> 投标文件组成要求及格式</w:t>
      </w:r>
    </w:p>
    <w:p>
      <w:r>
        <w:rPr>
          <w:rFonts w:hint="eastAsia"/>
        </w:rPr>
        <w:t>投标文件组成</w:t>
      </w:r>
      <w:bookmarkStart w:id="43" w:name="_Hlk72257253"/>
      <w:r>
        <w:rPr>
          <w:rFonts w:hint="eastAsia"/>
        </w:rPr>
        <w:t>主要包括以下内容：</w:t>
      </w:r>
    </w:p>
    <w:p>
      <w:pPr>
        <w:ind w:left="718" w:leftChars="342" w:firstLine="1417" w:firstLineChars="675"/>
        <w:rPr>
          <w:szCs w:val="21"/>
        </w:rPr>
      </w:pPr>
      <w:r>
        <w:rPr>
          <w:rFonts w:hint="eastAsia"/>
          <w:szCs w:val="21"/>
        </w:rPr>
        <w:t>（1）</w:t>
      </w:r>
      <w:bookmarkStart w:id="44" w:name="_Hlk72070784"/>
      <w:r>
        <w:rPr>
          <w:rFonts w:hint="eastAsia"/>
          <w:szCs w:val="21"/>
        </w:rPr>
        <w:t>投标函</w:t>
      </w:r>
      <w:bookmarkEnd w:id="44"/>
    </w:p>
    <w:p>
      <w:pPr>
        <w:ind w:left="718" w:leftChars="342" w:firstLine="1417" w:firstLineChars="675"/>
        <w:rPr>
          <w:szCs w:val="21"/>
        </w:rPr>
      </w:pPr>
      <w:r>
        <w:rPr>
          <w:rFonts w:hint="eastAsia"/>
          <w:szCs w:val="21"/>
        </w:rPr>
        <w:t>（2）</w:t>
      </w:r>
      <w:bookmarkStart w:id="45" w:name="_Hlk72062521"/>
      <w:r>
        <w:rPr>
          <w:rFonts w:hint="eastAsia"/>
          <w:szCs w:val="21"/>
        </w:rPr>
        <w:t>采购投标及履约承诺函</w:t>
      </w:r>
      <w:bookmarkEnd w:id="45"/>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46" w:name="_Hlk72257201"/>
      <w:r>
        <w:rPr>
          <w:rFonts w:hint="eastAsia"/>
          <w:szCs w:val="21"/>
        </w:rPr>
        <w:t>（</w:t>
      </w:r>
      <w:r>
        <w:rPr>
          <w:szCs w:val="21"/>
        </w:rPr>
        <w:t>4</w:t>
      </w:r>
      <w:r>
        <w:rPr>
          <w:rFonts w:hint="eastAsia"/>
          <w:szCs w:val="21"/>
        </w:rPr>
        <w:t>）项目详细报价</w:t>
      </w:r>
    </w:p>
    <w:bookmarkEnd w:id="46"/>
    <w:p>
      <w:pPr>
        <w:ind w:firstLine="2100" w:firstLineChars="1000"/>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）供应商基本情况表</w:t>
      </w:r>
    </w:p>
    <w:p>
      <w:pPr>
        <w:ind w:firstLine="2100" w:firstLineChars="1000"/>
        <w:rPr>
          <w:szCs w:val="21"/>
        </w:rPr>
      </w:pPr>
      <w:r>
        <w:rPr>
          <w:rFonts w:hint="eastAsia"/>
          <w:szCs w:val="21"/>
        </w:rPr>
        <w:t>（</w:t>
      </w:r>
      <w:r>
        <w:rPr>
          <w:rFonts w:hint="eastAsia"/>
          <w:szCs w:val="21"/>
          <w:lang w:val="en-US" w:eastAsia="zh-CN"/>
        </w:rPr>
        <w:t>6</w:t>
      </w:r>
      <w:r>
        <w:rPr>
          <w:rFonts w:hint="eastAsia"/>
          <w:szCs w:val="21"/>
        </w:rPr>
        <w:t>）法定代表人（负责人）证明书</w:t>
      </w:r>
    </w:p>
    <w:p>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）投标文件签署授权委托书</w:t>
      </w:r>
    </w:p>
    <w:p>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）实质性条款响应情况表</w:t>
      </w:r>
    </w:p>
    <w:p>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）技术要求偏离表</w:t>
      </w:r>
    </w:p>
    <w:p>
      <w:pPr>
        <w:ind w:left="718" w:leftChars="342" w:firstLine="1417" w:firstLineChars="675"/>
        <w:rPr>
          <w:rFonts w:hint="eastAsia"/>
          <w:szCs w:val="21"/>
          <w:lang w:val="en-US" w:eastAsia="zh-CN"/>
        </w:rPr>
      </w:pPr>
      <w:r>
        <w:rPr>
          <w:rFonts w:hint="eastAsia"/>
          <w:szCs w:val="21"/>
        </w:rPr>
        <w:t>（</w:t>
      </w:r>
      <w:r>
        <w:rPr>
          <w:rFonts w:hint="eastAsia"/>
          <w:szCs w:val="21"/>
          <w:lang w:val="en-US" w:eastAsia="zh-CN"/>
        </w:rPr>
        <w:t>10</w:t>
      </w:r>
      <w:r>
        <w:rPr>
          <w:rFonts w:hint="eastAsia"/>
          <w:szCs w:val="21"/>
        </w:rPr>
        <w:t>）</w:t>
      </w:r>
      <w:r>
        <w:rPr>
          <w:rFonts w:hint="eastAsia"/>
          <w:szCs w:val="21"/>
          <w:lang w:val="en-US" w:eastAsia="zh-CN"/>
        </w:rPr>
        <w:t>项目实施方案</w:t>
      </w:r>
    </w:p>
    <w:p>
      <w:pPr>
        <w:ind w:left="718" w:leftChars="342" w:firstLine="1417" w:firstLineChars="675"/>
        <w:rPr>
          <w:rFonts w:hint="eastAsia"/>
          <w:szCs w:val="21"/>
          <w:lang w:val="en-US" w:eastAsia="zh-CN"/>
        </w:rPr>
      </w:pPr>
      <w:r>
        <w:rPr>
          <w:rFonts w:hint="eastAsia"/>
          <w:szCs w:val="21"/>
          <w:lang w:val="en-US" w:eastAsia="zh-CN"/>
        </w:rPr>
        <w:t>（11）免费保修期时长</w:t>
      </w:r>
    </w:p>
    <w:p>
      <w:pPr>
        <w:ind w:left="718" w:leftChars="342" w:firstLine="1417" w:firstLineChars="675"/>
        <w:rPr>
          <w:rFonts w:hint="default"/>
          <w:szCs w:val="21"/>
          <w:lang w:val="en-US" w:eastAsia="zh-CN"/>
        </w:rPr>
      </w:pPr>
      <w:r>
        <w:rPr>
          <w:rFonts w:hint="eastAsia"/>
          <w:szCs w:val="21"/>
          <w:lang w:val="en-US" w:eastAsia="zh-CN"/>
        </w:rPr>
        <w:t>（12）同类业绩</w:t>
      </w:r>
    </w:p>
    <w:p>
      <w:pPr>
        <w:ind w:left="718" w:leftChars="342" w:firstLine="1417" w:firstLineChars="675"/>
        <w:rPr>
          <w:rFonts w:hint="eastAsia"/>
          <w:szCs w:val="21"/>
        </w:rPr>
      </w:pPr>
      <w:r>
        <w:rPr>
          <w:rFonts w:hint="eastAsia"/>
          <w:szCs w:val="21"/>
        </w:rPr>
        <w:t>（</w:t>
      </w:r>
      <w:r>
        <w:rPr>
          <w:rFonts w:hint="eastAsia"/>
          <w:szCs w:val="21"/>
          <w:lang w:val="en-US" w:eastAsia="zh-CN"/>
        </w:rPr>
        <w:t>13</w:t>
      </w:r>
      <w:r>
        <w:rPr>
          <w:rFonts w:hint="eastAsia"/>
          <w:szCs w:val="21"/>
        </w:rPr>
        <w:t>）投标人认为需要加以说明的其他内容</w:t>
      </w:r>
    </w:p>
    <w:p>
      <w:pPr>
        <w:pStyle w:val="8"/>
      </w:pPr>
    </w:p>
    <w:bookmarkEnd w:id="43"/>
    <w:p>
      <w:pPr>
        <w:ind w:left="718" w:leftChars="342" w:firstLine="1417" w:firstLineChars="675"/>
        <w:rPr>
          <w:szCs w:val="21"/>
        </w:rPr>
      </w:pPr>
    </w:p>
    <w:p>
      <w:pPr>
        <w:ind w:firstLine="426" w:firstLineChars="202"/>
        <w:rPr>
          <w:rFonts w:ascii="宋体" w:hAnsi="宋体"/>
          <w:b/>
          <w:szCs w:val="21"/>
        </w:rPr>
      </w:pPr>
      <w:bookmarkStart w:id="47" w:name="_Hlk72257771"/>
      <w:r>
        <w:rPr>
          <w:rFonts w:hint="eastAsia" w:ascii="宋体" w:hAnsi="宋体"/>
          <w:b/>
          <w:szCs w:val="21"/>
        </w:rPr>
        <w:t>备注：</w:t>
      </w:r>
    </w:p>
    <w:p>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2" w:firstLineChars="200"/>
        <w:rPr>
          <w:rFonts w:ascii="宋体" w:hAnsi="宋体"/>
          <w:color w:val="FF0000"/>
          <w:sz w:val="24"/>
        </w:rPr>
      </w:pPr>
      <w:bookmarkStart w:id="48" w:name="_Hlk72263559"/>
      <w:r>
        <w:rPr>
          <w:rFonts w:hint="eastAsia" w:ascii="宋体" w:hAnsi="宋体"/>
          <w:b/>
          <w:szCs w:val="21"/>
        </w:rPr>
        <w:t>2.关于填写“开标一览表”的说明：“开标一览表”中除“投标总价”外，其他信息不作评审依据。</w:t>
      </w:r>
      <w:bookmarkEnd w:id="47"/>
      <w:bookmarkEnd w:id="48"/>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sz w:val="24"/>
        </w:rPr>
      </w:pPr>
      <w:r>
        <w:rPr>
          <w:rFonts w:hint="eastAsia" w:ascii="黑体" w:eastAsia="黑体"/>
          <w:b w:val="0"/>
          <w:sz w:val="24"/>
        </w:rPr>
        <w:t>一、投标函</w:t>
      </w:r>
    </w:p>
    <w:p>
      <w:pPr>
        <w:spacing w:line="360" w:lineRule="auto"/>
        <w:rPr>
          <w:rFonts w:ascii="宋体" w:hAnsi="宋体"/>
          <w:szCs w:val="21"/>
        </w:rPr>
      </w:pPr>
      <w:bookmarkStart w:id="49"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bookmarkStart w:id="50"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51" w:name="_Hlk72263588"/>
      <w:r>
        <w:rPr>
          <w:rFonts w:hint="eastAsia"/>
          <w:szCs w:val="21"/>
        </w:rPr>
        <w:t>愿意按照招标文件要求承包上述项目并修补其任何缺陷。</w:t>
      </w:r>
      <w:bookmarkEnd w:id="51"/>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ascii="宋体" w:hAnsi="宋体"/>
          <w:szCs w:val="21"/>
        </w:rPr>
        <w:t>2</w:t>
      </w:r>
      <w:r>
        <w:rPr>
          <w:rFonts w:hint="eastAsia" w:ascii="宋体" w:hAnsi="宋体"/>
          <w:szCs w:val="21"/>
        </w:rPr>
        <w:t>、</w:t>
      </w:r>
      <w:bookmarkStart w:id="52" w:name="_Hlk73819847"/>
      <w:r>
        <w:rPr>
          <w:rFonts w:hint="eastAsia" w:ascii="宋体" w:hAnsi="宋体"/>
          <w:szCs w:val="21"/>
        </w:rPr>
        <w:t>投标价格见</w:t>
      </w:r>
      <w:r>
        <w:rPr>
          <w:rFonts w:hint="eastAsia"/>
          <w:szCs w:val="21"/>
        </w:rPr>
        <w:t>投标书编制软件中填写的投标</w:t>
      </w:r>
      <w:r>
        <w:rPr>
          <w:rFonts w:hint="eastAsia"/>
          <w:szCs w:val="21"/>
          <w:lang w:val="en-US" w:eastAsia="zh-CN"/>
        </w:rPr>
        <w:t>报</w:t>
      </w:r>
      <w:r>
        <w:rPr>
          <w:rFonts w:hint="eastAsia"/>
          <w:szCs w:val="21"/>
        </w:rPr>
        <w:t>价。</w:t>
      </w:r>
      <w:bookmarkEnd w:id="52"/>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szCs w:val="21"/>
          <w:lang w:eastAsia="zh-CN"/>
        </w:rPr>
      </w:pPr>
      <w:r>
        <w:rPr>
          <w:rFonts w:hint="eastAsia" w:ascii="宋体" w:hAnsi="宋体"/>
          <w:szCs w:val="21"/>
        </w:rPr>
        <w:t>6、我单位理解贵单位将不受必须接受所收到的最低报价或其它任何投标文件的约束</w:t>
      </w:r>
      <w:bookmarkEnd w:id="50"/>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rPr>
      </w:pP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ascii="黑体" w:hAnsi="宋体" w:eastAsia="黑体"/>
        </w:rPr>
      </w:pPr>
    </w:p>
    <w:p>
      <w:pPr>
        <w:rPr>
          <w:rFonts w:ascii="黑体" w:hAnsi="宋体" w:eastAsia="黑体"/>
        </w:rPr>
      </w:pPr>
    </w:p>
    <w:bookmarkEnd w:id="49"/>
    <w:p>
      <w:pPr>
        <w:pStyle w:val="3"/>
        <w:jc w:val="center"/>
        <w:rPr>
          <w:rFonts w:ascii="黑体" w:eastAsia="黑体"/>
          <w:b w:val="0"/>
          <w:sz w:val="24"/>
        </w:rPr>
      </w:pPr>
      <w:r>
        <w:rPr>
          <w:rFonts w:hint="eastAsia" w:ascii="黑体" w:eastAsia="黑体"/>
          <w:b w:val="0"/>
          <w:sz w:val="24"/>
        </w:rPr>
        <w:t>二、采购投标及履约承诺函</w:t>
      </w:r>
    </w:p>
    <w:p>
      <w:pPr>
        <w:rPr>
          <w:rFonts w:ascii="宋体" w:hAnsi="宋体"/>
          <w:color w:val="FF0000"/>
          <w:szCs w:val="21"/>
        </w:rPr>
      </w:pPr>
      <w:bookmarkStart w:id="53"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hint="eastAsia" w:ascii="宋体" w:hAnsi="宋体"/>
          <w:b/>
          <w:szCs w:val="21"/>
        </w:rPr>
      </w:pPr>
      <w:r>
        <w:rPr>
          <w:rFonts w:hint="eastAsia" w:ascii="宋体" w:hAnsi="宋体"/>
          <w:b w:val="0"/>
          <w:bCs/>
          <w:szCs w:val="21"/>
        </w:rPr>
        <w:t>1.我单位参与本项目所投标（响应）的货物、工程或服务，不存在侵犯知识产权的情况。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rPr>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54" w:name="_Hlk72587269"/>
      <w:bookmarkStart w:id="55"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4"/>
      <w:r>
        <w:rPr>
          <w:rFonts w:hint="eastAsia" w:ascii="宋体" w:hAnsi="宋体"/>
          <w:szCs w:val="21"/>
        </w:rPr>
        <w:t>。</w:t>
      </w:r>
    </w:p>
    <w:bookmarkEnd w:id="55"/>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pPr>
        <w:ind w:firstLine="422" w:firstLineChars="200"/>
        <w:rPr>
          <w:rFonts w:hint="default" w:ascii="宋体" w:hAnsi="宋体"/>
          <w:b/>
          <w:szCs w:val="21"/>
          <w:lang w:val="en-US"/>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53"/>
    <w:p>
      <w:pPr>
        <w:spacing w:before="60" w:beforeLines="25" w:after="60" w:afterLines="25"/>
        <w:ind w:firstLine="5460" w:firstLineChars="2600"/>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pPr>
        <w:ind w:firstLine="645"/>
        <w:rPr>
          <w:rFonts w:ascii="宋体" w:hAnsi="宋体"/>
          <w:szCs w:val="21"/>
        </w:rPr>
      </w:pPr>
    </w:p>
    <w:p>
      <w:pPr>
        <w:rPr>
          <w:rFonts w:ascii="宋体"/>
          <w:b/>
          <w:szCs w:val="21"/>
        </w:rPr>
      </w:pPr>
    </w:p>
    <w:p>
      <w:pPr>
        <w:ind w:firstLine="482" w:firstLineChars="200"/>
        <w:jc w:val="center"/>
        <w:rPr>
          <w:rFonts w:hAnsi="宋体"/>
          <w:b/>
          <w:bCs/>
          <w:sz w:val="24"/>
        </w:rPr>
      </w:pPr>
    </w:p>
    <w:p>
      <w:pPr>
        <w:pStyle w:val="3"/>
        <w:jc w:val="center"/>
        <w:rPr>
          <w:rFonts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ascii="黑体" w:hAnsi="宋体" w:eastAsia="黑体"/>
          <w:bCs/>
          <w:kern w:val="0"/>
          <w:sz w:val="24"/>
          <w:szCs w:val="32"/>
        </w:rPr>
      </w:pPr>
      <w:bookmarkStart w:id="56" w:name="_Hlk72257590"/>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其中要求提供《采购投标及履约承诺函》《供应商基本情况表》且已在规定章节中提供的，此处不重复提供</w:t>
      </w:r>
      <w:r>
        <w:rPr>
          <w:rFonts w:hint="eastAsia"/>
          <w:b/>
          <w:bCs/>
          <w:color w:val="FF0000"/>
        </w:rPr>
        <w:t>。）</w:t>
      </w:r>
    </w:p>
    <w:p>
      <w:pPr>
        <w:rPr>
          <w:b/>
          <w:bCs/>
          <w:sz w:val="24"/>
        </w:rPr>
      </w:pPr>
    </w:p>
    <w:p>
      <w:pPr>
        <w:ind w:firstLine="480" w:firstLineChars="200"/>
        <w:outlineLvl w:val="3"/>
        <w:rPr>
          <w:rFonts w:ascii="黑体" w:hAnsi="宋体" w:eastAsia="黑体"/>
          <w:bCs/>
          <w:kern w:val="0"/>
          <w:sz w:val="24"/>
          <w:szCs w:val="32"/>
        </w:rPr>
      </w:pPr>
      <w:bookmarkStart w:id="57" w:name="_Hlk72257908"/>
      <w:r>
        <w:rPr>
          <w:rFonts w:hint="eastAsia" w:ascii="黑体" w:hAnsi="宋体" w:eastAsia="黑体"/>
          <w:bCs/>
          <w:kern w:val="0"/>
          <w:sz w:val="24"/>
          <w:szCs w:val="32"/>
        </w:rPr>
        <w:t>（二）中小企业声明函、残疾人福利性单位声明函及监狱企业声明函</w:t>
      </w:r>
    </w:p>
    <w:bookmarkEnd w:id="56"/>
    <w:p>
      <w:pPr>
        <w:jc w:val="left"/>
        <w:outlineLvl w:val="9"/>
        <w:rPr>
          <w:rFonts w:ascii="黑体" w:hAnsi="宋体" w:eastAsia="黑体"/>
          <w:bCs/>
          <w:kern w:val="0"/>
          <w:sz w:val="24"/>
          <w:szCs w:val="32"/>
        </w:rPr>
      </w:pP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9"/>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9"/>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pPr>
        <w:ind w:firstLine="420" w:firstLineChars="200"/>
        <w:outlineLvl w:val="9"/>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w:t>
      </w:r>
      <w:r>
        <w:rPr>
          <w:rFonts w:hint="eastAsia" w:ascii="黑体" w:hAnsi="宋体" w:eastAsia="黑体"/>
          <w:bCs/>
          <w:color w:val="FF0000"/>
          <w:kern w:val="0"/>
          <w:szCs w:val="21"/>
          <w:lang w:val="en-US" w:eastAsia="zh-CN"/>
        </w:rPr>
        <w:t>清单</w:t>
      </w:r>
      <w:r>
        <w:rPr>
          <w:rFonts w:hint="eastAsia" w:ascii="黑体" w:hAnsi="宋体" w:eastAsia="黑体"/>
          <w:bCs/>
          <w:color w:val="FF0000"/>
          <w:kern w:val="0"/>
          <w:szCs w:val="21"/>
        </w:rPr>
        <w:t>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pPr>
        <w:pStyle w:val="54"/>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pStyle w:val="54"/>
        <w:ind w:firstLine="420" w:firstLineChars="200"/>
        <w:outlineLvl w:val="9"/>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outlineLvl w:val="9"/>
      </w:pPr>
    </w:p>
    <w:p>
      <w:pPr>
        <w:numPr>
          <w:ilvl w:val="0"/>
          <w:numId w:val="10"/>
        </w:numPr>
        <w:jc w:val="center"/>
        <w:outlineLvl w:val="9"/>
        <w:rPr>
          <w:b/>
          <w:sz w:val="24"/>
        </w:rPr>
      </w:pPr>
      <w:r>
        <w:rPr>
          <w:b/>
          <w:sz w:val="24"/>
        </w:rPr>
        <w:t>中小企业声明函（货物）</w:t>
      </w:r>
    </w:p>
    <w:p>
      <w:pPr>
        <w:pStyle w:val="8"/>
        <w:widowControl w:val="0"/>
        <w:numPr>
          <w:ilvl w:val="0"/>
          <w:numId w:val="0"/>
        </w:numPr>
        <w:spacing w:line="360" w:lineRule="auto"/>
        <w:jc w:val="both"/>
        <w:outlineLvl w:val="9"/>
      </w:pP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58"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8"/>
    </w:p>
    <w:p>
      <w:pPr>
        <w:ind w:firstLine="420" w:firstLineChars="200"/>
        <w:outlineLvl w:val="9"/>
        <w:rPr>
          <w:rFonts w:ascii="宋体" w:hAnsi="宋体"/>
          <w:bCs/>
          <w:color w:val="FF0000"/>
          <w:kern w:val="0"/>
          <w:szCs w:val="21"/>
        </w:rPr>
      </w:pPr>
    </w:p>
    <w:p>
      <w:pPr>
        <w:outlineLvl w:val="9"/>
      </w:pPr>
    </w:p>
    <w:p>
      <w:pPr>
        <w:ind w:firstLine="420" w:firstLineChars="200"/>
        <w:outlineLvl w:val="9"/>
      </w:pPr>
    </w:p>
    <w:p>
      <w:pPr>
        <w:jc w:val="center"/>
        <w:outlineLvl w:val="9"/>
        <w:rPr>
          <w:b/>
          <w:sz w:val="24"/>
        </w:rPr>
      </w:pPr>
      <w:r>
        <w:rPr>
          <w:rFonts w:hint="eastAsia"/>
          <w:b/>
          <w:sz w:val="24"/>
        </w:rPr>
        <w:t>2、残疾人福利性单位声明函（货物类）</w:t>
      </w:r>
    </w:p>
    <w:p>
      <w:pPr>
        <w:outlineLvl w:val="9"/>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59" w:name="_Hlk73562331"/>
      <w:bookmarkStart w:id="60"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59"/>
    </w:p>
    <w:bookmarkEnd w:id="60"/>
    <w:p>
      <w:pPr>
        <w:ind w:firstLine="420" w:firstLineChars="200"/>
        <w:outlineLvl w:val="9"/>
        <w:rPr>
          <w:rFonts w:ascii="宋体" w:hAnsi="宋体"/>
          <w:szCs w:val="21"/>
        </w:rPr>
      </w:pPr>
    </w:p>
    <w:p>
      <w:pPr>
        <w:ind w:firstLine="420" w:firstLineChars="200"/>
        <w:outlineLvl w:val="9"/>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b/>
          <w:bCs/>
          <w:color w:val="FF0000"/>
          <w:sz w:val="21"/>
          <w:szCs w:val="21"/>
        </w:rPr>
      </w:pPr>
      <w:r>
        <w:rPr>
          <w:rFonts w:hint="eastAsia" w:ascii="宋体" w:hAnsi="宋体"/>
          <w:sz w:val="21"/>
          <w:szCs w:val="21"/>
        </w:rPr>
        <w:t>附：省级以上监狱管理局、戒毒管理局（含新疆生产建设兵团）出具的监狱企业证明文件。</w:t>
      </w:r>
      <w:bookmarkEnd w:id="57"/>
    </w:p>
    <w:p>
      <w:pPr>
        <w:pStyle w:val="3"/>
        <w:jc w:val="center"/>
        <w:rPr>
          <w:rFonts w:ascii="黑体" w:eastAsia="黑体"/>
          <w:b w:val="0"/>
          <w:sz w:val="24"/>
          <w:szCs w:val="24"/>
        </w:rPr>
      </w:pPr>
      <w:bookmarkStart w:id="61" w:name="_Hlk72259976"/>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4"/>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382"/>
        <w:gridCol w:w="969"/>
        <w:gridCol w:w="890"/>
        <w:gridCol w:w="781"/>
        <w:gridCol w:w="766"/>
        <w:gridCol w:w="578"/>
        <w:gridCol w:w="899"/>
        <w:gridCol w:w="571"/>
        <w:gridCol w:w="563"/>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序号</w:t>
            </w:r>
          </w:p>
        </w:tc>
        <w:tc>
          <w:tcPr>
            <w:tcW w:w="1382"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货物名称</w:t>
            </w:r>
          </w:p>
        </w:tc>
        <w:tc>
          <w:tcPr>
            <w:tcW w:w="969" w:type="dxa"/>
            <w:vAlign w:val="center"/>
          </w:tcPr>
          <w:p>
            <w:pPr>
              <w:jc w:val="center"/>
              <w:rPr>
                <w:rFonts w:hint="eastAsia" w:ascii="Times New Roman" w:hAnsi="Times New Roman" w:eastAsia="宋体" w:cs="Times New Roman"/>
                <w:bCs/>
                <w:szCs w:val="21"/>
              </w:rPr>
            </w:pPr>
            <w:r>
              <w:rPr>
                <w:rFonts w:hint="eastAsia" w:ascii="Times New Roman" w:hAnsi="Times New Roman" w:eastAsia="宋体" w:cs="Times New Roman"/>
                <w:szCs w:val="21"/>
              </w:rPr>
              <w:t>品牌</w:t>
            </w:r>
          </w:p>
        </w:tc>
        <w:tc>
          <w:tcPr>
            <w:tcW w:w="890"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规格/型号</w:t>
            </w:r>
          </w:p>
        </w:tc>
        <w:tc>
          <w:tcPr>
            <w:tcW w:w="781"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
                <w:color w:val="FF0000"/>
                <w:szCs w:val="21"/>
              </w:rPr>
              <w:t>原产地</w:t>
            </w:r>
          </w:p>
        </w:tc>
        <w:tc>
          <w:tcPr>
            <w:tcW w:w="766"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制造商名称</w:t>
            </w:r>
          </w:p>
        </w:tc>
        <w:tc>
          <w:tcPr>
            <w:tcW w:w="578"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数量</w:t>
            </w:r>
          </w:p>
        </w:tc>
        <w:tc>
          <w:tcPr>
            <w:tcW w:w="899"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单位</w:t>
            </w:r>
          </w:p>
        </w:tc>
        <w:tc>
          <w:tcPr>
            <w:tcW w:w="571"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单价(元)</w:t>
            </w:r>
          </w:p>
        </w:tc>
        <w:tc>
          <w:tcPr>
            <w:tcW w:w="563"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合价(元)</w:t>
            </w:r>
          </w:p>
        </w:tc>
        <w:tc>
          <w:tcPr>
            <w:tcW w:w="703"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1</w:t>
            </w:r>
          </w:p>
        </w:tc>
        <w:tc>
          <w:tcPr>
            <w:tcW w:w="1382"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认知康复评估与训练仪</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center"/>
          </w:tcPr>
          <w:p>
            <w:pPr>
              <w:jc w:val="center"/>
              <w:rPr>
                <w:rFonts w:ascii="Times New Roman" w:hAnsi="Times New Roman" w:eastAsia="宋体" w:cs="Times New Roman"/>
                <w:bCs/>
                <w:szCs w:val="21"/>
              </w:rPr>
            </w:pPr>
            <w:r>
              <w:rPr>
                <w:rFonts w:hint="eastAsia" w:ascii="宋体" w:hAnsi="宋体" w:eastAsia="宋体" w:cs="宋体"/>
                <w:b w:val="0"/>
                <w:bCs/>
                <w:color w:val="auto"/>
                <w:sz w:val="21"/>
                <w:szCs w:val="21"/>
                <w:lang w:val="en-US" w:eastAsia="zh-CN"/>
              </w:rPr>
              <w:t>2</w:t>
            </w:r>
          </w:p>
        </w:tc>
        <w:tc>
          <w:tcPr>
            <w:tcW w:w="899" w:type="dxa"/>
            <w:vAlign w:val="center"/>
          </w:tcPr>
          <w:p>
            <w:pPr>
              <w:jc w:val="center"/>
              <w:rPr>
                <w:rFonts w:hint="default" w:ascii="Times New Roman" w:hAnsi="Times New Roman" w:eastAsia="宋体" w:cs="Times New Roman"/>
                <w:bCs/>
                <w:szCs w:val="21"/>
                <w:lang w:val="en-US" w:eastAsia="zh-CN"/>
              </w:rPr>
            </w:pPr>
            <w:r>
              <w:rPr>
                <w:rFonts w:hint="eastAsia" w:cs="Times New Roman"/>
                <w:bCs/>
                <w:szCs w:val="21"/>
                <w:lang w:val="en-US" w:eastAsia="zh-CN"/>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restart"/>
            <w:vAlign w:val="center"/>
          </w:tcPr>
          <w:p>
            <w:pPr>
              <w:jc w:val="center"/>
              <w:rPr>
                <w:rFonts w:ascii="Times New Roman" w:hAnsi="Times New Roman"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2</w:t>
            </w:r>
          </w:p>
        </w:tc>
        <w:tc>
          <w:tcPr>
            <w:tcW w:w="1382"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自动化学发光免疫分析仪</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center"/>
          </w:tcPr>
          <w:p>
            <w:pPr>
              <w:jc w:val="center"/>
              <w:rPr>
                <w:rFonts w:ascii="Times New Roman" w:hAnsi="Times New Roman" w:eastAsia="宋体" w:cs="Times New Roman"/>
                <w:bCs/>
                <w:szCs w:val="21"/>
              </w:rPr>
            </w:pPr>
            <w:r>
              <w:rPr>
                <w:rFonts w:hint="eastAsia" w:ascii="宋体" w:hAnsi="宋体" w:eastAsia="宋体" w:cs="宋体"/>
                <w:b w:val="0"/>
                <w:bCs/>
                <w:color w:val="auto"/>
                <w:sz w:val="21"/>
                <w:szCs w:val="21"/>
                <w:lang w:val="en-US" w:eastAsia="zh-CN"/>
              </w:rPr>
              <w:t>1</w:t>
            </w:r>
          </w:p>
        </w:tc>
        <w:tc>
          <w:tcPr>
            <w:tcW w:w="899" w:type="dxa"/>
            <w:vAlign w:val="center"/>
          </w:tcPr>
          <w:p>
            <w:pPr>
              <w:jc w:val="center"/>
              <w:rPr>
                <w:rFonts w:ascii="Times New Roman" w:hAnsi="Times New Roman" w:eastAsia="宋体" w:cs="Times New Roman"/>
                <w:bCs/>
                <w:szCs w:val="21"/>
              </w:rPr>
            </w:pPr>
            <w:r>
              <w:rPr>
                <w:rFonts w:hint="eastAsia" w:ascii="宋体" w:hAnsi="宋体" w:eastAsia="宋体" w:cs="宋体"/>
                <w:b w:val="0"/>
                <w:bCs/>
                <w:color w:val="auto"/>
                <w:sz w:val="21"/>
                <w:szCs w:val="21"/>
                <w:lang w:val="en-US" w:eastAsia="zh-CN"/>
              </w:rPr>
              <w:t>套</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9" w:type="dxa"/>
            <w:gridSpan w:val="11"/>
            <w:vAlign w:val="center"/>
          </w:tcPr>
          <w:p>
            <w:pPr>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合计（即投标总价；币种：人民币；单位：元） 小写：            大写：</w:t>
            </w:r>
          </w:p>
        </w:tc>
      </w:tr>
    </w:tbl>
    <w:p>
      <w:pPr>
        <w:ind w:firstLine="482" w:firstLineChars="200"/>
        <w:rPr>
          <w:rFonts w:hint="eastAsia" w:ascii="宋体" w:hAnsi="宋体"/>
          <w:b/>
          <w:sz w:val="24"/>
        </w:rPr>
      </w:pPr>
    </w:p>
    <w:p>
      <w:pPr>
        <w:ind w:firstLine="482" w:firstLineChars="200"/>
        <w:rPr>
          <w:rFonts w:ascii="宋体" w:hAnsi="宋体"/>
          <w:b/>
          <w:sz w:val="24"/>
        </w:rPr>
      </w:pPr>
      <w:r>
        <w:rPr>
          <w:rFonts w:hint="eastAsia" w:ascii="宋体" w:hAnsi="宋体"/>
          <w:b/>
          <w:sz w:val="24"/>
        </w:rPr>
        <w:t>注：1.本表可按同样格式扩展。</w:t>
      </w:r>
    </w:p>
    <w:p>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62"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2"/>
    </w:p>
    <w:p>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82" w:firstLineChars="200"/>
        <w:rPr>
          <w:rFonts w:ascii="宋体" w:hAnsi="宋体"/>
          <w:b/>
          <w:color w:val="FF0000"/>
          <w:sz w:val="24"/>
        </w:rPr>
      </w:pPr>
    </w:p>
    <w:p>
      <w:pPr>
        <w:ind w:firstLine="482"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82" w:firstLineChars="200"/>
        <w:rPr>
          <w:rFonts w:ascii="宋体" w:hAnsi="宋体"/>
          <w:b/>
          <w:color w:val="FF0000"/>
          <w:sz w:val="24"/>
        </w:rPr>
      </w:pPr>
    </w:p>
    <w:p>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2" w:firstLineChars="200"/>
        <w:rPr>
          <w:rFonts w:ascii="宋体" w:hAnsi="宋体"/>
          <w:b/>
          <w:color w:val="FF0000"/>
          <w:sz w:val="24"/>
        </w:rPr>
      </w:pPr>
    </w:p>
    <w:p>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pPr>
        <w:ind w:firstLine="482" w:firstLineChars="200"/>
        <w:rPr>
          <w:rFonts w:ascii="宋体" w:hAnsi="宋体"/>
          <w:b/>
          <w:color w:val="FF0000"/>
          <w:sz w:val="24"/>
        </w:rPr>
      </w:pPr>
    </w:p>
    <w:p>
      <w:pPr>
        <w:ind w:firstLine="482" w:firstLineChars="200"/>
        <w:rPr>
          <w:rFonts w:ascii="宋体" w:hAnsi="宋体"/>
          <w:b/>
          <w:color w:val="FF0000"/>
          <w:sz w:val="24"/>
        </w:rPr>
      </w:pPr>
    </w:p>
    <w:p>
      <w:pPr>
        <w:rPr>
          <w:b/>
          <w:sz w:val="24"/>
        </w:rPr>
      </w:pPr>
    </w:p>
    <w:p>
      <w:pPr>
        <w:tabs>
          <w:tab w:val="left" w:pos="720"/>
        </w:tabs>
        <w:ind w:firstLine="1928" w:firstLineChars="800"/>
        <w:rPr>
          <w:b/>
          <w:sz w:val="24"/>
        </w:rPr>
      </w:pPr>
      <w:r>
        <w:rPr>
          <w:rFonts w:hint="eastAsia"/>
          <w:b/>
          <w:sz w:val="24"/>
        </w:rPr>
        <w:t>（三）可选配件报价清单（不包括在总报价内）</w:t>
      </w:r>
    </w:p>
    <w:p>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2" w:firstLineChars="200"/>
        <w:rPr>
          <w:rFonts w:hAnsi="宋体"/>
          <w:b/>
          <w:bCs/>
          <w:sz w:val="24"/>
        </w:rPr>
      </w:pPr>
    </w:p>
    <w:p>
      <w:pPr>
        <w:ind w:firstLine="482" w:firstLineChars="200"/>
        <w:rPr>
          <w:rFonts w:hAnsi="宋体"/>
          <w:b/>
          <w:bCs/>
          <w:sz w:val="24"/>
        </w:rPr>
      </w:pPr>
    </w:p>
    <w:p>
      <w:pPr>
        <w:tabs>
          <w:tab w:val="left" w:pos="720"/>
        </w:tabs>
        <w:jc w:val="center"/>
        <w:rPr>
          <w:b/>
          <w:sz w:val="24"/>
        </w:rPr>
      </w:pPr>
      <w:r>
        <w:rPr>
          <w:rFonts w:hint="eastAsia"/>
          <w:b/>
          <w:sz w:val="24"/>
        </w:rPr>
        <w:t>（四）</w:t>
      </w:r>
      <w:bookmarkStart w:id="63" w:name="_Hlk72073235"/>
      <w:r>
        <w:rPr>
          <w:rFonts w:hint="eastAsia"/>
          <w:b/>
          <w:sz w:val="24"/>
        </w:rPr>
        <w:t>投标人认为需要涉及的其他内容报价清单</w:t>
      </w:r>
      <w:bookmarkEnd w:id="63"/>
    </w:p>
    <w:p>
      <w:pPr>
        <w:rPr>
          <w:b/>
          <w:bCs/>
        </w:rPr>
      </w:pPr>
    </w:p>
    <w:bookmarkEnd w:id="61"/>
    <w:p>
      <w:r>
        <w:br w:type="page"/>
      </w:r>
    </w:p>
    <w:p>
      <w:pPr>
        <w:widowControl w:val="0"/>
        <w:snapToGrid w:val="0"/>
        <w:spacing w:before="0" w:after="0" w:line="240" w:lineRule="auto"/>
        <w:jc w:val="center"/>
        <w:outlineLvl w:val="2"/>
        <w:rPr>
          <w:rFonts w:hint="eastAsia" w:ascii="黑体" w:hAnsi="宋体" w:eastAsia="黑体" w:cs="Times New Roman"/>
          <w:b w:val="0"/>
          <w:bCs/>
          <w:kern w:val="2"/>
          <w:sz w:val="24"/>
          <w:szCs w:val="32"/>
          <w:lang w:val="en-US" w:eastAsia="zh-CN" w:bidi="ar-SA"/>
        </w:rPr>
      </w:pPr>
      <w:bookmarkStart w:id="64" w:name="_Hlk72260530"/>
      <w:r>
        <w:rPr>
          <w:rFonts w:hint="eastAsia" w:ascii="黑体" w:hAnsi="宋体" w:eastAsia="黑体" w:cs="Times New Roman"/>
          <w:b w:val="0"/>
          <w:bCs/>
          <w:kern w:val="2"/>
          <w:sz w:val="24"/>
          <w:szCs w:val="32"/>
          <w:lang w:val="en-US" w:eastAsia="zh-CN" w:bidi="ar-SA"/>
        </w:rPr>
        <w:t>五、供应商基本情况表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pStyle w:val="54"/>
        <w:rPr>
          <w:rFonts w:hint="eastAsia" w:ascii="宋体" w:hAnsi="宋体"/>
          <w:b/>
          <w:color w:val="FF0000"/>
          <w:sz w:val="28"/>
          <w:szCs w:val="28"/>
        </w:rPr>
      </w:pPr>
    </w:p>
    <w:p>
      <w:pPr>
        <w:pStyle w:val="3"/>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65" w:name="_Hlk72092499"/>
      <w:r>
        <w:rPr>
          <w:rFonts w:hint="eastAsia" w:ascii="黑体" w:eastAsia="黑体"/>
          <w:b w:val="0"/>
          <w:sz w:val="24"/>
        </w:rPr>
        <w:t>法定代表人（负责人）证明书</w:t>
      </w:r>
      <w:bookmarkEnd w:id="65"/>
    </w:p>
    <w:p>
      <w:pPr>
        <w:rPr>
          <w:sz w:val="24"/>
        </w:rPr>
      </w:pPr>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11"/>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11"/>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11"/>
        </w:numPr>
        <w:spacing w:line="360" w:lineRule="auto"/>
        <w:ind w:firstLine="420" w:firstLineChars="200"/>
        <w:rPr>
          <w:szCs w:val="21"/>
        </w:rPr>
      </w:pPr>
      <w:r>
        <w:rPr>
          <w:rFonts w:hint="eastAsia"/>
          <w:szCs w:val="21"/>
        </w:rPr>
        <w:t>内容必须填写真实、清楚，涂改无效，不得转让、买卖。</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rPr>
          <w:sz w:val="24"/>
        </w:rPr>
      </w:pPr>
    </w:p>
    <w:p>
      <w:pPr>
        <w:pStyle w:val="54"/>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54"/>
        <w:rPr>
          <w:sz w:val="24"/>
        </w:rPr>
      </w:pPr>
    </w:p>
    <w:p>
      <w:pPr>
        <w:pStyle w:val="54"/>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4"/>
        <w:rPr>
          <w:sz w:val="24"/>
        </w:rPr>
      </w:pPr>
    </w:p>
    <w:p>
      <w:pPr>
        <w:pStyle w:val="3"/>
        <w:spacing w:before="120" w:after="120"/>
        <w:jc w:val="center"/>
        <w:rPr>
          <w:rFonts w:ascii="黑体" w:eastAsia="黑体"/>
          <w:b w:val="0"/>
          <w:sz w:val="24"/>
        </w:rPr>
      </w:pPr>
      <w:r>
        <w:rPr>
          <w:rFonts w:hint="eastAsia" w:ascii="黑体" w:eastAsia="黑体"/>
          <w:b w:val="0"/>
          <w:sz w:val="24"/>
          <w:lang w:val="en-US" w:eastAsia="zh-CN"/>
        </w:rPr>
        <w:t>七</w:t>
      </w:r>
      <w:r>
        <w:rPr>
          <w:rFonts w:hint="eastAsia" w:ascii="黑体" w:eastAsia="黑体"/>
          <w:b w:val="0"/>
          <w:sz w:val="24"/>
        </w:rPr>
        <w:t>、投标文件签署授权委托书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widowControl w:val="0"/>
        <w:jc w:val="both"/>
        <w:rPr>
          <w:rFonts w:hint="eastAsia" w:ascii="黑体" w:hAnsi="黑体" w:eastAsia="黑体" w:cs="黑体"/>
          <w:b/>
          <w:bCs/>
          <w:color w:val="auto"/>
          <w:kern w:val="2"/>
          <w:sz w:val="24"/>
          <w:szCs w:val="24"/>
          <w:u w:val="none"/>
          <w:lang w:val="en-US" w:eastAsia="zh-CN" w:bidi="ar-SA"/>
        </w:rPr>
      </w:pPr>
    </w:p>
    <w:p>
      <w:pPr>
        <w:widowControl w:val="0"/>
        <w:jc w:val="both"/>
        <w:rPr>
          <w:rFonts w:ascii="Calibri" w:hAnsi="Calibri" w:eastAsia="宋体" w:cs="Times New Roman"/>
          <w:kern w:val="2"/>
          <w:sz w:val="21"/>
          <w:szCs w:val="22"/>
          <w:lang w:val="en-US" w:eastAsia="zh-CN" w:bidi="ar-SA"/>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widowControl w:val="0"/>
        <w:jc w:val="both"/>
        <w:rPr>
          <w:rFonts w:ascii="Calibri" w:hAnsi="Calibri" w:eastAsia="宋体" w:cs="Times New Roman"/>
          <w:kern w:val="2"/>
          <w:sz w:val="21"/>
          <w:szCs w:val="22"/>
          <w:lang w:val="en-US" w:eastAsia="zh-CN" w:bidi="ar-SA"/>
        </w:rPr>
      </w:pPr>
    </w:p>
    <w:p>
      <w:pPr>
        <w:widowControl w:val="0"/>
        <w:jc w:val="both"/>
        <w:rPr>
          <w:rFonts w:ascii="Calibri" w:hAnsi="Calibri" w:eastAsia="宋体" w:cs="Times New Roman"/>
          <w:kern w:val="2"/>
          <w:sz w:val="21"/>
          <w:szCs w:val="22"/>
          <w:lang w:val="en-US" w:eastAsia="zh-CN" w:bidi="ar-SA"/>
        </w:rPr>
      </w:pPr>
    </w:p>
    <w:p>
      <w:pPr>
        <w:widowControl w:val="0"/>
        <w:jc w:val="both"/>
        <w:rPr>
          <w:rFonts w:hint="eastAsia" w:ascii="Calibri" w:hAnsi="Calibri" w:eastAsia="宋体" w:cs="Times New Roman"/>
          <w:kern w:val="2"/>
          <w:sz w:val="21"/>
          <w:szCs w:val="22"/>
          <w:lang w:val="en-US" w:eastAsia="zh-CN" w:bidi="ar-SA"/>
        </w:rPr>
      </w:pPr>
    </w:p>
    <w:p>
      <w:pPr>
        <w:rPr>
          <w:rFonts w:hint="eastAsia" w:ascii="黑体" w:eastAsia="黑体"/>
          <w:b w:val="0"/>
          <w:kern w:val="0"/>
          <w:sz w:val="24"/>
          <w:szCs w:val="24"/>
        </w:rPr>
      </w:pPr>
    </w:p>
    <w:p>
      <w:pPr>
        <w:pStyle w:val="54"/>
        <w:rPr>
          <w:rFonts w:hint="eastAsia" w:ascii="黑体" w:eastAsia="黑体"/>
          <w:b w:val="0"/>
          <w:kern w:val="0"/>
          <w:sz w:val="24"/>
          <w:szCs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66" w:name="_Hlk72092634"/>
      <w:r>
        <w:rPr>
          <w:rFonts w:hint="eastAsia" w:ascii="黑体" w:eastAsia="黑体"/>
          <w:b w:val="0"/>
          <w:kern w:val="0"/>
          <w:sz w:val="24"/>
          <w:szCs w:val="24"/>
        </w:rPr>
        <w:t>实质性条款响应情况表</w:t>
      </w:r>
      <w:bookmarkEnd w:id="66"/>
    </w:p>
    <w:tbl>
      <w:tblPr>
        <w:tblStyle w:val="4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rPr>
            </w:pPr>
            <w:bookmarkStart w:id="67" w:name="_Hlk72092651"/>
            <w:r>
              <w:rPr>
                <w:rFonts w:hint="eastAsia" w:ascii="宋体" w:hAnsi="宋体"/>
                <w:kern w:val="0"/>
                <w:szCs w:val="21"/>
              </w:rPr>
              <w:t>序号</w:t>
            </w:r>
          </w:p>
        </w:tc>
        <w:tc>
          <w:tcPr>
            <w:tcW w:w="266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88"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pPr>
              <w:adjustRightInd w:val="0"/>
              <w:snapToGrid w:val="0"/>
              <w:spacing w:line="360" w:lineRule="auto"/>
              <w:jc w:val="center"/>
              <w:rPr>
                <w:rFonts w:ascii="宋体" w:hAnsi="宋体"/>
                <w:kern w:val="0"/>
                <w:szCs w:val="21"/>
              </w:rPr>
            </w:pPr>
            <w:r>
              <w:rPr>
                <w:rFonts w:hint="eastAsia"/>
              </w:rPr>
              <w:t>说明</w:t>
            </w:r>
          </w:p>
        </w:tc>
      </w:tr>
      <w:bookmarkEnd w:id="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jc w:val="both"/>
              <w:rPr>
                <w:rFonts w:ascii="宋体" w:hAnsi="宋体"/>
                <w:kern w:val="0"/>
                <w:szCs w:val="21"/>
              </w:rPr>
            </w:pPr>
            <w:r>
              <w:rPr>
                <w:rFonts w:hint="eastAsia" w:ascii="宋体" w:hAnsi="宋体"/>
                <w:kern w:val="0"/>
                <w:szCs w:val="21"/>
                <w:lang w:val="en-US" w:eastAsia="zh-CN"/>
              </w:rPr>
              <w:t>1</w:t>
            </w:r>
          </w:p>
        </w:tc>
        <w:tc>
          <w:tcPr>
            <w:tcW w:w="2664" w:type="dxa"/>
            <w:vAlign w:val="center"/>
          </w:tcPr>
          <w:p>
            <w:pPr>
              <w:adjustRightInd w:val="0"/>
              <w:snapToGrid w:val="0"/>
              <w:spacing w:line="360" w:lineRule="auto"/>
              <w:jc w:val="both"/>
              <w:rPr>
                <w:rFonts w:hAnsi="宋体"/>
                <w:kern w:val="0"/>
                <w:szCs w:val="21"/>
              </w:rPr>
            </w:pPr>
            <w:r>
              <w:rPr>
                <w:rFonts w:hint="eastAsia" w:ascii="宋体" w:hAnsi="宋体"/>
                <w:kern w:val="0"/>
                <w:szCs w:val="21"/>
              </w:rPr>
              <w:t>具体以采购文件第三章 用户需求书中带“★”的需求项为准。</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bl>
    <w:p>
      <w:pPr>
        <w:ind w:firstLine="482" w:firstLineChars="200"/>
        <w:rPr>
          <w:b/>
          <w:sz w:val="24"/>
          <w:szCs w:val="22"/>
        </w:rPr>
      </w:pPr>
    </w:p>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rPr>
      </w:pPr>
      <w:r>
        <w:rPr>
          <w:b/>
          <w:sz w:val="24"/>
        </w:rPr>
        <w:t>4.</w:t>
      </w:r>
      <w:r>
        <w:rPr>
          <w:rFonts w:hint="eastAsia"/>
          <w:b/>
          <w:sz w:val="24"/>
        </w:rPr>
        <w:t>评审委员会有权对投标响应情况作出判断（作出评审结论）。</w:t>
      </w:r>
    </w:p>
    <w:p>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4"/>
    </w:p>
    <w:p>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p>
      <w:pPr>
        <w:pStyle w:val="3"/>
        <w:jc w:val="center"/>
        <w:rPr>
          <w:sz w:val="24"/>
        </w:rPr>
      </w:pPr>
      <w:r>
        <w:rPr>
          <w:rFonts w:hint="eastAsia" w:ascii="黑体" w:eastAsia="黑体"/>
          <w:b w:val="0"/>
          <w:sz w:val="24"/>
          <w:szCs w:val="24"/>
          <w:lang w:val="en-US" w:eastAsia="zh-CN"/>
        </w:rPr>
        <w:t>九</w:t>
      </w:r>
      <w:r>
        <w:rPr>
          <w:rFonts w:hint="eastAsia" w:ascii="黑体" w:eastAsia="黑体"/>
          <w:b w:val="0"/>
          <w:sz w:val="24"/>
          <w:szCs w:val="24"/>
        </w:rPr>
        <w:t>、技术要求偏离表</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723"/>
        <w:gridCol w:w="5332"/>
        <w:gridCol w:w="936"/>
        <w:gridCol w:w="681"/>
        <w:gridCol w:w="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49" w:type="pct"/>
            <w:vAlign w:val="center"/>
          </w:tcPr>
          <w:p>
            <w:pPr>
              <w:jc w:val="center"/>
              <w:rPr>
                <w:color w:val="000000" w:themeColor="text1"/>
                <w:sz w:val="21"/>
                <w:szCs w:val="21"/>
                <w14:textFill>
                  <w14:solidFill>
                    <w14:schemeClr w14:val="tx1"/>
                  </w14:solidFill>
                </w14:textFill>
              </w:rPr>
            </w:pPr>
            <w:r>
              <w:rPr>
                <w:rFonts w:hint="eastAsia"/>
                <w:sz w:val="21"/>
                <w:szCs w:val="21"/>
              </w:rPr>
              <w:t>序号</w:t>
            </w:r>
          </w:p>
        </w:tc>
        <w:tc>
          <w:tcPr>
            <w:tcW w:w="424" w:type="pct"/>
            <w:vAlign w:val="center"/>
          </w:tcPr>
          <w:p>
            <w:pPr>
              <w:jc w:val="center"/>
              <w:rPr>
                <w:color w:val="000000" w:themeColor="text1"/>
                <w:sz w:val="21"/>
                <w:szCs w:val="21"/>
                <w14:textFill>
                  <w14:solidFill>
                    <w14:schemeClr w14:val="tx1"/>
                  </w14:solidFill>
                </w14:textFill>
              </w:rPr>
            </w:pPr>
            <w:r>
              <w:rPr>
                <w:rFonts w:hint="eastAsia"/>
                <w:sz w:val="21"/>
                <w:szCs w:val="21"/>
              </w:rPr>
              <w:t>货物名称</w:t>
            </w:r>
          </w:p>
        </w:tc>
        <w:tc>
          <w:tcPr>
            <w:tcW w:w="3126" w:type="pct"/>
            <w:vAlign w:val="center"/>
          </w:tcPr>
          <w:p>
            <w:pPr>
              <w:jc w:val="center"/>
              <w:rPr>
                <w:color w:val="000000" w:themeColor="text1"/>
                <w:sz w:val="21"/>
                <w:szCs w:val="21"/>
                <w14:textFill>
                  <w14:solidFill>
                    <w14:schemeClr w14:val="tx1"/>
                  </w14:solidFill>
                </w14:textFill>
              </w:rPr>
            </w:pPr>
            <w:r>
              <w:rPr>
                <w:rFonts w:hint="eastAsia"/>
                <w:sz w:val="21"/>
                <w:szCs w:val="21"/>
              </w:rPr>
              <w:t>招标技术要求</w:t>
            </w:r>
          </w:p>
        </w:tc>
        <w:tc>
          <w:tcPr>
            <w:tcW w:w="549" w:type="pct"/>
            <w:vAlign w:val="center"/>
          </w:tcPr>
          <w:p>
            <w:pPr>
              <w:jc w:val="center"/>
              <w:rPr>
                <w:color w:val="000000" w:themeColor="text1"/>
                <w:sz w:val="21"/>
                <w:szCs w:val="21"/>
                <w14:textFill>
                  <w14:solidFill>
                    <w14:schemeClr w14:val="tx1"/>
                  </w14:solidFill>
                </w14:textFill>
              </w:rPr>
            </w:pPr>
            <w:r>
              <w:rPr>
                <w:rFonts w:hint="eastAsia"/>
                <w:sz w:val="21"/>
                <w:szCs w:val="21"/>
              </w:rPr>
              <w:t>投标技术响应</w:t>
            </w:r>
          </w:p>
        </w:tc>
        <w:tc>
          <w:tcPr>
            <w:tcW w:w="399" w:type="pct"/>
            <w:vAlign w:val="center"/>
          </w:tcPr>
          <w:p>
            <w:pPr>
              <w:jc w:val="center"/>
              <w:rPr>
                <w:color w:val="000000" w:themeColor="text1"/>
                <w:sz w:val="21"/>
                <w:szCs w:val="21"/>
                <w14:textFill>
                  <w14:solidFill>
                    <w14:schemeClr w14:val="tx1"/>
                  </w14:solidFill>
                </w14:textFill>
              </w:rPr>
            </w:pPr>
            <w:r>
              <w:rPr>
                <w:rFonts w:hint="eastAsia"/>
                <w:sz w:val="21"/>
                <w:szCs w:val="21"/>
              </w:rPr>
              <w:t>偏离情况</w:t>
            </w:r>
          </w:p>
        </w:tc>
        <w:tc>
          <w:tcPr>
            <w:tcW w:w="250" w:type="pct"/>
            <w:vAlign w:val="center"/>
          </w:tcPr>
          <w:p>
            <w:pPr>
              <w:jc w:val="center"/>
              <w:rPr>
                <w:color w:val="000000" w:themeColor="text1"/>
                <w:sz w:val="21"/>
                <w:szCs w:val="21"/>
                <w14:textFill>
                  <w14:solidFill>
                    <w14:schemeClr w14:val="tx1"/>
                  </w14:solidFill>
                </w14:textFill>
              </w:rPr>
            </w:pPr>
            <w:r>
              <w:rPr>
                <w:rFonts w:hint="eastAsia"/>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vAlign w:val="center"/>
          </w:tcPr>
          <w:p>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424"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认知康复评估与训练仪</w:t>
            </w:r>
          </w:p>
          <w:p>
            <w:pPr>
              <w:jc w:val="center"/>
              <w:rPr>
                <w:color w:val="000000" w:themeColor="text1"/>
                <w:sz w:val="21"/>
                <w:szCs w:val="21"/>
                <w14:textFill>
                  <w14:solidFill>
                    <w14:schemeClr w14:val="tx1"/>
                  </w14:solidFill>
                </w14:textFill>
              </w:rPr>
            </w:pPr>
          </w:p>
        </w:tc>
        <w:tc>
          <w:tcPr>
            <w:tcW w:w="3126"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1.设备具备筛查、评估、训练三个功能。具有包含反应速度、视听知觉、注意力维持等认知训练以及服药、预备水果、清洗碟碗等日常生活场常见场景泛化训练（ADL）。</w:t>
            </w:r>
            <w:r>
              <w:rPr>
                <w:rFonts w:hint="eastAsia" w:ascii="宋体" w:hAnsi="宋体" w:cs="宋体"/>
                <w:i w:val="0"/>
                <w:iCs w:val="0"/>
                <w:color w:val="000000"/>
                <w:kern w:val="0"/>
                <w:sz w:val="21"/>
                <w:szCs w:val="21"/>
                <w:u w:val="none"/>
                <w:lang w:val="en-US" w:eastAsia="zh-CN" w:bidi="ar"/>
              </w:rPr>
              <w:t>可</w:t>
            </w:r>
            <w:r>
              <w:rPr>
                <w:rFonts w:hint="eastAsia" w:ascii="宋体" w:hAnsi="宋体" w:eastAsia="宋体" w:cs="宋体"/>
                <w:i w:val="0"/>
                <w:iCs w:val="0"/>
                <w:color w:val="000000"/>
                <w:kern w:val="0"/>
                <w:sz w:val="21"/>
                <w:szCs w:val="21"/>
                <w:u w:val="none"/>
                <w:lang w:val="en-US" w:eastAsia="zh-CN" w:bidi="ar"/>
              </w:rPr>
              <w:t>通过量表对患者认知功进行评估，评估后出具结果报告，</w:t>
            </w:r>
            <w:r>
              <w:rPr>
                <w:rFonts w:hint="eastAsia" w:ascii="宋体" w:hAnsi="宋体" w:cs="宋体"/>
                <w:i w:val="0"/>
                <w:iCs w:val="0"/>
                <w:color w:val="000000"/>
                <w:kern w:val="0"/>
                <w:sz w:val="21"/>
                <w:szCs w:val="21"/>
                <w:u w:val="none"/>
                <w:lang w:val="en-US" w:eastAsia="zh-CN" w:bidi="ar"/>
              </w:rPr>
              <w:t>并</w:t>
            </w:r>
            <w:r>
              <w:rPr>
                <w:rFonts w:hint="eastAsia" w:ascii="宋体" w:hAnsi="宋体" w:eastAsia="宋体" w:cs="宋体"/>
                <w:i w:val="0"/>
                <w:iCs w:val="0"/>
                <w:color w:val="000000"/>
                <w:kern w:val="0"/>
                <w:sz w:val="21"/>
                <w:szCs w:val="21"/>
                <w:u w:val="none"/>
                <w:lang w:val="en-US" w:eastAsia="zh-CN" w:bidi="ar"/>
              </w:rPr>
              <w:t>针对该报告制定个性化训练计划并进行训练。</w:t>
            </w:r>
          </w:p>
        </w:tc>
        <w:tc>
          <w:tcPr>
            <w:tcW w:w="549"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50"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424" w:type="pct"/>
            <w:vMerge w:val="continue"/>
            <w:vAlign w:val="center"/>
          </w:tcPr>
          <w:p>
            <w:pPr>
              <w:jc w:val="center"/>
              <w:rPr>
                <w:color w:val="000000" w:themeColor="text1"/>
                <w:sz w:val="21"/>
                <w:szCs w:val="21"/>
                <w14:textFill>
                  <w14:solidFill>
                    <w14:schemeClr w14:val="tx1"/>
                  </w14:solidFill>
                </w14:textFill>
              </w:rPr>
            </w:pPr>
          </w:p>
        </w:tc>
        <w:tc>
          <w:tcPr>
            <w:tcW w:w="3126"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2.至少具备MoCA、OCS、NCSE三种认知专项量表测评，拥有治疗师和患者双屏共评模式和患者自评模式两种评估方式</w:t>
            </w:r>
          </w:p>
        </w:tc>
        <w:tc>
          <w:tcPr>
            <w:tcW w:w="549"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50"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424" w:type="pct"/>
            <w:vMerge w:val="continue"/>
            <w:vAlign w:val="center"/>
          </w:tcPr>
          <w:p>
            <w:pPr>
              <w:jc w:val="center"/>
              <w:rPr>
                <w:color w:val="000000" w:themeColor="text1"/>
                <w:sz w:val="21"/>
                <w:szCs w:val="21"/>
                <w14:textFill>
                  <w14:solidFill>
                    <w14:schemeClr w14:val="tx1"/>
                  </w14:solidFill>
                </w14:textFill>
              </w:rPr>
            </w:pPr>
          </w:p>
        </w:tc>
        <w:tc>
          <w:tcPr>
            <w:tcW w:w="3126"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3.具有评估范畴：记忆力、语言、数字、实践、注意与执行功能</w:t>
            </w:r>
          </w:p>
        </w:tc>
        <w:tc>
          <w:tcPr>
            <w:tcW w:w="549"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50"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424" w:type="pct"/>
            <w:vMerge w:val="continue"/>
            <w:vAlign w:val="center"/>
          </w:tcPr>
          <w:p>
            <w:pPr>
              <w:jc w:val="center"/>
              <w:rPr>
                <w:color w:val="000000" w:themeColor="text1"/>
                <w:sz w:val="21"/>
                <w:szCs w:val="21"/>
                <w14:textFill>
                  <w14:solidFill>
                    <w14:schemeClr w14:val="tx1"/>
                  </w14:solidFill>
                </w14:textFill>
              </w:rPr>
            </w:pPr>
          </w:p>
        </w:tc>
        <w:tc>
          <w:tcPr>
            <w:tcW w:w="3126"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4.具备多种训练制定方式，可根据训练评估制定方案、MOCA评估制定方案、个性化定制方案</w:t>
            </w:r>
          </w:p>
        </w:tc>
        <w:tc>
          <w:tcPr>
            <w:tcW w:w="549"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50"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424" w:type="pct"/>
            <w:vMerge w:val="continue"/>
            <w:vAlign w:val="top"/>
          </w:tcPr>
          <w:p>
            <w:pPr>
              <w:rPr>
                <w:color w:val="000000" w:themeColor="text1"/>
                <w:sz w:val="21"/>
                <w:szCs w:val="21"/>
                <w14:textFill>
                  <w14:solidFill>
                    <w14:schemeClr w14:val="tx1"/>
                  </w14:solidFill>
                </w14:textFill>
              </w:rPr>
            </w:pPr>
          </w:p>
        </w:tc>
        <w:tc>
          <w:tcPr>
            <w:tcW w:w="3126"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5.筛查细项（注意力、执行功能、视空间和加工速度细项等多维度）需同时具有动画指引和语音读题功能。语音读题支持普通话、福清话、闽南话、粤语、海南话多种语言</w:t>
            </w:r>
          </w:p>
        </w:tc>
        <w:tc>
          <w:tcPr>
            <w:tcW w:w="549" w:type="pct"/>
          </w:tcPr>
          <w:p>
            <w:pPr>
              <w:rPr>
                <w:rStyle w:val="48"/>
                <w:b w:val="0"/>
                <w:bCs w:val="0"/>
                <w:color w:val="000000" w:themeColor="text1"/>
                <w:sz w:val="21"/>
                <w:szCs w:val="21"/>
                <w14:textFill>
                  <w14:solidFill>
                    <w14:schemeClr w14:val="tx1"/>
                  </w14:solidFill>
                </w14:textFill>
              </w:rPr>
            </w:pPr>
          </w:p>
        </w:tc>
        <w:tc>
          <w:tcPr>
            <w:tcW w:w="399" w:type="pct"/>
          </w:tcPr>
          <w:p>
            <w:pPr>
              <w:rPr>
                <w:rStyle w:val="48"/>
                <w:b w:val="0"/>
                <w:bCs w:val="0"/>
                <w:color w:val="000000" w:themeColor="text1"/>
                <w:sz w:val="21"/>
                <w:szCs w:val="21"/>
                <w14:textFill>
                  <w14:solidFill>
                    <w14:schemeClr w14:val="tx1"/>
                  </w14:solidFill>
                </w14:textFill>
              </w:rPr>
            </w:pPr>
          </w:p>
        </w:tc>
        <w:tc>
          <w:tcPr>
            <w:tcW w:w="250" w:type="pct"/>
          </w:tcPr>
          <w:p>
            <w:pPr>
              <w:rPr>
                <w:rStyle w:val="48"/>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424" w:type="pct"/>
            <w:vMerge w:val="continue"/>
            <w:vAlign w:val="top"/>
          </w:tcPr>
          <w:p>
            <w:pPr>
              <w:rPr>
                <w:color w:val="000000" w:themeColor="text1"/>
                <w:sz w:val="21"/>
                <w:szCs w:val="21"/>
                <w14:textFill>
                  <w14:solidFill>
                    <w14:schemeClr w14:val="tx1"/>
                  </w14:solidFill>
                </w14:textFill>
              </w:rPr>
            </w:pPr>
          </w:p>
        </w:tc>
        <w:tc>
          <w:tcPr>
            <w:tcW w:w="3126"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6.训练题目大于2000个，具备难度等级制度</w:t>
            </w:r>
          </w:p>
        </w:tc>
        <w:tc>
          <w:tcPr>
            <w:tcW w:w="549"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50"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424" w:type="pct"/>
            <w:vMerge w:val="continue"/>
            <w:vAlign w:val="top"/>
          </w:tcPr>
          <w:p>
            <w:pPr>
              <w:rPr>
                <w:color w:val="000000" w:themeColor="text1"/>
                <w:sz w:val="21"/>
                <w:szCs w:val="21"/>
                <w14:textFill>
                  <w14:solidFill>
                    <w14:schemeClr w14:val="tx1"/>
                  </w14:solidFill>
                </w14:textFill>
              </w:rPr>
            </w:pPr>
          </w:p>
        </w:tc>
        <w:tc>
          <w:tcPr>
            <w:tcW w:w="3126"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7.有医生</w:t>
            </w:r>
            <w:r>
              <w:rPr>
                <w:rFonts w:hint="eastAsia" w:ascii="宋体" w:hAnsi="宋体" w:cs="宋体"/>
                <w:i w:val="0"/>
                <w:iCs w:val="0"/>
                <w:color w:val="000000"/>
                <w:kern w:val="0"/>
                <w:sz w:val="21"/>
                <w:szCs w:val="21"/>
                <w:u w:val="none"/>
                <w:lang w:val="en-US" w:eastAsia="zh-CN" w:bidi="ar"/>
              </w:rPr>
              <w:t>端</w:t>
            </w:r>
            <w:r>
              <w:rPr>
                <w:rFonts w:hint="eastAsia" w:ascii="宋体" w:hAnsi="宋体" w:eastAsia="宋体" w:cs="宋体"/>
                <w:i w:val="0"/>
                <w:iCs w:val="0"/>
                <w:color w:val="000000"/>
                <w:kern w:val="0"/>
                <w:sz w:val="21"/>
                <w:szCs w:val="21"/>
                <w:u w:val="none"/>
                <w:lang w:val="en-US" w:eastAsia="zh-CN" w:bidi="ar"/>
              </w:rPr>
              <w:t>和患者端</w:t>
            </w:r>
          </w:p>
        </w:tc>
        <w:tc>
          <w:tcPr>
            <w:tcW w:w="549" w:type="pct"/>
          </w:tcPr>
          <w:p>
            <w:pPr>
              <w:rPr>
                <w:b/>
                <w:bCs/>
                <w:color w:val="FF0000"/>
                <w:sz w:val="21"/>
                <w:szCs w:val="21"/>
              </w:rPr>
            </w:pPr>
          </w:p>
        </w:tc>
        <w:tc>
          <w:tcPr>
            <w:tcW w:w="399" w:type="pct"/>
          </w:tcPr>
          <w:p>
            <w:pPr>
              <w:rPr>
                <w:b/>
                <w:bCs/>
                <w:color w:val="FF0000"/>
                <w:sz w:val="21"/>
                <w:szCs w:val="21"/>
              </w:rPr>
            </w:pPr>
          </w:p>
        </w:tc>
        <w:tc>
          <w:tcPr>
            <w:tcW w:w="250" w:type="pct"/>
          </w:tcPr>
          <w:p>
            <w:pPr>
              <w:rPr>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424" w:type="pct"/>
            <w:vMerge w:val="continue"/>
            <w:vAlign w:val="top"/>
          </w:tcPr>
          <w:p>
            <w:pPr>
              <w:rPr>
                <w:color w:val="000000" w:themeColor="text1"/>
                <w:sz w:val="21"/>
                <w:szCs w:val="21"/>
                <w14:textFill>
                  <w14:solidFill>
                    <w14:schemeClr w14:val="tx1"/>
                  </w14:solidFill>
                </w14:textFill>
              </w:rPr>
            </w:pPr>
          </w:p>
        </w:tc>
        <w:tc>
          <w:tcPr>
            <w:tcW w:w="3126"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8.筛查报告</w:t>
            </w:r>
            <w:r>
              <w:rPr>
                <w:rFonts w:hint="eastAsia" w:ascii="宋体" w:hAnsi="宋体" w:cs="宋体"/>
                <w:i w:val="0"/>
                <w:iCs w:val="0"/>
                <w:color w:val="000000"/>
                <w:kern w:val="0"/>
                <w:sz w:val="21"/>
                <w:szCs w:val="21"/>
                <w:u w:val="none"/>
                <w:lang w:val="en-US" w:eastAsia="zh-CN" w:bidi="ar"/>
              </w:rPr>
              <w:t>需</w:t>
            </w:r>
            <w:r>
              <w:rPr>
                <w:rFonts w:hint="eastAsia" w:ascii="宋体" w:hAnsi="宋体" w:eastAsia="宋体" w:cs="宋体"/>
                <w:i w:val="0"/>
                <w:iCs w:val="0"/>
                <w:color w:val="000000"/>
                <w:kern w:val="0"/>
                <w:sz w:val="21"/>
                <w:szCs w:val="21"/>
                <w:u w:val="none"/>
                <w:lang w:val="en-US" w:eastAsia="zh-CN" w:bidi="ar"/>
              </w:rPr>
              <w:t>包含语音读报告、测评用时、筛查结论、筛查分值、结果解释、筛查分值说明、筛查细项</w:t>
            </w:r>
            <w:r>
              <w:rPr>
                <w:rFonts w:hint="eastAsia" w:ascii="宋体" w:hAnsi="宋体" w:cs="宋体"/>
                <w:i w:val="0"/>
                <w:iCs w:val="0"/>
                <w:color w:val="000000"/>
                <w:kern w:val="0"/>
                <w:sz w:val="21"/>
                <w:szCs w:val="21"/>
                <w:u w:val="none"/>
                <w:lang w:val="en-US" w:eastAsia="zh-CN" w:bidi="ar"/>
              </w:rPr>
              <w:t>等</w:t>
            </w:r>
            <w:r>
              <w:rPr>
                <w:rFonts w:hint="eastAsia" w:ascii="宋体" w:hAnsi="宋体" w:eastAsia="宋体" w:cs="宋体"/>
                <w:i w:val="0"/>
                <w:iCs w:val="0"/>
                <w:color w:val="000000"/>
                <w:kern w:val="0"/>
                <w:sz w:val="21"/>
                <w:szCs w:val="21"/>
                <w:u w:val="none"/>
                <w:lang w:val="en-US" w:eastAsia="zh-CN" w:bidi="ar"/>
              </w:rPr>
              <w:t>。</w:t>
            </w:r>
          </w:p>
        </w:tc>
        <w:tc>
          <w:tcPr>
            <w:tcW w:w="549"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50"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424" w:type="pct"/>
            <w:vMerge w:val="continue"/>
            <w:vAlign w:val="top"/>
          </w:tcPr>
          <w:p>
            <w:pPr>
              <w:rPr>
                <w:color w:val="000000" w:themeColor="text1"/>
                <w:sz w:val="21"/>
                <w:szCs w:val="21"/>
                <w14:textFill>
                  <w14:solidFill>
                    <w14:schemeClr w14:val="tx1"/>
                  </w14:solidFill>
                </w14:textFill>
              </w:rPr>
            </w:pPr>
          </w:p>
        </w:tc>
        <w:tc>
          <w:tcPr>
            <w:tcW w:w="3126"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9.屏幕</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15.6英寸</w:t>
            </w:r>
          </w:p>
        </w:tc>
        <w:tc>
          <w:tcPr>
            <w:tcW w:w="549" w:type="pct"/>
          </w:tcPr>
          <w:p>
            <w:pPr>
              <w:rPr>
                <w:b/>
                <w:bCs/>
                <w:color w:val="FF0000"/>
                <w:sz w:val="21"/>
                <w:szCs w:val="21"/>
              </w:rPr>
            </w:pPr>
          </w:p>
        </w:tc>
        <w:tc>
          <w:tcPr>
            <w:tcW w:w="399" w:type="pct"/>
          </w:tcPr>
          <w:p>
            <w:pPr>
              <w:rPr>
                <w:b/>
                <w:bCs/>
                <w:color w:val="FF0000"/>
                <w:sz w:val="21"/>
                <w:szCs w:val="21"/>
              </w:rPr>
            </w:pPr>
          </w:p>
        </w:tc>
        <w:tc>
          <w:tcPr>
            <w:tcW w:w="250" w:type="pct"/>
          </w:tcPr>
          <w:p>
            <w:pPr>
              <w:rPr>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24" w:type="pct"/>
            <w:vMerge w:val="continue"/>
            <w:vAlign w:val="top"/>
          </w:tcPr>
          <w:p>
            <w:pPr>
              <w:rPr>
                <w:color w:val="000000" w:themeColor="text1"/>
                <w:sz w:val="21"/>
                <w:szCs w:val="21"/>
                <w14:textFill>
                  <w14:solidFill>
                    <w14:schemeClr w14:val="tx1"/>
                  </w14:solidFill>
                </w14:textFill>
              </w:rPr>
            </w:pPr>
          </w:p>
        </w:tc>
        <w:tc>
          <w:tcPr>
            <w:tcW w:w="3126"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10.支持通过平板使用电子化量表，可提供语音播放标准指导语、自动评分、实时存储、自动生成评估结论及建议、自定义出具认知评估结论、数据查看功能。</w:t>
            </w:r>
          </w:p>
        </w:tc>
        <w:tc>
          <w:tcPr>
            <w:tcW w:w="549"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50"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restart"/>
          </w:tcPr>
          <w:p>
            <w:pPr>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424"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自动化学发光免疫分析仪</w:t>
            </w:r>
          </w:p>
          <w:p>
            <w:pPr>
              <w:tabs>
                <w:tab w:val="left" w:pos="520"/>
              </w:tabs>
              <w:jc w:val="left"/>
              <w:rPr>
                <w:rFonts w:hint="eastAsia"/>
                <w:color w:val="000000" w:themeColor="text1"/>
                <w:sz w:val="21"/>
                <w:szCs w:val="21"/>
                <w:lang w:val="en-US" w:eastAsia="zh-CN"/>
                <w14:textFill>
                  <w14:solidFill>
                    <w14:schemeClr w14:val="tx1"/>
                  </w14:solidFill>
                </w14:textFill>
              </w:rPr>
            </w:pPr>
          </w:p>
        </w:tc>
        <w:tc>
          <w:tcPr>
            <w:tcW w:w="4325" w:type="pct"/>
            <w:gridSpan w:val="4"/>
            <w:vAlign w:val="center"/>
          </w:tcPr>
          <w:p>
            <w:pPr>
              <w:rPr>
                <w:color w:val="000000" w:themeColor="text1"/>
                <w:sz w:val="21"/>
                <w:szCs w:val="21"/>
                <w14:textFill>
                  <w14:solidFill>
                    <w14:schemeClr w14:val="tx1"/>
                  </w14:solidFill>
                </w14:textFill>
              </w:rPr>
            </w:pPr>
            <w:r>
              <w:rPr>
                <w:rFonts w:hint="eastAsia" w:ascii="宋体" w:hAnsi="宋体" w:eastAsia="宋体" w:cs="宋体"/>
                <w:bCs/>
                <w:sz w:val="21"/>
                <w:szCs w:val="21"/>
              </w:rPr>
              <w:t>★</w:t>
            </w:r>
            <w:r>
              <w:rPr>
                <w:rFonts w:hint="eastAsia" w:ascii="宋体" w:hAnsi="宋体" w:eastAsia="宋体" w:cs="宋体"/>
                <w:i w:val="0"/>
                <w:iCs w:val="0"/>
                <w:color w:val="000000"/>
                <w:kern w:val="0"/>
                <w:sz w:val="21"/>
                <w:szCs w:val="21"/>
                <w:u w:val="none"/>
                <w:lang w:val="en-US" w:eastAsia="zh-CN" w:bidi="ar"/>
              </w:rPr>
              <w:t>1.支持血清和血浆；采用夹心法原理进行检测，用 Aβ1-40/Aβ1-42/p-Tau181/</w:t>
            </w:r>
            <w:r>
              <w:rPr>
                <w:rFonts w:hint="eastAsia" w:ascii="宋体" w:hAnsi="宋体" w:eastAsia="宋体" w:cs="宋体"/>
                <w:i w:val="0"/>
                <w:iCs w:val="0"/>
                <w:color w:val="auto"/>
                <w:kern w:val="0"/>
                <w:sz w:val="21"/>
                <w:szCs w:val="21"/>
                <w:u w:val="none"/>
                <w:lang w:val="en-US" w:eastAsia="zh-CN" w:bidi="ar"/>
              </w:rPr>
              <w:t>p-Tau217</w:t>
            </w:r>
            <w:r>
              <w:rPr>
                <w:rFonts w:hint="eastAsia" w:ascii="宋体" w:hAnsi="宋体" w:eastAsia="宋体" w:cs="宋体"/>
                <w:i w:val="0"/>
                <w:iCs w:val="0"/>
                <w:color w:val="000000"/>
                <w:kern w:val="0"/>
                <w:sz w:val="21"/>
                <w:szCs w:val="21"/>
                <w:u w:val="none"/>
                <w:lang w:val="en-US" w:eastAsia="zh-CN" w:bidi="ar"/>
              </w:rPr>
              <w:t>/GFAP/NfL抗体包被磁微粒混悬液，吖啶酯标记Aβ1-40/Aβ1-42/p-Tau181/p-Tau217/GFAP/NfL抗体制备吖啶酯标记物。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424" w:type="pct"/>
            <w:vMerge w:val="continue"/>
            <w:vAlign w:val="top"/>
          </w:tcPr>
          <w:p>
            <w:pPr>
              <w:rPr>
                <w:color w:val="000000" w:themeColor="text1"/>
                <w:sz w:val="21"/>
                <w:szCs w:val="21"/>
                <w14:textFill>
                  <w14:solidFill>
                    <w14:schemeClr w14:val="tx1"/>
                  </w14:solidFill>
                </w14:textFill>
              </w:rPr>
            </w:pPr>
          </w:p>
        </w:tc>
        <w:tc>
          <w:tcPr>
            <w:tcW w:w="3126"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2.检测速度≥200测试/小时</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424" w:type="pct"/>
            <w:vMerge w:val="continue"/>
            <w:vAlign w:val="top"/>
          </w:tcPr>
          <w:p>
            <w:pPr>
              <w:rPr>
                <w:color w:val="000000" w:themeColor="text1"/>
                <w:sz w:val="21"/>
                <w:szCs w:val="21"/>
                <w14:textFill>
                  <w14:solidFill>
                    <w14:schemeClr w14:val="tx1"/>
                  </w14:solidFill>
                </w14:textFill>
              </w:rPr>
            </w:pPr>
          </w:p>
        </w:tc>
        <w:tc>
          <w:tcPr>
            <w:tcW w:w="3126"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3.首样本测试运行时间＜30分钟</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424" w:type="pct"/>
            <w:vMerge w:val="continue"/>
            <w:vAlign w:val="top"/>
          </w:tcPr>
          <w:p>
            <w:pPr>
              <w:rPr>
                <w:color w:val="000000" w:themeColor="text1"/>
                <w:sz w:val="21"/>
                <w:szCs w:val="21"/>
                <w14:textFill>
                  <w14:solidFill>
                    <w14:schemeClr w14:val="tx1"/>
                  </w14:solidFill>
                </w14:textFill>
              </w:rPr>
            </w:pPr>
          </w:p>
        </w:tc>
        <w:tc>
          <w:tcPr>
            <w:tcW w:w="3126"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4.支持批量检测，可放入≥60个样本</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424" w:type="pct"/>
            <w:vMerge w:val="continue"/>
            <w:vAlign w:val="top"/>
          </w:tcPr>
          <w:p>
            <w:pPr>
              <w:rPr>
                <w:color w:val="000000" w:themeColor="text1"/>
                <w:sz w:val="21"/>
                <w:szCs w:val="21"/>
                <w14:textFill>
                  <w14:solidFill>
                    <w14:schemeClr w14:val="tx1"/>
                  </w14:solidFill>
                </w14:textFill>
              </w:rPr>
            </w:pPr>
          </w:p>
        </w:tc>
        <w:tc>
          <w:tcPr>
            <w:tcW w:w="3126"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5.试剂位：≥25个，支持带冷藏功能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424" w:type="pct"/>
            <w:vMerge w:val="continue"/>
            <w:vAlign w:val="top"/>
          </w:tcPr>
          <w:p>
            <w:pPr>
              <w:rPr>
                <w:color w:val="000000" w:themeColor="text1"/>
                <w:sz w:val="21"/>
                <w:szCs w:val="21"/>
                <w14:textFill>
                  <w14:solidFill>
                    <w14:schemeClr w14:val="tx1"/>
                  </w14:solidFill>
                </w14:textFill>
              </w:rPr>
            </w:pPr>
          </w:p>
        </w:tc>
        <w:tc>
          <w:tcPr>
            <w:tcW w:w="3126"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6.具备清洗功能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424" w:type="pct"/>
            <w:vMerge w:val="continue"/>
            <w:vAlign w:val="top"/>
          </w:tcPr>
          <w:p>
            <w:pPr>
              <w:rPr>
                <w:color w:val="000000" w:themeColor="text1"/>
                <w:sz w:val="21"/>
                <w:szCs w:val="21"/>
                <w14:textFill>
                  <w14:solidFill>
                    <w14:schemeClr w14:val="tx1"/>
                  </w14:solidFill>
                </w14:textFill>
              </w:rPr>
            </w:pPr>
          </w:p>
        </w:tc>
        <w:tc>
          <w:tcPr>
            <w:tcW w:w="3126"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7.携带污染率：≤5×10</w:t>
            </w:r>
            <w:r>
              <w:rPr>
                <w:rFonts w:hint="eastAsia" w:ascii="宋体" w:hAnsi="宋体" w:eastAsia="宋体" w:cs="宋体"/>
                <w:i w:val="0"/>
                <w:iCs w:val="0"/>
                <w:color w:val="000000"/>
                <w:kern w:val="0"/>
                <w:sz w:val="21"/>
                <w:szCs w:val="21"/>
                <w:u w:val="none"/>
                <w:vertAlign w:val="superscript"/>
                <w:lang w:val="en-US" w:eastAsia="zh-CN" w:bidi="ar"/>
              </w:rPr>
              <w:t>-6</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424" w:type="pct"/>
            <w:vMerge w:val="continue"/>
            <w:vAlign w:val="top"/>
          </w:tcPr>
          <w:p>
            <w:pPr>
              <w:rPr>
                <w:color w:val="000000" w:themeColor="text1"/>
                <w:sz w:val="21"/>
                <w:szCs w:val="21"/>
                <w14:textFill>
                  <w14:solidFill>
                    <w14:schemeClr w14:val="tx1"/>
                  </w14:solidFill>
                </w14:textFill>
              </w:rPr>
            </w:pPr>
          </w:p>
        </w:tc>
        <w:tc>
          <w:tcPr>
            <w:tcW w:w="3126"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8.反应杯装载量：≥500个</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424" w:type="pct"/>
            <w:vMerge w:val="continue"/>
            <w:vAlign w:val="top"/>
          </w:tcPr>
          <w:p>
            <w:pPr>
              <w:rPr>
                <w:color w:val="000000" w:themeColor="text1"/>
                <w:sz w:val="21"/>
                <w:szCs w:val="21"/>
                <w14:textFill>
                  <w14:solidFill>
                    <w14:schemeClr w14:val="tx1"/>
                  </w14:solidFill>
                </w14:textFill>
              </w:rPr>
            </w:pPr>
          </w:p>
        </w:tc>
        <w:tc>
          <w:tcPr>
            <w:tcW w:w="3126"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9.孵育孔位≥90个</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bl>
    <w:p>
      <w:pPr>
        <w:rPr>
          <w:sz w:val="24"/>
        </w:rPr>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68" w:name="_Hlk72095977"/>
      <w:r>
        <w:rPr>
          <w:rFonts w:hint="eastAsia"/>
          <w:sz w:val="21"/>
          <w:szCs w:val="21"/>
        </w:rPr>
        <w:t>证明资料【如有的话，提供的证明资料应统一编号（排序），格式自定】</w:t>
      </w:r>
      <w:bookmarkEnd w:id="68"/>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69" w:name="_Hlk72094407"/>
      <w:r>
        <w:rPr>
          <w:rFonts w:hint="eastAsia"/>
          <w:b w:val="0"/>
          <w:bCs/>
          <w:sz w:val="21"/>
          <w:szCs w:val="21"/>
        </w:rPr>
        <w:t>对应“用户需求书”中的“技术要求”章节</w:t>
      </w:r>
      <w:bookmarkEnd w:id="69"/>
      <w:r>
        <w:rPr>
          <w:rFonts w:hint="eastAsia"/>
          <w:b w:val="0"/>
          <w:bCs/>
          <w:sz w:val="21"/>
          <w:szCs w:val="21"/>
        </w:rPr>
        <w:t>相关内容。</w:t>
      </w:r>
    </w:p>
    <w:p>
      <w:pPr>
        <w:pStyle w:val="39"/>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70" w:name="_Hlk72158270"/>
      <w:r>
        <w:rPr>
          <w:rFonts w:hint="eastAsia"/>
          <w:b w:val="0"/>
          <w:bCs/>
          <w:sz w:val="21"/>
          <w:szCs w:val="21"/>
        </w:rPr>
        <w:t>“偏离情况”</w:t>
      </w:r>
      <w:bookmarkEnd w:id="70"/>
      <w:r>
        <w:rPr>
          <w:rFonts w:hint="eastAsia"/>
          <w:b w:val="0"/>
          <w:bCs/>
          <w:sz w:val="21"/>
          <w:szCs w:val="21"/>
        </w:rPr>
        <w:t>一栏填写如实填写“正偏离”、“负偏离”或“无偏离”，其中：</w:t>
      </w:r>
      <w:bookmarkStart w:id="71" w:name="_Hlk72093866"/>
      <w:r>
        <w:rPr>
          <w:rFonts w:hint="eastAsia"/>
          <w:b w:val="0"/>
          <w:bCs/>
          <w:sz w:val="21"/>
          <w:szCs w:val="21"/>
        </w:rPr>
        <w:t>“正偏离”表示“投标响应优于招标技术要求”，“负偏离”表示“投标响应不满足招标技术要求”，“无偏离”表示“投标响应与招标技术要求一致”</w:t>
      </w:r>
      <w:bookmarkEnd w:id="71"/>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72" w:name="_Hlk72096106"/>
      <w:r>
        <w:rPr>
          <w:rFonts w:hint="eastAsia"/>
          <w:b w:val="0"/>
          <w:bCs/>
          <w:sz w:val="21"/>
          <w:szCs w:val="21"/>
        </w:rPr>
        <w:t>证明资料条款响应要求</w:t>
      </w:r>
      <w:bookmarkEnd w:id="72"/>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3"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4" w:name="_Hlk73558164"/>
      <w:r>
        <w:rPr>
          <w:rFonts w:hint="eastAsia"/>
          <w:b w:val="0"/>
          <w:bCs/>
          <w:sz w:val="21"/>
          <w:szCs w:val="21"/>
        </w:rPr>
        <w:t>且投标人在“偏离情况”一栏响应为“正偏离”或“无偏离”的，经评审委员会认定，将判定为负偏离。</w:t>
      </w:r>
      <w:bookmarkEnd w:id="73"/>
      <w:bookmarkEnd w:id="74"/>
    </w:p>
    <w:p>
      <w:pPr>
        <w:ind w:firstLine="420" w:firstLineChars="200"/>
        <w:rPr>
          <w:b w:val="0"/>
          <w:bCs/>
          <w:sz w:val="21"/>
          <w:szCs w:val="21"/>
        </w:rPr>
      </w:pPr>
      <w:r>
        <w:rPr>
          <w:rFonts w:hint="eastAsia"/>
          <w:b w:val="0"/>
          <w:bCs/>
          <w:sz w:val="21"/>
          <w:szCs w:val="21"/>
        </w:rPr>
        <w:t>6、</w:t>
      </w:r>
      <w:bookmarkStart w:id="75" w:name="_Hlk72096137"/>
      <w:r>
        <w:rPr>
          <w:rFonts w:hint="eastAsia"/>
          <w:b w:val="0"/>
          <w:bCs/>
          <w:sz w:val="21"/>
          <w:szCs w:val="21"/>
        </w:rPr>
        <w:t>表后“证明资料”部分内容的编制</w:t>
      </w:r>
      <w:bookmarkEnd w:id="75"/>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76" w:name="_Hlk73558180"/>
      <w:r>
        <w:rPr>
          <w:rFonts w:hint="eastAsia"/>
          <w:b w:val="0"/>
          <w:bCs/>
          <w:sz w:val="21"/>
          <w:szCs w:val="21"/>
        </w:rPr>
        <w:t>未按照招标文件要求在表后放置证明材料的供应商将承担不利后果，经评审委员会认定，相关技术要求将判定为负偏离。</w:t>
      </w:r>
      <w:bookmarkEnd w:id="76"/>
    </w:p>
    <w:p>
      <w:pPr>
        <w:ind w:firstLine="420" w:firstLineChars="200"/>
        <w:rPr>
          <w:b w:val="0"/>
          <w:bCs/>
          <w:sz w:val="21"/>
          <w:szCs w:val="21"/>
        </w:rPr>
      </w:pPr>
      <w:r>
        <w:rPr>
          <w:rFonts w:hint="eastAsia"/>
          <w:b w:val="0"/>
          <w:bCs/>
          <w:sz w:val="21"/>
          <w:szCs w:val="21"/>
        </w:rPr>
        <w:t>7、</w:t>
      </w:r>
      <w:bookmarkStart w:id="77" w:name="_Hlk72096176"/>
      <w:r>
        <w:rPr>
          <w:rFonts w:hint="eastAsia"/>
          <w:b w:val="0"/>
          <w:bCs/>
          <w:sz w:val="21"/>
          <w:szCs w:val="21"/>
        </w:rPr>
        <w:t>证明资料的形式及其它具体要求</w:t>
      </w:r>
      <w:bookmarkEnd w:id="77"/>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（1）评审委员会有权对投标人的响应情况作出判断（评审结论）；</w:t>
      </w:r>
    </w:p>
    <w:p>
      <w:pPr>
        <w:ind w:firstLine="420" w:firstLineChars="200"/>
        <w:rPr>
          <w:b w:val="0"/>
          <w:bCs/>
          <w:sz w:val="21"/>
          <w:szCs w:val="21"/>
        </w:rPr>
      </w:pPr>
      <w:r>
        <w:rPr>
          <w:rFonts w:hint="eastAsia"/>
          <w:b w:val="0"/>
          <w:bCs/>
          <w:sz w:val="21"/>
          <w:szCs w:val="21"/>
        </w:rPr>
        <w:t>（2）</w:t>
      </w:r>
      <w:bookmarkStart w:id="78"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78"/>
    </w:p>
    <w:p>
      <w:pPr>
        <w:rPr>
          <w:sz w:val="24"/>
        </w:rPr>
      </w:pPr>
    </w:p>
    <w:p>
      <w:pPr>
        <w:pStyle w:val="3"/>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十、项目实施方案</w:t>
      </w:r>
    </w:p>
    <w:p>
      <w:pPr>
        <w:pStyle w:val="3"/>
        <w:jc w:val="center"/>
        <w:rPr>
          <w:rFonts w:hint="default" w:ascii="黑体" w:eastAsia="黑体"/>
          <w:b w:val="0"/>
          <w:bCs w:val="0"/>
          <w:sz w:val="24"/>
          <w:szCs w:val="20"/>
          <w:lang w:val="en-US" w:eastAsia="zh-CN"/>
        </w:rPr>
      </w:pPr>
      <w:r>
        <w:rPr>
          <w:rFonts w:hint="eastAsia" w:ascii="黑体" w:eastAsia="黑体"/>
          <w:b w:val="0"/>
          <w:bCs w:val="0"/>
          <w:sz w:val="24"/>
          <w:szCs w:val="20"/>
          <w:lang w:val="en-US" w:eastAsia="zh-CN"/>
        </w:rPr>
        <w:t>十一、免费保修期时长</w:t>
      </w:r>
    </w:p>
    <w:p>
      <w:pPr>
        <w:pStyle w:val="3"/>
        <w:jc w:val="center"/>
        <w:rPr>
          <w:rFonts w:hint="default" w:ascii="黑体" w:eastAsia="黑体"/>
          <w:b w:val="0"/>
          <w:bCs w:val="0"/>
          <w:sz w:val="24"/>
          <w:szCs w:val="20"/>
          <w:lang w:val="en-US" w:eastAsia="zh-CN"/>
        </w:rPr>
      </w:pPr>
      <w:r>
        <w:rPr>
          <w:rFonts w:hint="eastAsia" w:ascii="黑体" w:eastAsia="黑体"/>
          <w:b w:val="0"/>
          <w:bCs w:val="0"/>
          <w:sz w:val="24"/>
          <w:szCs w:val="20"/>
          <w:lang w:val="en-US" w:eastAsia="zh-CN"/>
        </w:rPr>
        <w:t>十二、同类业绩</w:t>
      </w:r>
    </w:p>
    <w:p>
      <w:pPr>
        <w:pStyle w:val="3"/>
        <w:jc w:val="center"/>
        <w:rPr>
          <w:rFonts w:ascii="黑体" w:eastAsia="黑体"/>
          <w:b w:val="0"/>
          <w:bCs w:val="0"/>
          <w:sz w:val="24"/>
          <w:szCs w:val="20"/>
        </w:rPr>
      </w:pPr>
      <w:bookmarkStart w:id="79" w:name="_Hlk72260576"/>
      <w:r>
        <w:rPr>
          <w:rFonts w:hint="eastAsia" w:ascii="黑体" w:eastAsia="黑体"/>
          <w:b w:val="0"/>
          <w:bCs w:val="0"/>
          <w:sz w:val="24"/>
          <w:szCs w:val="20"/>
          <w:lang w:val="en-US" w:eastAsia="zh-CN"/>
        </w:rPr>
        <w:t>十三</w:t>
      </w:r>
      <w:r>
        <w:rPr>
          <w:rFonts w:hint="eastAsia" w:ascii="黑体" w:eastAsia="黑体"/>
          <w:b w:val="0"/>
          <w:bCs w:val="0"/>
          <w:sz w:val="24"/>
          <w:szCs w:val="20"/>
        </w:rPr>
        <w:t>、</w:t>
      </w:r>
      <w:bookmarkStart w:id="80" w:name="_Hlk72062872"/>
      <w:r>
        <w:rPr>
          <w:rFonts w:hint="eastAsia" w:ascii="黑体" w:eastAsia="黑体"/>
          <w:b w:val="0"/>
          <w:bCs w:val="0"/>
          <w:sz w:val="24"/>
          <w:szCs w:val="20"/>
        </w:rPr>
        <w:t>投标人认为需要加以说明的其他内容</w:t>
      </w:r>
      <w:bookmarkEnd w:id="80"/>
    </w:p>
    <w:bookmarkEnd w:id="79"/>
    <w:p>
      <w:pPr>
        <w:widowControl/>
        <w:jc w:val="center"/>
        <w:rPr>
          <w:rFonts w:hint="eastAsia" w:ascii="黑体" w:hAnsi="宋体" w:eastAsia="黑体" w:cs="Times New Roman"/>
          <w:kern w:val="0"/>
          <w:sz w:val="24"/>
          <w:szCs w:val="20"/>
        </w:rPr>
      </w:pPr>
      <w:r>
        <w:rPr>
          <w:rFonts w:hint="eastAsia" w:ascii="黑体" w:hAnsi="宋体" w:eastAsia="黑体" w:cs="Times New Roman"/>
          <w:kern w:val="0"/>
          <w:sz w:val="24"/>
          <w:szCs w:val="20"/>
        </w:rPr>
        <w:t>（一）采购违法行为风险知悉确认书</w:t>
      </w:r>
    </w:p>
    <w:p>
      <w:pPr>
        <w:widowControl/>
        <w:jc w:val="center"/>
        <w:rPr>
          <w:rFonts w:hint="eastAsia" w:ascii="黑体" w:hAnsi="宋体" w:eastAsia="黑体" w:cs="Times New Roman"/>
          <w:kern w:val="0"/>
          <w:sz w:val="24"/>
          <w:szCs w:val="20"/>
        </w:rPr>
      </w:pPr>
    </w:p>
    <w:p>
      <w:pPr>
        <w:ind w:firstLine="420" w:firstLineChars="200"/>
        <w:rPr>
          <w:rFonts w:ascii="Times New Roman" w:hAnsi="Times New Roman" w:eastAsia="宋体" w:cs="Times New Roman"/>
        </w:rPr>
      </w:pPr>
      <w:r>
        <w:rPr>
          <w:rFonts w:hint="eastAsia" w:ascii="Times New Roman" w:hAnsi="Times New Roman" w:eastAsia="宋体" w:cs="Times New Roman"/>
        </w:rPr>
        <w:t>本公司在投标前已充分知悉以下情形为参与自行采购活动时的重大风险事项，并承诺已对下述风险提示事项重点排查，做到严谨、诚信、依法依规参与自行采购活动。</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一、本公司已充分知悉“隐瞒真实情况，提供虚假资料”的法定情形，相关情形包括但不限于：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（一）通过转让或者租借等方式从其他单位获取资格或者资质证书投标的。</w:t>
      </w:r>
    </w:p>
    <w:p>
      <w:pPr>
        <w:ind w:firstLine="420" w:firstLineChars="200"/>
        <w:rPr>
          <w:rFonts w:ascii="Times New Roman" w:hAnsi="Times New Roman" w:eastAsia="宋体" w:cs="Times New Roman"/>
        </w:rPr>
      </w:pPr>
      <w:r>
        <w:rPr>
          <w:rFonts w:hint="eastAsia" w:ascii="Times New Roman" w:hAnsi="Times New Roman" w:eastAsia="宋体" w:cs="Times New Roman"/>
        </w:rPr>
        <w:t>（二）由其他单位或者其他单位负责人在投标供应商编制的投标文件上加盖印章或者签字的。</w:t>
      </w:r>
    </w:p>
    <w:p>
      <w:pPr>
        <w:ind w:firstLine="420" w:firstLineChars="200"/>
        <w:rPr>
          <w:rFonts w:ascii="Times New Roman" w:hAnsi="Times New Roman" w:eastAsia="宋体" w:cs="Times New Roman"/>
        </w:rPr>
      </w:pPr>
      <w:r>
        <w:rPr>
          <w:rFonts w:hint="eastAsia" w:ascii="Times New Roman" w:hAnsi="Times New Roman" w:eastAsia="宋体" w:cs="Times New Roman"/>
        </w:rPr>
        <w:t>（三）项目负责人或者主要技术人员不是本单位人员的。</w:t>
      </w:r>
    </w:p>
    <w:p>
      <w:pPr>
        <w:ind w:firstLine="420" w:firstLineChars="200"/>
        <w:rPr>
          <w:rFonts w:ascii="Times New Roman" w:hAnsi="Times New Roman" w:eastAsia="宋体" w:cs="Times New Roman"/>
        </w:rPr>
      </w:pPr>
      <w:r>
        <w:rPr>
          <w:rFonts w:hint="eastAsia" w:ascii="Times New Roman" w:hAnsi="Times New Roman" w:eastAsia="宋体" w:cs="Times New Roman"/>
        </w:rPr>
        <w:t>（四）投标保证金不是从投标供应商基本账户转出的。</w:t>
      </w:r>
    </w:p>
    <w:p>
      <w:pPr>
        <w:ind w:firstLine="420" w:firstLineChars="200"/>
        <w:rPr>
          <w:rFonts w:ascii="Times New Roman" w:hAnsi="Times New Roman" w:eastAsia="宋体" w:cs="Times New Roman"/>
        </w:rPr>
      </w:pPr>
      <w:r>
        <w:rPr>
          <w:rFonts w:hint="eastAsia" w:ascii="Times New Roman" w:hAnsi="Times New Roman" w:eastAsia="宋体" w:cs="Times New Roman"/>
        </w:rPr>
        <w:t>（五）其他隐瞒真实情况、提供虚假资料的行为。</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二、本公司已充分知悉“与其他采购参加人串通投标”的法定情形，相关情形包括但不限于：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（一）投标供应商之间相互约定给予未中标的供应商利益补偿。</w:t>
      </w:r>
    </w:p>
    <w:p>
      <w:pPr>
        <w:ind w:firstLine="420" w:firstLineChars="200"/>
        <w:rPr>
          <w:rFonts w:ascii="Times New Roman" w:hAnsi="Times New Roman" w:eastAsia="宋体" w:cs="Times New Roman"/>
        </w:rPr>
      </w:pPr>
      <w:r>
        <w:rPr>
          <w:rFonts w:hint="eastAsia" w:ascii="Times New Roman" w:hAnsi="Times New Roman" w:eastAsia="宋体" w:cs="Times New Roman"/>
        </w:rPr>
        <w:t>（二）不同投标供应商的法定代表人、主要经营负责人、项目投标授权代表人、项目负责人、主要技术人员为同一人、属同一单位或者在同一单位缴纳社会保险。</w:t>
      </w:r>
    </w:p>
    <w:p>
      <w:pPr>
        <w:ind w:firstLine="420" w:firstLineChars="200"/>
        <w:rPr>
          <w:rFonts w:ascii="Times New Roman" w:hAnsi="Times New Roman" w:eastAsia="宋体" w:cs="Times New Roman"/>
        </w:rPr>
      </w:pPr>
      <w:r>
        <w:rPr>
          <w:rFonts w:hint="eastAsia" w:ascii="Times New Roman" w:hAnsi="Times New Roman" w:eastAsia="宋体" w:cs="Times New Roman"/>
        </w:rPr>
        <w:t>（三）不同投标供应商的投标文件由同一单位或者同一人编制，或者由同一人分阶段参与编制的。</w:t>
      </w:r>
    </w:p>
    <w:p>
      <w:pPr>
        <w:ind w:firstLine="420" w:firstLineChars="200"/>
        <w:rPr>
          <w:rFonts w:ascii="Times New Roman" w:hAnsi="Times New Roman" w:eastAsia="宋体" w:cs="Times New Roman"/>
        </w:rPr>
      </w:pPr>
      <w:r>
        <w:rPr>
          <w:rFonts w:hint="eastAsia" w:ascii="Times New Roman" w:hAnsi="Times New Roman" w:eastAsia="宋体" w:cs="Times New Roman"/>
        </w:rPr>
        <w:t>（四）不同投标供应商的投标文件或部分投标文件相互混装。</w:t>
      </w:r>
    </w:p>
    <w:p>
      <w:pPr>
        <w:ind w:firstLine="420" w:firstLineChars="200"/>
        <w:rPr>
          <w:rFonts w:ascii="Times New Roman" w:hAnsi="Times New Roman" w:eastAsia="宋体" w:cs="Times New Roman"/>
        </w:rPr>
      </w:pPr>
      <w:r>
        <w:rPr>
          <w:rFonts w:hint="eastAsia" w:ascii="Times New Roman" w:hAnsi="Times New Roman" w:eastAsia="宋体" w:cs="Times New Roman"/>
        </w:rPr>
        <w:t>（五）不同投标供应商的投标文件内容存在非正常一致。</w:t>
      </w:r>
    </w:p>
    <w:p>
      <w:pPr>
        <w:ind w:firstLine="420" w:firstLineChars="200"/>
        <w:rPr>
          <w:rFonts w:ascii="Times New Roman" w:hAnsi="Times New Roman" w:eastAsia="宋体" w:cs="Times New Roman"/>
        </w:rPr>
      </w:pPr>
      <w:r>
        <w:rPr>
          <w:rFonts w:hint="eastAsia" w:ascii="Times New Roman" w:hAnsi="Times New Roman" w:eastAsia="宋体" w:cs="Times New Roman"/>
        </w:rPr>
        <w:t>（六）由同一单位工作人员为两家以上（含两家）供应商进行同一项投标活动的。</w:t>
      </w:r>
    </w:p>
    <w:p>
      <w:pPr>
        <w:ind w:firstLine="420" w:firstLineChars="200"/>
        <w:rPr>
          <w:rFonts w:ascii="Times New Roman" w:hAnsi="Times New Roman" w:eastAsia="宋体" w:cs="Times New Roman"/>
        </w:rPr>
      </w:pPr>
      <w:r>
        <w:rPr>
          <w:rFonts w:hint="eastAsia" w:ascii="Times New Roman" w:hAnsi="Times New Roman" w:eastAsia="宋体" w:cs="Times New Roman"/>
        </w:rPr>
        <w:t>（七）不同投标人的投标报价呈规律性差异。</w:t>
      </w:r>
    </w:p>
    <w:p>
      <w:pPr>
        <w:ind w:firstLine="420" w:firstLineChars="200"/>
        <w:rPr>
          <w:rFonts w:ascii="Times New Roman" w:hAnsi="Times New Roman" w:eastAsia="宋体" w:cs="Times New Roman"/>
        </w:rPr>
      </w:pPr>
      <w:r>
        <w:rPr>
          <w:rFonts w:hint="eastAsia" w:ascii="Times New Roman" w:hAnsi="Times New Roman" w:eastAsia="宋体" w:cs="Times New Roman"/>
        </w:rPr>
        <w:t>（八）不同投标人的投标保证金从同一单位或者个人的账户转出。</w:t>
      </w:r>
    </w:p>
    <w:p>
      <w:pPr>
        <w:ind w:firstLine="420" w:firstLineChars="200"/>
        <w:rPr>
          <w:rFonts w:ascii="Times New Roman" w:hAnsi="Times New Roman" w:eastAsia="宋体" w:cs="Times New Roman"/>
        </w:rPr>
      </w:pPr>
      <w:r>
        <w:rPr>
          <w:rFonts w:hint="eastAsia" w:ascii="Times New Roman" w:hAnsi="Times New Roman" w:eastAsia="宋体" w:cs="Times New Roman"/>
        </w:rPr>
        <w:t>（九）主管部门依照法律、法规认定的其他情形。</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三、本公司已充分知悉下列情形所对应的法律风险，并在投标前已对相关风险事项进行排查。</w:t>
      </w:r>
    </w:p>
    <w:p>
      <w:pPr>
        <w:ind w:firstLine="420" w:firstLineChars="200"/>
        <w:rPr>
          <w:rFonts w:ascii="Times New Roman" w:hAnsi="Times New Roman" w:eastAsia="宋体" w:cs="Times New Roman"/>
          <w:b/>
        </w:rPr>
      </w:pPr>
      <w:r>
        <w:rPr>
          <w:rFonts w:hint="eastAsia" w:ascii="Times New Roman" w:hAnsi="Times New Roman" w:eastAsia="宋体" w:cs="Times New Roman"/>
        </w:rPr>
        <w:t>（一）对于从其他主体获取的投标资料，供应商应审慎核查，确保投标资料的真实性。</w:t>
      </w:r>
      <w:r>
        <w:rPr>
          <w:rFonts w:hint="eastAsia" w:ascii="Times New Roman" w:hAnsi="Times New Roman" w:eastAsia="宋体" w:cs="Times New Roman"/>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rPr>
          <w:rFonts w:ascii="Times New Roman" w:hAnsi="Times New Roman" w:eastAsia="宋体" w:cs="Times New Roman"/>
        </w:rPr>
      </w:pPr>
      <w:r>
        <w:rPr>
          <w:rFonts w:hint="eastAsia" w:ascii="Times New Roman" w:hAnsi="Times New Roman" w:eastAsia="宋体" w:cs="Times New Roman"/>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（三）对于涉及安全生产、特种作业、抢险救灾、防疫等采购项目，供应商实施提供虚假资料、串通投标等违法行为的，主管部门将依法从严处理。</w:t>
      </w:r>
    </w:p>
    <w:p>
      <w:pPr>
        <w:ind w:firstLine="420" w:firstLineChars="200"/>
        <w:rPr>
          <w:rFonts w:ascii="Times New Roman" w:hAnsi="Times New Roman" w:eastAsia="宋体" w:cs="Times New Roman"/>
        </w:rPr>
      </w:pPr>
      <w:r>
        <w:rPr>
          <w:rFonts w:hint="eastAsia" w:ascii="Times New Roman" w:hAnsi="Times New Roman" w:eastAsia="宋体" w:cs="Times New Roma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ind w:firstLine="420" w:firstLineChars="200"/>
        <w:rPr>
          <w:rFonts w:ascii="Times New Roman" w:hAnsi="Times New Roman" w:eastAsia="宋体" w:cs="Times New Roman"/>
        </w:rPr>
      </w:pPr>
      <w:r>
        <w:rPr>
          <w:rFonts w:hint="eastAsia" w:ascii="Times New Roman" w:hAnsi="Times New Roman" w:eastAsia="宋体" w:cs="Times New Roman"/>
        </w:rPr>
        <w:t>（六）单位负责人为同一人或者存在直接控股、管理关系的不同供应商，不得参加同一合同项下的采购活动。相关情形如查实，依法作投标无效处理；涉嫌串通投标等违法行为的，主管部门将依法调查处理。</w:t>
      </w:r>
    </w:p>
    <w:p>
      <w:pPr>
        <w:ind w:firstLine="422" w:firstLineChars="200"/>
        <w:rPr>
          <w:rFonts w:ascii="Times New Roman" w:hAnsi="Times New Roman" w:eastAsia="宋体" w:cs="Times New Roman"/>
          <w:b/>
        </w:rPr>
      </w:pPr>
      <w:r>
        <w:rPr>
          <w:rFonts w:hint="eastAsia" w:ascii="Times New Roman" w:hAnsi="Times New Roman" w:eastAsia="宋体" w:cs="Times New Roman"/>
          <w:b/>
        </w:rPr>
        <w:t>四、本公司已充分知悉采购违法、违规行为的法律后果。</w:t>
      </w:r>
    </w:p>
    <w:p>
      <w:pPr>
        <w:ind w:firstLine="420" w:firstLineChars="200"/>
        <w:rPr>
          <w:rFonts w:ascii="Times New Roman" w:hAnsi="Times New Roman" w:eastAsia="宋体" w:cs="Times New Roman"/>
        </w:rPr>
      </w:pPr>
      <w:r>
        <w:rPr>
          <w:rFonts w:hint="eastAsia" w:ascii="Times New Roman" w:hAnsi="Times New Roman" w:eastAsia="宋体" w:cs="Times New Roma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rPr>
          <w:rFonts w:ascii="Times New Roman" w:hAnsi="Times New Roman" w:eastAsia="宋体" w:cs="Times New Roman"/>
        </w:rPr>
      </w:pPr>
      <w:r>
        <w:rPr>
          <w:rFonts w:hint="eastAsia" w:ascii="Times New Roman" w:hAnsi="Times New Roman" w:eastAsia="宋体" w:cs="Times New Roman"/>
        </w:rPr>
        <w:t>以下文字请投标供应商抄写并确认：“本公司已仔细阅读《采购违法行为风险知悉确认书》，充分知悉违法行为的法律后果，并承诺将严谨、诚信、依法依规参与采购活动”。</w:t>
      </w:r>
    </w:p>
    <w:tbl>
      <w:tblPr>
        <w:tblStyle w:val="47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负责人/投标授权代表签名：</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知悉人（公章）：</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 xml:space="preserve">     日期：</w:t>
      </w:r>
      <w:r>
        <w:rPr>
          <w:rFonts w:hint="eastAsia" w:ascii="宋体" w:hAnsi="宋体" w:cs="Times New Roman" w:eastAsiaTheme="minorEastAsia"/>
          <w:spacing w:val="-4"/>
          <w:kern w:val="0"/>
          <w:szCs w:val="21"/>
          <w:u w:val="single"/>
        </w:rPr>
        <w:t xml:space="preserve">              </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1.</w:t>
      </w:r>
      <w:r>
        <w:rPr>
          <w:rFonts w:hint="eastAsia" w:ascii="Times New Roman" w:hAnsi="Times New Roman" w:eastAsia="宋体" w:cs="Times New Roman"/>
        </w:rPr>
        <w:t xml:space="preserve"> </w:t>
      </w:r>
      <w:r>
        <w:rPr>
          <w:rFonts w:hint="eastAsia" w:ascii="宋体" w:hAnsi="宋体" w:cs="Times New Roman"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cs="Times New Roman" w:eastAsiaTheme="minorEastAsia"/>
          <w:color w:val="FF0000"/>
          <w:spacing w:val="-4"/>
          <w:kern w:val="0"/>
          <w:szCs w:val="21"/>
        </w:rPr>
      </w:pPr>
      <w:r>
        <w:rPr>
          <w:rFonts w:hint="eastAsia" w:ascii="宋体" w:hAnsi="宋体" w:cs="Times New Roman" w:eastAsiaTheme="minorEastAsia"/>
          <w:b/>
          <w:bCs/>
          <w:color w:val="FF0000"/>
          <w:spacing w:val="-4"/>
          <w:kern w:val="0"/>
          <w:szCs w:val="21"/>
        </w:rPr>
        <w:t>2.投标供应商负责人或投标授权代表签字并加盖单位公章后，扫描上传至投标文件一并提交。</w:t>
      </w: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ind w:firstLine="630" w:firstLineChars="300"/>
        <w:rPr>
          <w:rFonts w:eastAsiaTheme="minorEastAsia"/>
          <w:b/>
          <w:bCs/>
          <w:kern w:val="0"/>
          <w:sz w:val="24"/>
        </w:rPr>
      </w:pPr>
      <w:r>
        <w:rPr>
          <w:rFonts w:hint="eastAsia" w:ascii="宋体" w:hAnsi="宋体"/>
        </w:rPr>
        <w:t>………………（根据项目具体情况增加与综合实力评审相关的节点）</w:t>
      </w:r>
    </w:p>
    <w:p>
      <w:pPr>
        <w:widowControl/>
        <w:jc w:val="center"/>
        <w:rPr>
          <w:rFonts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Pr>
        <w:rPr>
          <w:rFonts w:hint="eastAsia"/>
        </w:rPr>
      </w:pPr>
      <w:r>
        <w:rPr>
          <w:rFonts w:hint="eastAsia"/>
        </w:rPr>
        <w:br w:type="page"/>
      </w:r>
    </w:p>
    <w:p>
      <w:pPr>
        <w:pStyle w:val="5"/>
      </w:pPr>
      <w:r>
        <w:rPr>
          <w:rFonts w:hint="eastAsia"/>
        </w:rPr>
        <w:t>第五章  合同条款及格式</w:t>
      </w:r>
    </w:p>
    <w:p/>
    <w:p>
      <w:pPr>
        <w:jc w:val="center"/>
        <w:outlineLvl w:val="9"/>
      </w:pPr>
      <w:bookmarkStart w:id="81" w:name="_Toc3995"/>
      <w:r>
        <w:rPr>
          <w:rFonts w:hint="eastAsia"/>
          <w:b/>
          <w:sz w:val="24"/>
        </w:rPr>
        <w:t>（仅供参考，具体以项目需求及采购结果为准）</w:t>
      </w:r>
    </w:p>
    <w:p>
      <w:pPr>
        <w:widowControl w:val="0"/>
        <w:spacing w:after="0"/>
        <w:jc w:val="center"/>
        <w:outlineLvl w:val="9"/>
        <w:rPr>
          <w:rFonts w:ascii="宋体" w:hAnsi="宋体" w:eastAsia="宋体" w:cs="宋体"/>
          <w:b/>
          <w:bCs/>
          <w:spacing w:val="-20"/>
          <w:kern w:val="44"/>
          <w:sz w:val="48"/>
          <w:szCs w:val="48"/>
          <w:lang w:val="en-US" w:eastAsia="zh-CN" w:bidi="ar-SA"/>
        </w:rPr>
      </w:pPr>
    </w:p>
    <w:p>
      <w:pPr>
        <w:widowControl w:val="0"/>
        <w:spacing w:after="0"/>
        <w:jc w:val="center"/>
        <w:outlineLvl w:val="9"/>
        <w:rPr>
          <w:rFonts w:ascii="宋体" w:hAnsi="宋体" w:eastAsia="宋体" w:cs="宋体"/>
          <w:b/>
          <w:bCs/>
          <w:spacing w:val="-20"/>
          <w:kern w:val="44"/>
          <w:sz w:val="48"/>
          <w:szCs w:val="48"/>
          <w:lang w:val="en-US" w:eastAsia="zh-CN" w:bidi="ar-SA"/>
        </w:rPr>
      </w:pPr>
    </w:p>
    <w:p>
      <w:pPr>
        <w:pStyle w:val="8"/>
        <w:outlineLvl w:val="9"/>
        <w:rPr>
          <w:lang w:val="en-US" w:eastAsia="zh-CN"/>
        </w:rPr>
      </w:pP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81"/>
    <w:p>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82"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82"/>
    </w:p>
    <w:p>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beforeLines="0" w:line="400" w:lineRule="exact"/>
        <w:rPr>
          <w:rFonts w:hint="default" w:eastAsia="宋体"/>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pPr>
        <w:numPr>
          <w:ilvl w:val="0"/>
          <w:numId w:val="12"/>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pPr>
        <w:widowControl w:val="0"/>
        <w:numPr>
          <w:ilvl w:val="0"/>
          <w:numId w:val="13"/>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12"/>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12"/>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12"/>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pPr>
        <w:numPr>
          <w:ilvl w:val="0"/>
          <w:numId w:val="14"/>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pPr>
        <w:numPr>
          <w:ilvl w:val="0"/>
          <w:numId w:val="12"/>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12"/>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12"/>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pPr>
        <w:rPr>
          <w:rFonts w:hint="eastAsia" w:eastAsia="宋体"/>
        </w:rPr>
      </w:pPr>
      <w:r>
        <w:rPr>
          <w:rFonts w:hint="eastAsia" w:eastAsia="宋体"/>
        </w:rPr>
        <w:br w:type="page"/>
      </w:r>
    </w:p>
    <w:p>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44"/>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83" w:name="_Toc27624"/>
      <w:r>
        <w:rPr>
          <w:rFonts w:hint="eastAsia" w:ascii="黑体" w:hAnsi="黑体" w:eastAsia="黑体" w:cs="Times New Roman"/>
          <w:b w:val="0"/>
          <w:bCs w:val="0"/>
          <w:kern w:val="2"/>
          <w:sz w:val="28"/>
          <w:szCs w:val="28"/>
          <w:lang w:val="en-US" w:eastAsia="zh-CN" w:bidi="ar-SA"/>
        </w:rPr>
        <w:t>第二节 政府采购合同通用条款</w:t>
      </w:r>
      <w:bookmarkEnd w:id="83"/>
    </w:p>
    <w:p>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15"/>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16"/>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4"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4"/>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outlineLvl w:val="9"/>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17"/>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18"/>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85"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85"/>
    </w:p>
    <w:tbl>
      <w:tblPr>
        <w:tblStyle w:val="4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第二册  通用条款（公开招标）</w:t>
      </w: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86" w:name="_Hlk72399513"/>
      <w:r>
        <w:rPr>
          <w:rFonts w:hint="eastAsia" w:ascii="宋体" w:hAnsi="宋体" w:eastAsia="宋体" w:cs="Times New Roman"/>
          <w:b/>
          <w:bCs/>
          <w:kern w:val="0"/>
          <w:sz w:val="28"/>
          <w:szCs w:val="28"/>
          <w:lang w:val="en-US" w:eastAsia="zh-CN" w:bidi="ar-SA"/>
        </w:rPr>
        <w:t>总则</w:t>
      </w:r>
    </w:p>
    <w:bookmarkEnd w:id="86"/>
    <w:p>
      <w:pPr>
        <w:rPr>
          <w:rFonts w:ascii="黑体" w:hAnsi="宋体" w:eastAsia="黑体" w:cs="Times New Roman"/>
          <w:sz w:val="24"/>
        </w:rPr>
      </w:pPr>
      <w:r>
        <w:rPr>
          <w:rFonts w:hint="eastAsia" w:ascii="黑体" w:hAnsi="宋体" w:eastAsia="黑体" w:cs="Times New Roman"/>
          <w:sz w:val="24"/>
        </w:rPr>
        <w:t>1. 通用条款说明</w:t>
      </w:r>
    </w:p>
    <w:p>
      <w:pPr>
        <w:ind w:firstLine="420" w:firstLineChars="200"/>
        <w:rPr>
          <w:rFonts w:hint="eastAsia" w:ascii="宋体" w:hAnsi="宋体" w:eastAsia="宋体" w:cs="Times New Roman"/>
          <w:szCs w:val="21"/>
        </w:rPr>
      </w:pPr>
      <w:r>
        <w:rPr>
          <w:rFonts w:hint="eastAsia" w:ascii="宋体" w:hAnsi="宋体" w:eastAsia="宋体" w:cs="Times New Roman"/>
          <w:szCs w:val="21"/>
        </w:rPr>
        <w:t>1.1政府集中采购机构发出招标文件通用条款版本，列出深圳市自行采购项目进行招标采购所适用的通用条款内容。</w:t>
      </w:r>
      <w:bookmarkStart w:id="87" w:name="_Hlk72399729"/>
      <w:r>
        <w:rPr>
          <w:rFonts w:hint="eastAsia" w:ascii="宋体" w:hAnsi="宋体" w:eastAsia="宋体" w:cs="Times New Roman"/>
          <w:szCs w:val="21"/>
        </w:rPr>
        <w:t>如有需要，政府集中采购机构可以对通用条款的内容进行补充。</w:t>
      </w:r>
      <w:bookmarkEnd w:id="87"/>
    </w:p>
    <w:p>
      <w:pPr>
        <w:ind w:firstLine="411" w:firstLineChars="196"/>
        <w:rPr>
          <w:rFonts w:ascii="宋体" w:hAnsi="宋体" w:eastAsia="宋体" w:cs="Times New Roman"/>
          <w:szCs w:val="21"/>
        </w:rPr>
      </w:pPr>
      <w:r>
        <w:rPr>
          <w:rFonts w:hint="eastAsia" w:ascii="宋体" w:hAnsi="宋体" w:eastAsia="宋体" w:cs="Times New Roman"/>
          <w:szCs w:val="21"/>
        </w:rPr>
        <w:t>1.2招标文件分为第一册“专用条款”和第二册“通用条款”。</w:t>
      </w:r>
    </w:p>
    <w:p>
      <w:pPr>
        <w:ind w:firstLine="411" w:firstLineChars="196"/>
        <w:rPr>
          <w:rFonts w:ascii="宋体" w:hAnsi="宋体" w:eastAsia="宋体" w:cs="Times New Roman"/>
          <w:szCs w:val="21"/>
        </w:rPr>
      </w:pPr>
      <w:r>
        <w:rPr>
          <w:rFonts w:hint="eastAsia" w:ascii="宋体" w:hAnsi="宋体" w:eastAsia="宋体" w:cs="Times New Roman"/>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eastAsia="宋体" w:cs="Times New Roman"/>
          <w:szCs w:val="21"/>
        </w:rPr>
      </w:pPr>
      <w:r>
        <w:rPr>
          <w:rFonts w:hint="eastAsia" w:ascii="宋体" w:hAnsi="宋体" w:eastAsia="宋体" w:cs="Times New Roman"/>
          <w:szCs w:val="21"/>
        </w:rPr>
        <w:t>1.4“通用条款”是适用于自行采购公开招标项目的基础性条款，具有普遍性和通用性。</w:t>
      </w:r>
    </w:p>
    <w:p>
      <w:pPr>
        <w:ind w:firstLine="411" w:firstLineChars="196"/>
        <w:rPr>
          <w:rFonts w:ascii="宋体" w:hAnsi="宋体" w:eastAsia="宋体" w:cs="Times New Roman"/>
          <w:szCs w:val="21"/>
        </w:rPr>
      </w:pPr>
      <w:r>
        <w:rPr>
          <w:rFonts w:hint="eastAsia" w:ascii="宋体" w:hAnsi="宋体" w:eastAsia="宋体" w:cs="Times New Roman"/>
          <w:szCs w:val="21"/>
        </w:rPr>
        <w:t>1.5 “专用条款”和“通用条款”表述不一致或有冲突时，以“专用条款”为准。</w:t>
      </w:r>
    </w:p>
    <w:p>
      <w:pPr>
        <w:rPr>
          <w:rFonts w:ascii="黑体" w:hAnsi="宋体" w:eastAsia="黑体" w:cs="Times New Roman"/>
          <w:sz w:val="24"/>
        </w:rPr>
      </w:pPr>
      <w:r>
        <w:rPr>
          <w:rFonts w:hint="eastAsia" w:ascii="黑体" w:hAnsi="宋体" w:eastAsia="黑体" w:cs="Times New Roman"/>
          <w:sz w:val="24"/>
        </w:rPr>
        <w:t>2</w:t>
      </w:r>
      <w:r>
        <w:rPr>
          <w:rFonts w:ascii="黑体" w:hAnsi="宋体" w:eastAsia="黑体" w:cs="Times New Roman"/>
          <w:sz w:val="24"/>
        </w:rPr>
        <w:t>．</w:t>
      </w:r>
      <w:r>
        <w:rPr>
          <w:rFonts w:hint="eastAsia" w:ascii="黑体" w:hAnsi="宋体" w:eastAsia="黑体" w:cs="Times New Roman"/>
          <w:sz w:val="24"/>
        </w:rPr>
        <w:t>招标说明</w:t>
      </w:r>
    </w:p>
    <w:p>
      <w:pPr>
        <w:ind w:firstLine="422" w:firstLineChars="200"/>
        <w:rPr>
          <w:rFonts w:hint="eastAsia" w:ascii="宋体" w:hAnsi="宋体" w:eastAsia="宋体" w:cs="Times New Roman"/>
          <w:b/>
          <w:bCs/>
          <w:color w:val="FF0000"/>
          <w:szCs w:val="21"/>
        </w:rPr>
      </w:pPr>
      <w:r>
        <w:rPr>
          <w:rFonts w:hint="eastAsia" w:ascii="宋体" w:hAnsi="宋体" w:eastAsia="宋体" w:cs="Times New Roman"/>
          <w:b/>
          <w:bCs/>
          <w:color w:val="FF0000"/>
          <w:szCs w:val="21"/>
        </w:rPr>
        <w:t>本项目为自行采购项目，参照《深圳经济特区政府采购条例》、《深圳经济特区政府采购条例实施细则》及政府采购其他法律法规，通过公开招标方式确定中标供应商。</w:t>
      </w:r>
    </w:p>
    <w:p>
      <w:pPr>
        <w:rPr>
          <w:rFonts w:ascii="黑体" w:hAnsi="宋体" w:eastAsia="黑体" w:cs="Times New Roman"/>
          <w:sz w:val="24"/>
        </w:rPr>
      </w:pPr>
      <w:r>
        <w:rPr>
          <w:rFonts w:hint="eastAsia" w:ascii="黑体" w:hAnsi="宋体" w:eastAsia="黑体" w:cs="Times New Roman"/>
          <w:sz w:val="24"/>
        </w:rPr>
        <w:t>3．定义</w:t>
      </w:r>
    </w:p>
    <w:p>
      <w:pPr>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pPr>
        <w:ind w:firstLine="411" w:firstLineChars="196"/>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1</w:t>
      </w:r>
      <w:r>
        <w:rPr>
          <w:rFonts w:hint="eastAsia" w:ascii="宋体" w:hAnsi="宋体" w:eastAsia="宋体" w:cs="Times New Roman"/>
          <w:szCs w:val="21"/>
        </w:rPr>
        <w:t>“采购人”：指利用财政性资金依法进行</w:t>
      </w:r>
      <w:r>
        <w:rPr>
          <w:rFonts w:hint="eastAsia" w:ascii="宋体" w:hAnsi="宋体"/>
          <w:b/>
          <w:bCs/>
          <w:color w:val="FF0000"/>
          <w:szCs w:val="21"/>
        </w:rPr>
        <w:t>自行采购</w:t>
      </w:r>
      <w:r>
        <w:rPr>
          <w:rFonts w:hint="eastAsia" w:ascii="宋体" w:hAnsi="宋体" w:eastAsia="宋体" w:cs="Times New Roman"/>
          <w:szCs w:val="21"/>
        </w:rPr>
        <w:t>的国家机关、事业单位、团体组织；</w:t>
      </w:r>
      <w:r>
        <w:rPr>
          <w:rFonts w:ascii="宋体" w:hAnsi="宋体" w:eastAsia="宋体" w:cs="Times New Roman"/>
          <w:szCs w:val="21"/>
        </w:rPr>
        <w:t xml:space="preserve"> </w:t>
      </w:r>
    </w:p>
    <w:p>
      <w:pPr>
        <w:ind w:firstLine="411" w:firstLineChars="196"/>
        <w:rPr>
          <w:rFonts w:ascii="宋体" w:hAnsi="宋体" w:eastAsia="宋体" w:cs="Times New Roman"/>
          <w:szCs w:val="21"/>
        </w:rPr>
      </w:pPr>
      <w:r>
        <w:rPr>
          <w:rFonts w:hint="eastAsia" w:ascii="宋体" w:hAnsi="宋体" w:eastAsia="宋体" w:cs="Times New Roman"/>
          <w:szCs w:val="21"/>
        </w:rPr>
        <w:t>3.2 “政府集中采购机构”</w:t>
      </w:r>
      <w:r>
        <w:rPr>
          <w:rFonts w:hint="eastAsia" w:ascii="Arial" w:hAnsi="Arial" w:eastAsia="宋体" w:cs="Arial"/>
          <w:szCs w:val="21"/>
          <w:shd w:val="clear" w:color="auto" w:fill="FFFFFF"/>
        </w:rPr>
        <w:t>是指市政府设立的，组织实施采购项目，并对采购活动提供服务的专门机构；</w:t>
      </w:r>
      <w:r>
        <w:rPr>
          <w:rFonts w:hint="eastAsia" w:ascii="宋体" w:hAnsi="宋体" w:eastAsia="宋体" w:cs="Times New Roman"/>
          <w:szCs w:val="21"/>
        </w:rPr>
        <w:t>本文件所述的“政府集中采购机构”</w:t>
      </w:r>
      <w:r>
        <w:rPr>
          <w:rFonts w:ascii="宋体" w:hAnsi="宋体" w:eastAsia="宋体" w:cs="Times New Roman"/>
          <w:szCs w:val="21"/>
        </w:rPr>
        <w:t>指</w:t>
      </w:r>
      <w:r>
        <w:rPr>
          <w:rFonts w:hint="eastAsia" w:ascii="宋体" w:hAnsi="宋体" w:eastAsia="宋体" w:cs="Times New Roman"/>
          <w:b/>
          <w:bCs/>
          <w:szCs w:val="21"/>
        </w:rPr>
        <w:t>深圳公共资源交易中心</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eastAsia="宋体" w:cs="Times New Roman"/>
          <w:szCs w:val="21"/>
        </w:rPr>
      </w:pPr>
      <w:r>
        <w:rPr>
          <w:rFonts w:hint="eastAsia" w:ascii="宋体" w:hAnsi="宋体" w:eastAsia="宋体" w:cs="Times New Roman"/>
          <w:szCs w:val="21"/>
        </w:rPr>
        <w:t>3.4“评审委员会”是</w:t>
      </w:r>
      <w:r>
        <w:rPr>
          <w:rFonts w:hint="eastAsia" w:ascii="宋体" w:hAnsi="宋体" w:eastAsia="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《深圳经济特区政府采购条例》、《深圳经济特区政府采购条例实施细则》等有关规定组建的专门负责本次招标其评审工作的临时性机构；</w:t>
      </w:r>
    </w:p>
    <w:p>
      <w:pPr>
        <w:ind w:firstLine="411" w:firstLineChars="196"/>
        <w:rPr>
          <w:rFonts w:ascii="宋体" w:hAnsi="宋体" w:eastAsia="宋体" w:cs="Times New Roman"/>
          <w:szCs w:val="21"/>
        </w:rPr>
      </w:pPr>
      <w:r>
        <w:rPr>
          <w:rFonts w:hint="eastAsia" w:ascii="宋体" w:hAnsi="宋体" w:eastAsia="宋体" w:cs="Times New Roman"/>
          <w:szCs w:val="21"/>
        </w:rPr>
        <w:t>3.5“日期”</w:t>
      </w:r>
      <w:r>
        <w:rPr>
          <w:rFonts w:ascii="宋体" w:hAnsi="宋体" w:eastAsia="宋体" w:cs="Times New Roman"/>
          <w:szCs w:val="21"/>
        </w:rPr>
        <w:t>指</w:t>
      </w:r>
      <w:r>
        <w:rPr>
          <w:rFonts w:hint="eastAsia" w:ascii="宋体" w:hAnsi="宋体" w:eastAsia="宋体" w:cs="Times New Roman"/>
          <w:szCs w:val="21"/>
        </w:rPr>
        <w:t>公历日；</w:t>
      </w:r>
    </w:p>
    <w:p>
      <w:pPr>
        <w:ind w:firstLine="411" w:firstLineChars="196"/>
        <w:rPr>
          <w:rFonts w:ascii="宋体" w:hAnsi="宋体" w:eastAsia="宋体" w:cs="Times New Roman"/>
          <w:szCs w:val="21"/>
        </w:rPr>
      </w:pPr>
      <w:r>
        <w:rPr>
          <w:rFonts w:hint="eastAsia" w:ascii="宋体" w:hAnsi="宋体" w:eastAsia="宋体" w:cs="Times New Roman"/>
          <w:szCs w:val="21"/>
        </w:rPr>
        <w:t>3.6“合同”指由本次招标所产生的合同或合约文件；</w:t>
      </w:r>
    </w:p>
    <w:p>
      <w:pPr>
        <w:ind w:firstLine="411" w:firstLineChars="196"/>
        <w:rPr>
          <w:rFonts w:ascii="宋体" w:hAnsi="宋体" w:eastAsia="宋体" w:cs="Times New Roman"/>
          <w:szCs w:val="21"/>
        </w:rPr>
      </w:pPr>
      <w:r>
        <w:rPr>
          <w:rFonts w:hint="eastAsia" w:ascii="宋体" w:hAnsi="宋体" w:eastAsia="宋体" w:cs="Times New Roman"/>
          <w:szCs w:val="21"/>
        </w:rPr>
        <w:t>3.7“电子投标文件”指利用</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pPr>
        <w:ind w:firstLine="411" w:firstLineChars="196"/>
        <w:rPr>
          <w:rFonts w:ascii="宋体" w:hAnsi="宋体" w:eastAsia="宋体" w:cs="Times New Roman"/>
          <w:szCs w:val="21"/>
        </w:rPr>
      </w:pPr>
      <w:r>
        <w:rPr>
          <w:rFonts w:hint="eastAsia" w:ascii="宋体" w:hAnsi="宋体" w:eastAsia="宋体" w:cs="Times New Roman"/>
          <w:szCs w:val="21"/>
        </w:rPr>
        <w:t>3.8“网上投标”指通过</w:t>
      </w:r>
      <w:r>
        <w:rPr>
          <w:rFonts w:hint="eastAsia" w:ascii="宋体" w:hAnsi="宋体"/>
          <w:b/>
          <w:bCs/>
          <w:color w:val="FF0000"/>
          <w:szCs w:val="21"/>
        </w:rPr>
        <w:t>深圳政府采购自行采购系统</w:t>
      </w:r>
      <w:r>
        <w:rPr>
          <w:rFonts w:hint="eastAsia" w:ascii="宋体" w:hAnsi="宋体" w:eastAsia="宋体" w:cs="Times New Roman"/>
          <w:szCs w:val="21"/>
        </w:rPr>
        <w:t>网站上传电子投标文件；</w:t>
      </w:r>
    </w:p>
    <w:p>
      <w:pPr>
        <w:ind w:firstLine="411" w:firstLineChars="196"/>
        <w:rPr>
          <w:rFonts w:ascii="宋体" w:hAnsi="宋体" w:eastAsia="宋体" w:cs="Times New Roman"/>
          <w:szCs w:val="21"/>
        </w:rPr>
      </w:pPr>
      <w:r>
        <w:rPr>
          <w:rFonts w:hint="eastAsia" w:ascii="宋体" w:hAnsi="宋体" w:eastAsia="宋体" w:cs="Times New Roman"/>
          <w:szCs w:val="21"/>
        </w:rPr>
        <w:t>3.9招标文件中的标题或题名仅起引导作用，而不应视为对招标文件内容的理解和解释。</w:t>
      </w:r>
    </w:p>
    <w:p>
      <w:pPr>
        <w:rPr>
          <w:rFonts w:ascii="黑体" w:hAnsi="宋体" w:eastAsia="黑体" w:cs="Times New Roman"/>
          <w:sz w:val="24"/>
        </w:rPr>
      </w:pPr>
      <w:r>
        <w:rPr>
          <w:rFonts w:hint="eastAsia" w:ascii="黑体" w:hAnsi="宋体" w:eastAsia="黑体" w:cs="Times New Roman"/>
          <w:sz w:val="24"/>
        </w:rPr>
        <w:t xml:space="preserve">4. </w:t>
      </w:r>
      <w:bookmarkStart w:id="88" w:name="_Hlk72398643"/>
      <w:r>
        <w:rPr>
          <w:rFonts w:hint="eastAsia" w:ascii="黑体" w:hAnsi="宋体" w:eastAsia="黑体" w:cs="Times New Roman"/>
          <w:sz w:val="24"/>
        </w:rPr>
        <w:t>采购供应商责任</w:t>
      </w:r>
    </w:p>
    <w:p>
      <w:pPr>
        <w:ind w:firstLine="411" w:firstLineChars="196"/>
        <w:rPr>
          <w:rFonts w:ascii="宋体" w:hAnsi="宋体" w:eastAsia="宋体" w:cs="Times New Roman"/>
          <w:szCs w:val="21"/>
        </w:rPr>
      </w:pPr>
      <w:r>
        <w:rPr>
          <w:rFonts w:hint="eastAsia" w:ascii="宋体" w:hAnsi="宋体" w:eastAsia="宋体" w:cs="Times New Roman"/>
          <w:szCs w:val="21"/>
        </w:rPr>
        <w:t>4.1欢迎诚信、有实力和有社会责任心的供应商参与</w:t>
      </w:r>
      <w:r>
        <w:rPr>
          <w:rFonts w:hint="eastAsia" w:ascii="宋体" w:hAnsi="宋体" w:cs="Times New Roman"/>
          <w:szCs w:val="21"/>
          <w:lang w:val="en-US" w:eastAsia="zh-CN"/>
        </w:rPr>
        <w:t>自行</w:t>
      </w:r>
      <w:r>
        <w:rPr>
          <w:rFonts w:hint="eastAsia" w:ascii="宋体" w:hAnsi="宋体" w:eastAsia="宋体" w:cs="Times New Roman"/>
          <w:szCs w:val="21"/>
        </w:rPr>
        <w:t>采购事业。</w:t>
      </w:r>
    </w:p>
    <w:p>
      <w:pPr>
        <w:ind w:firstLine="411" w:firstLineChars="196"/>
        <w:rPr>
          <w:rFonts w:ascii="宋体" w:hAnsi="宋体" w:eastAsia="宋体" w:cs="Times New Roman"/>
          <w:szCs w:val="21"/>
        </w:rPr>
      </w:pPr>
      <w:r>
        <w:rPr>
          <w:rFonts w:hint="eastAsia" w:ascii="宋体" w:hAnsi="宋体" w:eastAsia="宋体" w:cs="Times New Roman"/>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cs="Times New Roman"/>
          <w:sz w:val="24"/>
        </w:rPr>
      </w:pPr>
      <w:r>
        <w:rPr>
          <w:rFonts w:hint="eastAsia" w:ascii="黑体" w:hAnsi="宋体" w:eastAsia="黑体" w:cs="Times New Roman"/>
          <w:sz w:val="24"/>
        </w:rPr>
        <w:t>5．投标人参加</w:t>
      </w:r>
      <w:r>
        <w:rPr>
          <w:rFonts w:hint="eastAsia" w:ascii="黑体" w:hAnsi="宋体" w:eastAsia="黑体" w:cs="Times New Roman"/>
          <w:sz w:val="24"/>
          <w:lang w:val="en-US" w:eastAsia="zh-CN"/>
        </w:rPr>
        <w:t>自行</w:t>
      </w:r>
      <w:r>
        <w:rPr>
          <w:rFonts w:hint="eastAsia" w:ascii="黑体" w:hAnsi="宋体" w:eastAsia="黑体" w:cs="Times New Roman"/>
          <w:sz w:val="24"/>
        </w:rPr>
        <w:t>采购的条件</w:t>
      </w:r>
    </w:p>
    <w:p>
      <w:pPr>
        <w:ind w:firstLine="411" w:firstLineChars="196"/>
        <w:jc w:val="left"/>
        <w:rPr>
          <w:rFonts w:hint="eastAsia" w:ascii="宋体" w:hAnsi="宋体" w:eastAsia="宋体" w:cs="Times New Roman"/>
          <w:szCs w:val="21"/>
          <w:lang w:val="en-US" w:eastAsia="zh-CN"/>
        </w:rPr>
      </w:pPr>
      <w:r>
        <w:rPr>
          <w:rFonts w:hint="eastAsia" w:ascii="宋体" w:hAnsi="宋体" w:eastAsia="宋体" w:cs="Times New Roman"/>
          <w:szCs w:val="21"/>
        </w:rPr>
        <w:t>5.1投标人应在投标前到</w:t>
      </w:r>
      <w:r>
        <w:rPr>
          <w:rFonts w:hint="eastAsia" w:ascii="宋体" w:hAnsi="宋体" w:eastAsia="宋体" w:cs="Times New Roman"/>
          <w:b/>
          <w:bCs/>
          <w:szCs w:val="21"/>
        </w:rPr>
        <w:t>深圳公共资源交易中心（具体在深圳交易集团有限公司政府采购业务分公司进行办理）</w:t>
      </w:r>
      <w:r>
        <w:rPr>
          <w:rFonts w:hint="eastAsia" w:ascii="宋体" w:hAnsi="宋体" w:eastAsia="宋体" w:cs="Times New Roman"/>
          <w:szCs w:val="21"/>
        </w:rPr>
        <w:t>进行注册并办理电子密钥。</w:t>
      </w:r>
      <w:r>
        <w:rPr>
          <w:rFonts w:hint="eastAsia" w:ascii="宋体" w:hAnsi="宋体"/>
          <w:szCs w:val="21"/>
        </w:rPr>
        <w:t>《深圳政府采购自行采购系统用户操作指引（供应商）》详见www.szggzy.com网站“交易服务指南-政府采购-资料下载”</w:t>
      </w:r>
      <w:r>
        <w:rPr>
          <w:rFonts w:hint="eastAsia" w:ascii="宋体" w:hAnsi="宋体" w:eastAsia="宋体" w:cs="Times New Roman"/>
          <w:szCs w:val="21"/>
          <w:lang w:val="en-US" w:eastAsia="zh-CN"/>
        </w:rPr>
        <w:t>。</w:t>
      </w:r>
    </w:p>
    <w:p>
      <w:pPr>
        <w:ind w:firstLine="411" w:firstLineChars="196"/>
        <w:jc w:val="left"/>
        <w:rPr>
          <w:rFonts w:ascii="宋体" w:hAnsi="宋体" w:eastAsia="宋体" w:cs="Times New Roman"/>
          <w:szCs w:val="21"/>
        </w:rPr>
      </w:pPr>
      <w:r>
        <w:rPr>
          <w:rFonts w:hint="eastAsia" w:ascii="宋体" w:hAnsi="宋体" w:eastAsia="宋体" w:cs="Times New Roman"/>
          <w:szCs w:val="21"/>
        </w:rPr>
        <w:t>5.2投标人资格要求</w:t>
      </w:r>
    </w:p>
    <w:p>
      <w:pPr>
        <w:ind w:firstLine="411" w:firstLineChars="196"/>
        <w:rPr>
          <w:rFonts w:ascii="宋体" w:hAnsi="宋体" w:eastAsia="宋体" w:cs="Times New Roman"/>
          <w:szCs w:val="21"/>
        </w:rPr>
      </w:pPr>
      <w:r>
        <w:rPr>
          <w:rFonts w:hint="eastAsia" w:ascii="宋体" w:hAnsi="宋体" w:eastAsia="宋体" w:cs="Times New Roman"/>
          <w:szCs w:val="21"/>
        </w:rPr>
        <w:t>参加本项目的投标人应具备的资格条件详见本项目招标公告中“投标人资格要求”（即申请人的资格要求）的内容。</w:t>
      </w:r>
    </w:p>
    <w:p>
      <w:pPr>
        <w:ind w:firstLine="411" w:firstLineChars="196"/>
        <w:rPr>
          <w:rFonts w:ascii="宋体" w:hAnsi="宋体" w:eastAsia="宋体" w:cs="Times New Roman"/>
          <w:szCs w:val="21"/>
        </w:rPr>
      </w:pPr>
      <w:r>
        <w:rPr>
          <w:rFonts w:hint="eastAsia" w:ascii="宋体" w:hAnsi="宋体" w:eastAsia="宋体" w:cs="Times New Roman"/>
          <w:szCs w:val="21"/>
        </w:rPr>
        <w:t>5.3联合体投标</w:t>
      </w:r>
    </w:p>
    <w:p>
      <w:pPr>
        <w:ind w:firstLine="411" w:firstLineChars="196"/>
        <w:rPr>
          <w:rFonts w:ascii="宋体" w:hAnsi="宋体" w:eastAsia="宋体" w:cs="Times New Roman"/>
          <w:szCs w:val="21"/>
        </w:rPr>
      </w:pPr>
      <w:r>
        <w:rPr>
          <w:rFonts w:hint="eastAsia" w:ascii="宋体" w:hAnsi="宋体" w:eastAsia="宋体" w:cs="Times New Roman"/>
          <w:szCs w:val="21"/>
        </w:rPr>
        <w:t>5.3.1</w:t>
      </w:r>
      <w:r>
        <w:rPr>
          <w:rFonts w:hint="eastAsia" w:ascii="宋体" w:hAnsi="宋体" w:cs="Times New Roman"/>
          <w:szCs w:val="21"/>
          <w:lang w:val="en-US" w:eastAsia="zh-CN"/>
        </w:rPr>
        <w:t xml:space="preserve"> </w:t>
      </w:r>
      <w:r>
        <w:rPr>
          <w:rFonts w:hint="eastAsia" w:ascii="宋体" w:hAnsi="宋体" w:eastAsia="宋体" w:cs="Times New Roman"/>
          <w:szCs w:val="21"/>
        </w:rPr>
        <w:t>以下有关联合体投标的条款仅适用于允许投标人组成联合体投标的项目。</w:t>
      </w:r>
    </w:p>
    <w:p>
      <w:pPr>
        <w:ind w:firstLine="411" w:firstLineChars="196"/>
        <w:rPr>
          <w:rFonts w:ascii="宋体" w:hAnsi="宋体" w:eastAsia="宋体" w:cs="Times New Roman"/>
          <w:szCs w:val="21"/>
        </w:rPr>
      </w:pPr>
      <w:r>
        <w:rPr>
          <w:rFonts w:hint="eastAsia" w:ascii="宋体" w:hAnsi="宋体" w:eastAsia="宋体" w:cs="Times New Roman"/>
          <w:szCs w:val="21"/>
        </w:rPr>
        <w:t>5.3.2 由两个或两个以上的自然人、法人或者其他组织可以组成一个联合体，以一个供应商的身份共同投标时，应符合以下原则：</w:t>
      </w:r>
    </w:p>
    <w:p>
      <w:pPr>
        <w:ind w:firstLine="411" w:firstLineChars="196"/>
        <w:rPr>
          <w:rFonts w:ascii="宋体" w:hAnsi="宋体" w:eastAsia="宋体" w:cs="Times New Roman"/>
        </w:rPr>
      </w:pPr>
      <w:r>
        <w:rPr>
          <w:rFonts w:hint="eastAsia" w:ascii="宋体" w:hAnsi="宋体" w:eastAsia="宋体" w:cs="Times New Roman"/>
        </w:rPr>
        <w:t>（1）投标联合体各方参加采购活动应当具备下列条件：</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1、具有独立承担民事责任的能力；</w:t>
      </w:r>
      <w:r>
        <w:rPr>
          <w:rFonts w:ascii="宋体" w:hAnsi="宋体" w:eastAsia="宋体" w:cs="Times New Roman"/>
        </w:rPr>
        <w:t xml:space="preserve"> </w:t>
      </w:r>
    </w:p>
    <w:p>
      <w:pPr>
        <w:ind w:left="420" w:firstLine="411" w:firstLineChars="196"/>
        <w:rPr>
          <w:rFonts w:ascii="宋体" w:hAnsi="宋体" w:eastAsia="宋体" w:cs="Times New Roman"/>
        </w:rPr>
      </w:pPr>
      <w:r>
        <w:rPr>
          <w:rFonts w:hint="eastAsia" w:ascii="宋体" w:hAnsi="宋体" w:eastAsia="宋体" w:cs="Times New Roman"/>
        </w:rPr>
        <w:t>2、有良好的商业信誉和健全的财务会计制度；</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3、具有履行合同所必需的设备和专业技术能力；</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4、有依法缴纳税收和社会保障资金的良好记录；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5、参加采购活动前三年内，在经营活动中没有重大违法记录；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6、法律、行政法规规定的其他条件。</w:t>
      </w:r>
      <w:r>
        <w:rPr>
          <w:rFonts w:ascii="宋体" w:hAnsi="宋体" w:eastAsia="宋体" w:cs="Times New Roman"/>
        </w:rPr>
        <w:t xml:space="preserve"> </w:t>
      </w:r>
    </w:p>
    <w:p>
      <w:pPr>
        <w:ind w:firstLine="411" w:firstLineChars="196"/>
        <w:rPr>
          <w:rFonts w:ascii="宋体" w:hAnsi="宋体" w:eastAsia="宋体" w:cs="Times New Roman"/>
        </w:rPr>
      </w:pPr>
      <w:r>
        <w:rPr>
          <w:rFonts w:hint="eastAsia" w:ascii="宋体" w:hAnsi="宋体" w:eastAsia="宋体" w:cs="Times New Roman"/>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（3）联合体中有同类资质的供应商按照联合体分工承担相同工作的，应当按照资质等级较低的供应商确定资质等级；</w:t>
      </w:r>
    </w:p>
    <w:p>
      <w:pPr>
        <w:ind w:firstLine="411" w:firstLineChars="196"/>
        <w:rPr>
          <w:rFonts w:ascii="Times New Roman" w:hAnsi="Times New Roman" w:eastAsia="宋体" w:cs="Times New Roman"/>
        </w:rPr>
      </w:pPr>
      <w:r>
        <w:rPr>
          <w:rFonts w:hint="eastAsia" w:ascii="Times New Roman" w:hAnsi="Times New Roman" w:eastAsia="宋体" w:cs="Times New Roman"/>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eastAsia="宋体" w:cs="Times New Roman"/>
        </w:rPr>
      </w:pPr>
      <w:r>
        <w:rPr>
          <w:rFonts w:hint="eastAsia" w:ascii="宋体" w:hAnsi="宋体" w:eastAsia="宋体" w:cs="Times New Roman"/>
        </w:rPr>
        <w:t>（5）投标人的投标文件及中标后签署的合同协议对联合体各方均具法律约束力；</w:t>
      </w:r>
    </w:p>
    <w:p>
      <w:pPr>
        <w:ind w:firstLine="411" w:firstLineChars="196"/>
        <w:rPr>
          <w:rFonts w:ascii="宋体" w:hAnsi="宋体" w:eastAsia="宋体" w:cs="Times New Roman"/>
        </w:rPr>
      </w:pPr>
      <w:r>
        <w:rPr>
          <w:rFonts w:hint="eastAsia" w:ascii="宋体" w:hAnsi="宋体" w:eastAsia="宋体" w:cs="Times New Roman"/>
        </w:rPr>
        <w:t>（6）联合体各方应当签订联合体投标协议，明确约定各方拟承担的工作和责任，并将该协议随投标文件一并递交给政府集中采购机构；</w:t>
      </w:r>
    </w:p>
    <w:p>
      <w:pPr>
        <w:ind w:firstLine="411" w:firstLineChars="196"/>
        <w:rPr>
          <w:rFonts w:ascii="宋体" w:hAnsi="宋体" w:eastAsia="宋体" w:cs="Times New Roman"/>
        </w:rPr>
      </w:pPr>
      <w:r>
        <w:rPr>
          <w:rFonts w:hint="eastAsia" w:ascii="宋体" w:hAnsi="宋体" w:eastAsia="宋体" w:cs="Times New Roman"/>
        </w:rPr>
        <w:t>（7）联合体中标后，联合体各方应当共同与采购人签订合同，就中标项目向采购人承担连带责任；</w:t>
      </w:r>
    </w:p>
    <w:p>
      <w:pPr>
        <w:ind w:firstLine="411" w:firstLineChars="196"/>
        <w:rPr>
          <w:rFonts w:ascii="宋体" w:hAnsi="宋体" w:eastAsia="宋体" w:cs="Times New Roman"/>
        </w:rPr>
      </w:pPr>
      <w:r>
        <w:rPr>
          <w:rFonts w:hint="eastAsia" w:ascii="宋体" w:hAnsi="宋体" w:eastAsia="宋体" w:cs="Times New Roman"/>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11" w:firstLineChars="196"/>
        <w:rPr>
          <w:rFonts w:ascii="宋体" w:hAnsi="宋体" w:eastAsia="宋体" w:cs="Times New Roman"/>
          <w:szCs w:val="21"/>
        </w:rPr>
      </w:pPr>
      <w:r>
        <w:rPr>
          <w:rFonts w:hint="eastAsia" w:ascii="宋体" w:hAnsi="宋体" w:eastAsia="宋体" w:cs="Times New Roman"/>
        </w:rPr>
        <w:t>（9）本通用条款中“投标人”一词亦指联合体各方，专用条款另有规定或说明的除外。</w:t>
      </w:r>
    </w:p>
    <w:p>
      <w:pPr>
        <w:rPr>
          <w:rFonts w:ascii="黑体" w:hAnsi="宋体" w:eastAsia="黑体" w:cs="Times New Roman"/>
          <w:sz w:val="24"/>
        </w:rPr>
      </w:pPr>
      <w:r>
        <w:rPr>
          <w:rFonts w:hint="eastAsia" w:ascii="黑体" w:hAnsi="宋体" w:eastAsia="黑体" w:cs="Times New Roman"/>
          <w:sz w:val="24"/>
        </w:rPr>
        <w:t>6．政策导向</w:t>
      </w:r>
    </w:p>
    <w:p>
      <w:pPr>
        <w:ind w:firstLine="411" w:firstLineChars="196"/>
        <w:rPr>
          <w:rFonts w:ascii="宋体" w:hAnsi="宋体" w:eastAsia="宋体" w:cs="Times New Roman"/>
        </w:rPr>
      </w:pPr>
      <w:r>
        <w:rPr>
          <w:rFonts w:hint="eastAsia" w:ascii="宋体" w:hAnsi="宋体" w:eastAsia="宋体" w:cs="Times New Roman"/>
        </w:rPr>
        <w:t>6.1</w:t>
      </w:r>
      <w:r>
        <w:rPr>
          <w:rFonts w:ascii="宋体" w:hAnsi="宋体" w:eastAsia="宋体" w:cs="Times New Roman"/>
        </w:rPr>
        <w:t xml:space="preserve">  </w:t>
      </w:r>
      <w:r>
        <w:rPr>
          <w:rFonts w:hint="eastAsia" w:ascii="宋体" w:hAnsi="宋体" w:eastAsia="宋体" w:cs="Times New Roman"/>
        </w:rPr>
        <w:t>采购支持本国产品、支持中小企业、监狱企业和残疾人福利性单位发展，支持乡村产业振兴，支持创新、节能减排、绿色环保等。</w:t>
      </w:r>
    </w:p>
    <w:p>
      <w:pPr>
        <w:ind w:firstLine="405"/>
        <w:rPr>
          <w:rFonts w:hint="eastAsia" w:ascii="宋体" w:hAnsi="宋体" w:eastAsia="宋体" w:cs="Times New Roman"/>
        </w:rPr>
      </w:pPr>
      <w:r>
        <w:rPr>
          <w:rFonts w:hint="eastAsia" w:ascii="宋体" w:hAnsi="宋体" w:eastAsia="宋体" w:cs="Times New Roman"/>
        </w:rPr>
        <w:t>6.2</w:t>
      </w:r>
      <w:r>
        <w:rPr>
          <w:rFonts w:ascii="宋体" w:hAnsi="宋体" w:eastAsia="宋体" w:cs="Times New Roman"/>
        </w:rPr>
        <w:t xml:space="preserve">  </w:t>
      </w:r>
      <w:r>
        <w:rPr>
          <w:rFonts w:hint="eastAsia" w:ascii="宋体" w:hAnsi="宋体" w:eastAsia="宋体" w:cs="Times New Roman"/>
        </w:rPr>
        <w:t>本项目落实深圳市政府采购供应商诚信管理政策要求。</w:t>
      </w:r>
    </w:p>
    <w:p>
      <w:pPr>
        <w:ind w:firstLine="405"/>
        <w:rPr>
          <w:rFonts w:hint="default" w:ascii="Times New Roman" w:hAnsi="Times New Roman" w:eastAsia="宋体" w:cs="Times New Roman"/>
          <w:lang w:val="en-US" w:eastAsia="zh-CN"/>
        </w:rPr>
      </w:pPr>
      <w:r>
        <w:rPr>
          <w:rFonts w:hint="eastAsia" w:ascii="宋体" w:hAnsi="宋体" w:eastAsia="宋体" w:cs="Times New Roman"/>
          <w:lang w:val="en-US" w:eastAsia="zh-CN"/>
        </w:rPr>
        <w:t>6.3  本项目支持投标人性别平等的相关政策。</w:t>
      </w:r>
    </w:p>
    <w:p>
      <w:pPr>
        <w:rPr>
          <w:rFonts w:ascii="黑体" w:hAnsi="宋体" w:eastAsia="黑体" w:cs="Times New Roman"/>
          <w:sz w:val="24"/>
        </w:rPr>
      </w:pPr>
      <w:r>
        <w:rPr>
          <w:rFonts w:hint="eastAsia" w:ascii="黑体" w:hAnsi="宋体" w:eastAsia="黑体" w:cs="Times New Roman"/>
          <w:sz w:val="24"/>
        </w:rPr>
        <w:t>7. 本项目若涉及采购货物，则合格的货物及相应服务应满足以下要求：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 xml:space="preserve">.1  </w:t>
      </w:r>
      <w:r>
        <w:rPr>
          <w:rFonts w:hint="eastAsia" w:ascii="宋体" w:hAnsi="宋体" w:eastAsia="宋体" w:cs="Times New Roman"/>
        </w:rPr>
        <w:t>必须是全新、未使用过的原装合格正品（包括零部件），如安装或配置了软件的，须为正版软件。</w:t>
      </w:r>
    </w:p>
    <w:p>
      <w:pPr>
        <w:ind w:firstLine="411" w:firstLineChars="196"/>
        <w:rPr>
          <w:rFonts w:ascii="宋体" w:hAnsi="宋体" w:eastAsia="宋体" w:cs="Times New Roman"/>
        </w:rPr>
      </w:pPr>
      <w:r>
        <w:rPr>
          <w:rFonts w:hint="eastAsia" w:ascii="宋体" w:hAnsi="宋体" w:eastAsia="宋体" w:cs="Times New Roman"/>
        </w:rPr>
        <w:t>7.2  国产的货物及其有关服务必须符合中华人民共和国的设计、制造生产标准及行业标准。招标公告有其他要求的，亦应符合其要求。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投标人</w:t>
      </w:r>
      <w:bookmarkStart w:id="89" w:name="_Hlk72152753"/>
      <w:r>
        <w:rPr>
          <w:rFonts w:hint="eastAsia" w:ascii="宋体" w:hAnsi="宋体" w:eastAsia="宋体" w:cs="Times New Roma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9"/>
    </w:p>
    <w:p>
      <w:pPr>
        <w:ind w:firstLine="411" w:firstLineChars="196"/>
        <w:rPr>
          <w:rFonts w:ascii="宋体" w:hAnsi="宋体" w:eastAsia="宋体" w:cs="Times New Roman"/>
        </w:rPr>
      </w:pPr>
      <w:r>
        <w:rPr>
          <w:rFonts w:hint="eastAsia" w:ascii="宋体" w:hAnsi="宋体" w:eastAsia="宋体" w:cs="Times New Roma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eastAsia="宋体" w:cs="Times New Roman"/>
        </w:rPr>
      </w:pPr>
      <w:r>
        <w:rPr>
          <w:rFonts w:hint="eastAsia" w:ascii="宋体" w:hAnsi="宋体" w:eastAsia="宋体" w:cs="Times New Roman"/>
        </w:rPr>
        <w:t>7.6  工期要求：投标人在投标时对其所投项目应提交交货进度、交货计划等，在合同规定的时间内完成项目实施工作。</w:t>
      </w:r>
    </w:p>
    <w:p>
      <w:pPr>
        <w:ind w:firstLine="411" w:firstLineChars="196"/>
        <w:rPr>
          <w:rFonts w:ascii="宋体" w:hAnsi="宋体" w:eastAsia="宋体" w:cs="Times New Roman"/>
        </w:rPr>
      </w:pPr>
      <w:r>
        <w:rPr>
          <w:rFonts w:hint="eastAsia" w:ascii="宋体" w:hAnsi="宋体" w:eastAsia="宋体" w:cs="Times New Roman"/>
        </w:rPr>
        <w:t>7.7  投标人必须承担的设备运输、安装调试、验收检测和提供设备操作说明书、图纸等其他相关及类似的义务。</w:t>
      </w:r>
    </w:p>
    <w:p>
      <w:pPr>
        <w:rPr>
          <w:rFonts w:ascii="黑体" w:hAnsi="宋体" w:eastAsia="黑体" w:cs="Times New Roman"/>
          <w:sz w:val="24"/>
        </w:rPr>
      </w:pPr>
      <w:r>
        <w:rPr>
          <w:rFonts w:hint="eastAsia" w:ascii="黑体" w:hAnsi="宋体" w:eastAsia="黑体" w:cs="Times New Roman"/>
          <w:sz w:val="24"/>
        </w:rPr>
        <w:t>8．投标费用</w:t>
      </w:r>
    </w:p>
    <w:p>
      <w:pPr>
        <w:ind w:firstLine="411" w:firstLineChars="196"/>
        <w:rPr>
          <w:rFonts w:ascii="宋体" w:hAnsi="宋体" w:eastAsia="宋体" w:cs="Times New Roman"/>
          <w:szCs w:val="21"/>
        </w:rPr>
      </w:pPr>
      <w:r>
        <w:rPr>
          <w:rFonts w:hint="eastAsia" w:ascii="宋体" w:hAnsi="宋体" w:eastAsia="宋体" w:cs="Times New Roman"/>
          <w:szCs w:val="21"/>
        </w:rPr>
        <w:t>不论投标结果如何，投标人应承担其编制投标文件与递交投标文件所涉及的一切费用。</w:t>
      </w:r>
    </w:p>
    <w:p>
      <w:pPr>
        <w:rPr>
          <w:rFonts w:ascii="黑体" w:hAnsi="宋体" w:eastAsia="黑体" w:cs="Times New Roman"/>
          <w:sz w:val="24"/>
        </w:rPr>
      </w:pPr>
      <w:r>
        <w:rPr>
          <w:rFonts w:hint="eastAsia" w:ascii="黑体" w:hAnsi="宋体" w:eastAsia="黑体" w:cs="Times New Roman"/>
          <w:sz w:val="24"/>
        </w:rPr>
        <w:t>9．踏勘现场</w:t>
      </w:r>
    </w:p>
    <w:p>
      <w:pPr>
        <w:ind w:firstLine="411" w:firstLineChars="196"/>
        <w:rPr>
          <w:rFonts w:ascii="宋体" w:hAnsi="宋体" w:eastAsia="宋体" w:cs="Times New Roman"/>
          <w:szCs w:val="21"/>
        </w:rPr>
      </w:pPr>
      <w:r>
        <w:rPr>
          <w:rFonts w:hint="eastAsia" w:ascii="宋体" w:hAnsi="宋体" w:eastAsia="宋体" w:cs="Times New Roman"/>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eastAsia="宋体" w:cs="Times New Roman"/>
        </w:rPr>
      </w:pPr>
      <w:r>
        <w:rPr>
          <w:rFonts w:hint="eastAsia" w:ascii="宋体" w:hAnsi="宋体" w:eastAsia="宋体" w:cs="Times New Roman"/>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eastAsia="宋体" w:cs="Times New Roman"/>
        </w:rPr>
      </w:pPr>
      <w:r>
        <w:rPr>
          <w:rFonts w:hint="eastAsia" w:ascii="宋体" w:hAnsi="宋体" w:eastAsia="宋体" w:cs="Times New Roman"/>
        </w:rPr>
        <w:t>9.3采购人应当通过政府集中采购机构向投标人提供有关现场的书面资料和数据。</w:t>
      </w:r>
    </w:p>
    <w:p>
      <w:pPr>
        <w:ind w:firstLine="411" w:firstLineChars="196"/>
        <w:rPr>
          <w:rFonts w:ascii="宋体" w:hAnsi="宋体" w:eastAsia="宋体" w:cs="Times New Roman"/>
        </w:rPr>
      </w:pPr>
      <w:r>
        <w:rPr>
          <w:rFonts w:hint="eastAsia" w:ascii="宋体" w:hAnsi="宋体" w:eastAsia="宋体" w:cs="Times New Roman"/>
        </w:rPr>
        <w:t>9.4任何人或任何组织在踏勘现场时向投标人提供的任何书面资料或口头承诺，未经政府集中采购机构在网上发布或书面通知，均作无效处理。</w:t>
      </w:r>
    </w:p>
    <w:p>
      <w:pPr>
        <w:ind w:firstLine="411" w:firstLineChars="196"/>
        <w:rPr>
          <w:rFonts w:ascii="宋体" w:hAnsi="宋体" w:eastAsia="宋体" w:cs="Times New Roman"/>
        </w:rPr>
      </w:pPr>
      <w:r>
        <w:rPr>
          <w:rFonts w:ascii="宋体" w:hAnsi="宋体" w:eastAsia="宋体" w:cs="Times New Roman"/>
          <w:szCs w:val="21"/>
        </w:rPr>
        <w:t>9</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未参与踏勘现场不作为否定投标人资格的理由。</w:t>
      </w:r>
    </w:p>
    <w:p>
      <w:pPr>
        <w:rPr>
          <w:rFonts w:ascii="宋体" w:hAnsi="宋体" w:eastAsia="宋体" w:cs="Times New Roman"/>
          <w:szCs w:val="21"/>
        </w:rPr>
      </w:pPr>
      <w:r>
        <w:rPr>
          <w:rFonts w:hint="eastAsia" w:ascii="黑体" w:hAnsi="宋体" w:eastAsia="黑体" w:cs="Times New Roman"/>
          <w:sz w:val="24"/>
        </w:rPr>
        <w:t>1</w:t>
      </w:r>
      <w:r>
        <w:rPr>
          <w:rFonts w:ascii="黑体" w:hAnsi="宋体" w:eastAsia="黑体" w:cs="Times New Roman"/>
          <w:sz w:val="24"/>
        </w:rPr>
        <w:t>0</w:t>
      </w:r>
      <w:r>
        <w:rPr>
          <w:rFonts w:hint="eastAsia" w:ascii="黑体" w:hAnsi="宋体" w:eastAsia="黑体" w:cs="Times New Roman"/>
          <w:sz w:val="24"/>
        </w:rPr>
        <w:t>．标前会议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如采购人或政府集中采购机构认为有必要组织标前会议，投标人应按照招标文件规定的时间或政府集中采购机构另行书面通知（包括网站发布方式，如更正公告等）的时间和地点，参与标前会议。</w:t>
      </w:r>
    </w:p>
    <w:p>
      <w:pPr>
        <w:ind w:firstLine="411" w:firstLineChars="196"/>
        <w:rPr>
          <w:rFonts w:ascii="宋体" w:hAnsi="宋体" w:eastAsia="宋体" w:cs="Times New Roman"/>
          <w:szCs w:val="21"/>
        </w:rPr>
      </w:pPr>
      <w:r>
        <w:rPr>
          <w:rFonts w:ascii="宋体" w:hAnsi="宋体" w:eastAsia="宋体" w:cs="Times New Roman"/>
        </w:rPr>
        <w:t>10</w:t>
      </w:r>
      <w:r>
        <w:rPr>
          <w:rFonts w:hint="eastAsia" w:ascii="宋体" w:hAnsi="宋体" w:eastAsia="宋体" w:cs="Times New Roman"/>
        </w:rPr>
        <w:t>.</w:t>
      </w:r>
      <w:r>
        <w:rPr>
          <w:rFonts w:ascii="宋体" w:hAnsi="宋体" w:eastAsia="宋体" w:cs="Times New Roman"/>
        </w:rPr>
        <w:t>2</w:t>
      </w:r>
      <w:r>
        <w:rPr>
          <w:rFonts w:hint="eastAsia" w:ascii="宋体" w:hAnsi="宋体" w:eastAsia="宋体" w:cs="Times New Roman"/>
        </w:rPr>
        <w:t>任何人或任何组织在标前会议时向投标人提供的任何书面资料或口头承诺，未经政府集中采购机构在网上发布或书面通知，均作无效处理。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未参与标前会议不作为否定投标人资格的理由。</w:t>
      </w:r>
    </w:p>
    <w:bookmarkEnd w:id="88"/>
    <w:p>
      <w:pPr>
        <w:ind w:firstLine="411" w:firstLineChars="196"/>
        <w:rPr>
          <w:rFonts w:ascii="宋体" w:hAnsi="宋体" w:eastAsia="宋体" w:cs="Times New Roman"/>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招标文件</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1</w:t>
      </w:r>
      <w:r>
        <w:rPr>
          <w:rFonts w:hint="eastAsia" w:ascii="黑体" w:hAnsi="宋体" w:eastAsia="黑体" w:cs="Times New Roman"/>
          <w:sz w:val="24"/>
        </w:rPr>
        <w:t>．</w:t>
      </w:r>
      <w:bookmarkStart w:id="90" w:name="_Hlk72399819"/>
      <w:r>
        <w:rPr>
          <w:rFonts w:hint="eastAsia" w:ascii="黑体" w:hAnsi="宋体" w:eastAsia="黑体" w:cs="Times New Roman"/>
          <w:sz w:val="24"/>
        </w:rPr>
        <w:t>招标文件的编制与组成</w:t>
      </w:r>
    </w:p>
    <w:p>
      <w:pPr>
        <w:snapToGrid w:val="0"/>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eastAsia="宋体" w:cs="Times New Roman"/>
          <w:szCs w:val="21"/>
        </w:rPr>
      </w:pPr>
      <w:r>
        <w:rPr>
          <w:rFonts w:hint="eastAsia" w:ascii="宋体" w:hAnsi="宋体" w:eastAsia="宋体" w:cs="Times New Roman"/>
          <w:szCs w:val="21"/>
        </w:rPr>
        <w:t>招标文件包括下列内容：</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第一册  专用条款</w:t>
      </w:r>
    </w:p>
    <w:p>
      <w:pPr>
        <w:ind w:left="1079" w:leftChars="514"/>
        <w:rPr>
          <w:rFonts w:ascii="宋体" w:hAnsi="宋体" w:eastAsia="宋体" w:cs="Times New Roman"/>
          <w:b/>
          <w:szCs w:val="21"/>
        </w:rPr>
      </w:pPr>
      <w:r>
        <w:rPr>
          <w:rFonts w:hint="eastAsia" w:ascii="宋体" w:hAnsi="宋体" w:eastAsia="宋体" w:cs="Times New Roman"/>
          <w:b/>
          <w:szCs w:val="21"/>
        </w:rPr>
        <w:t>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招标公告</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对通用条款的补充内容及其他关键信息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用户需求书</w:t>
      </w:r>
    </w:p>
    <w:p>
      <w:pPr>
        <w:ind w:left="630" w:leftChars="300" w:firstLine="411" w:firstLineChars="196"/>
        <w:rPr>
          <w:rFonts w:ascii="宋体" w:hAnsi="宋体" w:eastAsia="宋体" w:cs="Times New Roman"/>
          <w:szCs w:val="21"/>
        </w:rPr>
      </w:pPr>
      <w:r>
        <w:rPr>
          <w:rFonts w:hint="eastAsia" w:ascii="Times New Roman" w:hAnsi="Times New Roman" w:eastAsia="宋体" w:cs="Times New Roman"/>
        </w:rPr>
        <w:t xml:space="preserve">第四章 </w:t>
      </w:r>
      <w:r>
        <w:rPr>
          <w:rFonts w:ascii="Times New Roman" w:hAnsi="Times New Roman" w:eastAsia="宋体" w:cs="Times New Roman"/>
        </w:rPr>
        <w:t xml:space="preserve"> </w:t>
      </w:r>
      <w:r>
        <w:rPr>
          <w:rFonts w:hint="eastAsia" w:ascii="Times New Roman" w:hAnsi="Times New Roman" w:eastAsia="宋体" w:cs="Times New Roman"/>
        </w:rPr>
        <w:t>投标文件格式及附件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合同条款及格式</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第二册  通用条款</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总则</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招标文件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投标文件的编制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第四章  投标文件的递交</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开标</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第六章  评审要求</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第七章  评审程序及评审方法</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第八章  定标及公示</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第九章  公开招标失败的后续处理</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第十章  合同的授予与备案</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第十一章  质疑处理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eastAsia="宋体" w:cs="Times New Roman"/>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.3</w:t>
      </w:r>
      <w:r>
        <w:rPr>
          <w:rFonts w:hint="eastAsia" w:ascii="宋体" w:hAnsi="宋体" w:eastAsia="宋体" w:cs="Times New Roma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11" w:firstLineChars="196"/>
        <w:rPr>
          <w:rFonts w:hint="eastAsia" w:ascii="宋体" w:hAnsi="宋体" w:eastAsia="宋体" w:cs="Times New Roman"/>
        </w:rPr>
      </w:pPr>
      <w:r>
        <w:rPr>
          <w:rFonts w:hint="eastAsia" w:ascii="宋体" w:hAnsi="宋体" w:eastAsia="宋体" w:cs="Times New Roman"/>
        </w:rPr>
        <w:t>11.4招标文件所称“原件备查”，是指在项目产生质疑、投诉等阶段，主管部门、采购人、代理机构、评审委员会等可以要求供应商提供原件进行核查。</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2</w:t>
      </w:r>
      <w:r>
        <w:rPr>
          <w:rFonts w:hint="eastAsia" w:ascii="黑体" w:hAnsi="宋体" w:eastAsia="黑体" w:cs="Times New Roman"/>
          <w:sz w:val="24"/>
        </w:rPr>
        <w:t>．招标文件的澄清</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.1招标文件澄清的目的是澄清、解答投标人在查阅招标文件后或现场踏勘中可能提出的与投标有关的疑问或询问。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.2投标人如对招标文件内容有疑问，应当在招标公告规定的澄清（提问）截止时间前以网上提问的形式通过网上</w:t>
      </w:r>
      <w:r>
        <w:rPr>
          <w:rFonts w:hint="eastAsia" w:ascii="宋体" w:hAnsi="宋体" w:cs="Times New Roman"/>
          <w:szCs w:val="21"/>
          <w:lang w:val="en-US" w:eastAsia="zh-CN"/>
        </w:rPr>
        <w:t>自行</w:t>
      </w:r>
      <w:r>
        <w:rPr>
          <w:rFonts w:hint="eastAsia" w:ascii="宋体" w:hAnsi="宋体" w:eastAsia="宋体" w:cs="Times New Roman"/>
          <w:szCs w:val="21"/>
        </w:rPr>
        <w:t>采购系统提交政府集中采购机构。</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eastAsia="宋体" w:cs="Times New Roman"/>
          <w:szCs w:val="21"/>
        </w:rPr>
        <w:t>3.3</w:t>
      </w:r>
      <w:r>
        <w:rPr>
          <w:rFonts w:hint="eastAsia" w:ascii="宋体" w:hAnsi="宋体" w:eastAsia="宋体" w:cs="Times New Roman"/>
          <w:szCs w:val="21"/>
        </w:rPr>
        <w:t>、1</w:t>
      </w:r>
      <w:r>
        <w:rPr>
          <w:rFonts w:ascii="宋体" w:hAnsi="宋体" w:eastAsia="宋体" w:cs="Times New Roman"/>
          <w:szCs w:val="21"/>
        </w:rPr>
        <w:t>3.4</w:t>
      </w:r>
      <w:r>
        <w:rPr>
          <w:rFonts w:hint="eastAsia" w:ascii="宋体" w:hAnsi="宋体" w:eastAsia="宋体" w:cs="Times New Roman"/>
          <w:szCs w:val="21"/>
        </w:rPr>
        <w:t>款规定执行。</w:t>
      </w:r>
    </w:p>
    <w:p>
      <w:pPr>
        <w:rPr>
          <w:rFonts w:ascii="黑体" w:hAnsi="宋体" w:eastAsia="黑体" w:cs="Times New Roman"/>
          <w:sz w:val="24"/>
        </w:rPr>
      </w:pPr>
      <w:r>
        <w:rPr>
          <w:rFonts w:ascii="黑体" w:hAnsi="宋体" w:eastAsia="黑体" w:cs="Times New Roman"/>
          <w:sz w:val="24"/>
        </w:rPr>
        <w:t>1</w:t>
      </w:r>
      <w:r>
        <w:rPr>
          <w:rFonts w:hint="eastAsia" w:ascii="黑体" w:hAnsi="宋体" w:eastAsia="黑体" w:cs="Times New Roman"/>
          <w:sz w:val="24"/>
        </w:rPr>
        <w:t>3．招标文件的修改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3.2招标文件的修改以书面形式（包括网站发布方式，如更正公告等）发送给所有投标人，招标文件的修改内容作为招标文件的组成部分，并具有约束力。</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0"/>
    </w:p>
    <w:p>
      <w:pPr>
        <w:rPr>
          <w:rFonts w:ascii="宋体" w:hAnsi="宋体" w:eastAsia="宋体" w:cs="Times New Roman"/>
          <w:szCs w:val="21"/>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投标文件的编制</w:t>
      </w:r>
    </w:p>
    <w:p>
      <w:pPr>
        <w:rPr>
          <w:rFonts w:ascii="黑体" w:hAnsi="宋体" w:eastAsia="黑体" w:cs="Times New Roman"/>
          <w:sz w:val="24"/>
        </w:rPr>
      </w:pPr>
      <w:r>
        <w:rPr>
          <w:rFonts w:hint="eastAsia" w:ascii="黑体" w:hAnsi="宋体" w:eastAsia="黑体" w:cs="Times New Roman"/>
          <w:sz w:val="24"/>
        </w:rPr>
        <w:t>14．</w:t>
      </w:r>
      <w:bookmarkStart w:id="91" w:name="_Hlk72400236"/>
      <w:r>
        <w:rPr>
          <w:rFonts w:hint="eastAsia" w:ascii="黑体" w:hAnsi="宋体" w:eastAsia="黑体" w:cs="Times New Roman"/>
          <w:sz w:val="24"/>
        </w:rPr>
        <w:t>投标文件的语言及度量单位</w:t>
      </w:r>
    </w:p>
    <w:p>
      <w:pPr>
        <w:ind w:firstLine="411" w:firstLineChars="196"/>
        <w:rPr>
          <w:rFonts w:ascii="宋体" w:hAnsi="宋体" w:eastAsia="宋体" w:cs="Times New Roman"/>
          <w:szCs w:val="21"/>
        </w:rPr>
      </w:pPr>
      <w:r>
        <w:rPr>
          <w:rFonts w:hint="eastAsia" w:ascii="宋体" w:hAnsi="宋体" w:eastAsia="宋体" w:cs="Times New Roman"/>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eastAsia="宋体" w:cs="Times New Roman"/>
          <w:szCs w:val="21"/>
        </w:rPr>
      </w:pPr>
      <w:r>
        <w:rPr>
          <w:rFonts w:hint="eastAsia" w:ascii="宋体" w:hAnsi="宋体" w:eastAsia="宋体" w:cs="Times New Roman"/>
          <w:szCs w:val="21"/>
        </w:rPr>
        <w:t>14.2 除技术规范另有规定外，投标文件使用的度量单位，均采用中华人民共和国法定计量单位。</w:t>
      </w:r>
    </w:p>
    <w:bookmarkEnd w:id="91"/>
    <w:p>
      <w:pPr>
        <w:rPr>
          <w:rFonts w:ascii="黑体" w:hAnsi="宋体" w:eastAsia="黑体" w:cs="Times New Roman"/>
          <w:sz w:val="24"/>
        </w:rPr>
      </w:pPr>
      <w:r>
        <w:rPr>
          <w:rFonts w:hint="eastAsia" w:ascii="黑体" w:hAnsi="宋体" w:eastAsia="黑体" w:cs="Times New Roman"/>
          <w:sz w:val="24"/>
        </w:rPr>
        <w:t>15．</w:t>
      </w:r>
      <w:bookmarkStart w:id="92" w:name="_Hlk72401567"/>
      <w:r>
        <w:rPr>
          <w:rFonts w:hint="eastAsia" w:ascii="黑体" w:hAnsi="宋体" w:eastAsia="黑体" w:cs="Times New Roman"/>
          <w:sz w:val="24"/>
        </w:rPr>
        <w:t>投标文件的组成</w:t>
      </w:r>
    </w:p>
    <w:p>
      <w:pPr>
        <w:ind w:firstLine="411" w:firstLineChars="196"/>
        <w:rPr>
          <w:rFonts w:ascii="宋体" w:hAnsi="宋体" w:eastAsia="宋体" w:cs="Times New Roman"/>
          <w:szCs w:val="21"/>
        </w:rPr>
      </w:pPr>
      <w:r>
        <w:rPr>
          <w:rFonts w:hint="eastAsia" w:ascii="宋体" w:hAnsi="宋体" w:eastAsia="宋体" w:cs="Times New Roman"/>
          <w:szCs w:val="21"/>
        </w:rPr>
        <w:t>具体内容在招标文件专用条款中进行规定。</w:t>
      </w:r>
    </w:p>
    <w:p>
      <w:pPr>
        <w:rPr>
          <w:rFonts w:ascii="黑体" w:hAnsi="宋体" w:eastAsia="黑体" w:cs="Times New Roman"/>
          <w:sz w:val="24"/>
        </w:rPr>
      </w:pPr>
      <w:r>
        <w:rPr>
          <w:rFonts w:ascii="黑体" w:hAnsi="宋体" w:eastAsia="黑体" w:cs="Times New Roman"/>
          <w:sz w:val="24"/>
        </w:rPr>
        <w:t>16．投标文件格式</w:t>
      </w:r>
    </w:p>
    <w:p>
      <w:pPr>
        <w:ind w:firstLine="411" w:firstLineChars="196"/>
        <w:rPr>
          <w:rFonts w:ascii="宋体" w:hAnsi="宋体" w:eastAsia="宋体" w:cs="Times New Roman"/>
          <w:szCs w:val="21"/>
        </w:rPr>
      </w:pPr>
      <w:r>
        <w:rPr>
          <w:rFonts w:hint="eastAsia" w:ascii="宋体" w:hAnsi="宋体" w:eastAsia="宋体" w:cs="Times New Roman"/>
          <w:szCs w:val="21"/>
        </w:rPr>
        <w:t>投标文件包括本通用条款第</w:t>
      </w:r>
      <w:r>
        <w:rPr>
          <w:rFonts w:ascii="宋体" w:hAnsi="宋体" w:eastAsia="宋体" w:cs="Times New Roman"/>
          <w:szCs w:val="21"/>
        </w:rPr>
        <w:t>15条中规定的内容。如招标文件提供了投标文件格式，则</w:t>
      </w:r>
      <w:r>
        <w:rPr>
          <w:rFonts w:hint="eastAsia" w:ascii="宋体" w:hAnsi="宋体" w:eastAsia="宋体" w:cs="Times New Roman"/>
          <w:b/>
          <w:bCs/>
          <w:szCs w:val="21"/>
        </w:rPr>
        <w:t>投标人提交的投标文件应毫无例外地使用招标文件所提供的相应格式</w:t>
      </w:r>
      <w:r>
        <w:rPr>
          <w:rFonts w:hint="eastAsia" w:ascii="宋体" w:hAnsi="宋体" w:eastAsia="宋体" w:cs="Times New Roman"/>
          <w:szCs w:val="21"/>
        </w:rPr>
        <w:t>（表格均可按同样格式扩展）。</w:t>
      </w:r>
    </w:p>
    <w:p>
      <w:pPr>
        <w:rPr>
          <w:rFonts w:ascii="黑体" w:hAnsi="宋体" w:eastAsia="黑体" w:cs="Times New Roman"/>
          <w:sz w:val="24"/>
        </w:rPr>
      </w:pPr>
      <w:r>
        <w:rPr>
          <w:rFonts w:hint="eastAsia" w:ascii="黑体" w:hAnsi="宋体" w:eastAsia="黑体" w:cs="Times New Roman"/>
          <w:sz w:val="24"/>
        </w:rPr>
        <w:t>17．投标货币</w:t>
      </w:r>
    </w:p>
    <w:p>
      <w:pPr>
        <w:ind w:firstLine="411" w:firstLineChars="196"/>
        <w:rPr>
          <w:rFonts w:ascii="宋体" w:hAnsi="宋体" w:eastAsia="宋体" w:cs="Times New Roman"/>
          <w:szCs w:val="21"/>
        </w:rPr>
      </w:pPr>
      <w:r>
        <w:rPr>
          <w:rFonts w:hint="eastAsia" w:ascii="宋体" w:hAnsi="宋体" w:eastAsia="宋体" w:cs="Times New Roman"/>
          <w:szCs w:val="21"/>
        </w:rPr>
        <w:t>本项目的投标报价应以人民币计。</w:t>
      </w:r>
    </w:p>
    <w:bookmarkEnd w:id="92"/>
    <w:p>
      <w:pPr>
        <w:rPr>
          <w:rFonts w:ascii="黑体" w:hAnsi="宋体" w:eastAsia="黑体" w:cs="Times New Roman"/>
          <w:sz w:val="24"/>
        </w:rPr>
      </w:pPr>
      <w:r>
        <w:rPr>
          <w:rFonts w:hint="eastAsia" w:ascii="黑体" w:hAnsi="宋体" w:eastAsia="黑体" w:cs="Times New Roman"/>
          <w:sz w:val="24"/>
        </w:rPr>
        <w:t>18．</w:t>
      </w:r>
      <w:bookmarkStart w:id="93" w:name="_Hlk72401735"/>
      <w:r>
        <w:rPr>
          <w:rFonts w:hint="eastAsia" w:ascii="黑体" w:hAnsi="宋体" w:eastAsia="黑体" w:cs="Times New Roman"/>
          <w:sz w:val="24"/>
        </w:rPr>
        <w:t>证明投标文件投标技术方案的合格性和符合招标文件规定的文件要求</w:t>
      </w:r>
    </w:p>
    <w:p>
      <w:pPr>
        <w:ind w:firstLine="411" w:firstLineChars="196"/>
        <w:rPr>
          <w:rFonts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 xml:space="preserve">.1 </w:t>
      </w:r>
      <w:r>
        <w:rPr>
          <w:rFonts w:hint="eastAsia" w:ascii="宋体" w:hAnsi="宋体" w:eastAsia="宋体" w:cs="Times New Roman"/>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 xml:space="preserve">.2 </w:t>
      </w:r>
      <w:r>
        <w:rPr>
          <w:rFonts w:hint="eastAsia" w:ascii="宋体" w:hAnsi="宋体" w:eastAsia="宋体" w:cs="Times New Roman"/>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eastAsia="宋体" w:cs="Times New Roman"/>
          <w:szCs w:val="21"/>
        </w:rPr>
      </w:pPr>
      <w:r>
        <w:rPr>
          <w:rFonts w:hint="eastAsia" w:ascii="宋体" w:hAnsi="宋体" w:eastAsia="宋体" w:cs="Times New Roman"/>
          <w:szCs w:val="21"/>
        </w:rPr>
        <w:t>18.2.1主要技术指标和性能的详细说明。</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2</w:t>
      </w:r>
      <w:r>
        <w:rPr>
          <w:rFonts w:hint="eastAsia" w:ascii="宋体" w:hAnsi="宋体" w:eastAsia="宋体" w:cs="Times New Roman"/>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3</w:t>
      </w:r>
      <w:r>
        <w:rPr>
          <w:rFonts w:hint="eastAsia" w:ascii="宋体" w:hAnsi="宋体" w:eastAsia="宋体" w:cs="Times New Roman"/>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eastAsia="宋体" w:cs="Times New Roman"/>
          <w:szCs w:val="21"/>
        </w:rPr>
      </w:pPr>
      <w:r>
        <w:rPr>
          <w:rFonts w:hint="eastAsia" w:ascii="宋体" w:hAnsi="宋体" w:eastAsia="宋体" w:cs="Times New Roman"/>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imes New Roman" w:hAnsi="Times New Roman" w:eastAsia="宋体" w:cs="Times New Roman"/>
        </w:rPr>
        <w:t>清晰度要求能够使用电脑阅读、识别和判断</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eastAsia="宋体" w:cs="Times New Roman"/>
          <w:szCs w:val="21"/>
        </w:rPr>
      </w:pPr>
      <w:r>
        <w:rPr>
          <w:rFonts w:hint="eastAsia" w:ascii="宋体" w:hAnsi="宋体" w:eastAsia="宋体" w:cs="Times New Roman"/>
          <w:szCs w:val="21"/>
        </w:rPr>
        <w:t>18.3相关资料不符合18.2款要求的，评审委员会有权认定为投标技术方案不合格响应，其相关分数予以扣减或作投标无效处理。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Times New Roman" w:hAnsi="Times New Roman" w:eastAsia="宋体" w:cs="Times New Roman"/>
        </w:rPr>
        <w:t>满足要求</w:t>
      </w:r>
      <w:r>
        <w:rPr>
          <w:rFonts w:hint="eastAsia" w:ascii="宋体" w:hAnsi="宋体" w:eastAsia="宋体" w:cs="Times New Roman"/>
          <w:szCs w:val="21"/>
        </w:rPr>
        <w:t>，由评审委员会来评判。</w:t>
      </w:r>
    </w:p>
    <w:p>
      <w:pPr>
        <w:ind w:firstLine="411" w:firstLineChars="196"/>
        <w:rPr>
          <w:rFonts w:ascii="宋体" w:hAnsi="宋体" w:eastAsia="宋体" w:cs="Times New Roman"/>
          <w:szCs w:val="21"/>
        </w:rPr>
      </w:pPr>
      <w:r>
        <w:rPr>
          <w:rFonts w:hint="eastAsia" w:ascii="宋体" w:hAnsi="宋体" w:eastAsia="宋体" w:cs="Times New Roman"/>
          <w:szCs w:val="21"/>
        </w:rPr>
        <w:t>18.5除非另有规定或说明，投标人对同一项目投标时，不得同时提供两套或两套以上的投标方案。</w:t>
      </w:r>
    </w:p>
    <w:bookmarkEnd w:id="93"/>
    <w:p>
      <w:pPr>
        <w:rPr>
          <w:rFonts w:ascii="黑体" w:hAnsi="宋体" w:eastAsia="黑体" w:cs="Times New Roman"/>
          <w:sz w:val="24"/>
        </w:rPr>
      </w:pPr>
      <w:r>
        <w:rPr>
          <w:rFonts w:hint="eastAsia" w:ascii="黑体" w:hAnsi="宋体" w:eastAsia="黑体" w:cs="Times New Roman"/>
          <w:sz w:val="24"/>
        </w:rPr>
        <w:t>19．</w:t>
      </w:r>
      <w:bookmarkStart w:id="94" w:name="_Hlk72402034"/>
      <w:r>
        <w:rPr>
          <w:rFonts w:hint="eastAsia" w:ascii="黑体" w:hAnsi="宋体" w:eastAsia="黑体" w:cs="Times New Roman"/>
          <w:sz w:val="24"/>
        </w:rPr>
        <w:t>投标文件其他证明文件的要求</w:t>
      </w:r>
    </w:p>
    <w:p>
      <w:pPr>
        <w:rPr>
          <w:rFonts w:ascii="宋体" w:hAnsi="宋体" w:eastAsia="宋体" w:cs="Times New Roman"/>
          <w:color w:val="FF0000"/>
          <w:szCs w:val="21"/>
        </w:rPr>
      </w:pPr>
      <w:r>
        <w:rPr>
          <w:rFonts w:hint="eastAsia" w:ascii="黑体" w:hAnsi="宋体" w:eastAsia="黑体" w:cs="Times New Roman"/>
          <w:sz w:val="24"/>
        </w:rPr>
        <w:t xml:space="preserve">    </w:t>
      </w:r>
      <w:r>
        <w:rPr>
          <w:rFonts w:hint="eastAsia" w:ascii="宋体" w:hAnsi="宋体" w:eastAsia="宋体" w:cs="Times New Roman"/>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5" w:name="_Hlk71407299"/>
      <w:r>
        <w:rPr>
          <w:rFonts w:hint="eastAsia" w:ascii="宋体" w:hAnsi="宋体" w:eastAsia="宋体" w:cs="Times New Roman"/>
          <w:szCs w:val="21"/>
        </w:rPr>
        <w:t>若投标人未按要求提供证明材料或提供的是部分证明材料或提供不清晰的扫描件（或照片）的，采购人</w:t>
      </w:r>
      <w:r>
        <w:rPr>
          <w:rFonts w:hint="eastAsia" w:ascii="宋体" w:hAnsi="宋体" w:eastAsia="宋体" w:cs="Times New Roman"/>
          <w:szCs w:val="21"/>
          <w:lang w:eastAsia="zh-CN"/>
        </w:rPr>
        <w:t>、</w:t>
      </w:r>
      <w:r>
        <w:rPr>
          <w:rFonts w:hint="eastAsia" w:ascii="宋体" w:hAnsi="宋体" w:eastAsia="宋体" w:cs="Times New Roman"/>
          <w:szCs w:val="21"/>
        </w:rPr>
        <w:t>代理机构</w:t>
      </w:r>
      <w:r>
        <w:rPr>
          <w:rFonts w:hint="eastAsia" w:ascii="宋体" w:hAnsi="宋体" w:eastAsia="宋体" w:cs="Times New Roman"/>
          <w:szCs w:val="21"/>
          <w:lang w:val="en-US" w:eastAsia="zh-CN"/>
        </w:rPr>
        <w:t>及</w:t>
      </w:r>
      <w:r>
        <w:rPr>
          <w:rFonts w:hint="eastAsia" w:ascii="宋体" w:hAnsi="宋体" w:eastAsia="宋体" w:cs="Times New Roman"/>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5"/>
    <w:p>
      <w:pPr>
        <w:ind w:firstLine="411" w:firstLineChars="196"/>
        <w:rPr>
          <w:rFonts w:ascii="宋体" w:hAnsi="宋体" w:eastAsia="宋体" w:cs="Times New Roman"/>
          <w:szCs w:val="21"/>
        </w:rPr>
      </w:pPr>
      <w:r>
        <w:rPr>
          <w:rFonts w:hint="eastAsia" w:ascii="宋体" w:hAnsi="宋体" w:eastAsia="宋体" w:cs="Times New Roman"/>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cs="Times New Roman"/>
          <w:sz w:val="24"/>
        </w:rPr>
      </w:pPr>
      <w:r>
        <w:rPr>
          <w:rFonts w:hint="eastAsia" w:ascii="黑体" w:hAnsi="宋体" w:eastAsia="黑体" w:cs="Times New Roman"/>
          <w:sz w:val="24"/>
        </w:rPr>
        <w:t>20．投标有效期</w:t>
      </w:r>
    </w:p>
    <w:bookmarkEnd w:id="94"/>
    <w:p>
      <w:pPr>
        <w:ind w:firstLine="411" w:firstLineChars="196"/>
        <w:rPr>
          <w:rFonts w:ascii="宋体" w:hAnsi="宋体" w:eastAsia="宋体" w:cs="Times New Roman"/>
          <w:szCs w:val="21"/>
        </w:rPr>
      </w:pPr>
      <w:bookmarkStart w:id="96" w:name="_Hlk72402214"/>
      <w:r>
        <w:rPr>
          <w:rFonts w:hint="eastAsia" w:ascii="宋体" w:hAnsi="宋体" w:eastAsia="宋体" w:cs="Times New Roman"/>
          <w:szCs w:val="21"/>
        </w:rPr>
        <w:t>20.1 投标有效期为</w:t>
      </w:r>
      <w:r>
        <w:rPr>
          <w:rFonts w:hint="eastAsia" w:ascii="Arial" w:hAnsi="Arial" w:eastAsia="宋体" w:cs="Arial"/>
          <w:szCs w:val="21"/>
        </w:rPr>
        <w:t>从投标截止之日算起的日历天数。</w:t>
      </w:r>
      <w:r>
        <w:rPr>
          <w:rFonts w:hint="eastAsia" w:ascii="宋体" w:hAnsi="宋体" w:eastAsia="宋体" w:cs="Times New Roman"/>
          <w:szCs w:val="21"/>
        </w:rPr>
        <w:t>在此期限内，所有投标文件均保持有效。</w:t>
      </w:r>
    </w:p>
    <w:p>
      <w:pPr>
        <w:ind w:firstLine="411" w:firstLineChars="196"/>
        <w:rPr>
          <w:rFonts w:ascii="宋体" w:hAnsi="宋体" w:eastAsia="宋体" w:cs="Times New Roman"/>
          <w:szCs w:val="21"/>
        </w:rPr>
      </w:pPr>
      <w:r>
        <w:rPr>
          <w:rFonts w:hint="eastAsia" w:ascii="宋体" w:hAnsi="宋体" w:eastAsia="宋体" w:cs="Times New Roman"/>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.3</w:t>
      </w:r>
      <w:r>
        <w:rPr>
          <w:rFonts w:hint="eastAsia" w:ascii="宋体" w:hAnsi="宋体" w:eastAsia="宋体" w:cs="Times New Roman"/>
          <w:szCs w:val="21"/>
        </w:rPr>
        <w:t xml:space="preserve"> 中标供应商的投标文件有效期，截止于完成本招标文件规定的全部项目内容，并通过竣工验收及保修期结束。</w:t>
      </w:r>
    </w:p>
    <w:bookmarkEnd w:id="96"/>
    <w:p>
      <w:pPr>
        <w:rPr>
          <w:rFonts w:ascii="黑体" w:hAnsi="宋体" w:eastAsia="黑体" w:cs="Times New Roman"/>
          <w:sz w:val="24"/>
        </w:rPr>
      </w:pPr>
      <w:r>
        <w:rPr>
          <w:rFonts w:hint="eastAsia" w:ascii="黑体" w:hAnsi="宋体" w:eastAsia="黑体" w:cs="Times New Roman"/>
          <w:sz w:val="24"/>
        </w:rPr>
        <w:t>21．</w:t>
      </w:r>
      <w:bookmarkStart w:id="97" w:name="_Hlk72402325"/>
      <w:r>
        <w:rPr>
          <w:rFonts w:hint="eastAsia" w:ascii="黑体" w:hAnsi="宋体" w:eastAsia="黑体" w:cs="Times New Roman"/>
          <w:sz w:val="24"/>
        </w:rPr>
        <w:t xml:space="preserve">关于投标保证金 </w:t>
      </w:r>
    </w:p>
    <w:p>
      <w:pPr>
        <w:rPr>
          <w:rFonts w:ascii="宋体" w:hAnsi="宋体" w:eastAsia="宋体" w:cs="Times New Roman"/>
          <w:szCs w:val="21"/>
        </w:rPr>
      </w:pPr>
      <w:r>
        <w:rPr>
          <w:rFonts w:hint="eastAsia" w:ascii="宋体" w:hAnsi="宋体" w:eastAsia="宋体" w:cs="Times New Roman"/>
          <w:szCs w:val="21"/>
        </w:rPr>
        <w:t xml:space="preserve">    21.1</w:t>
      </w:r>
      <w:r>
        <w:rPr>
          <w:rFonts w:hint="eastAsia" w:cs="Times New Roman"/>
          <w:lang w:val="en-US" w:eastAsia="zh-CN"/>
        </w:rPr>
        <w:t>参照</w:t>
      </w:r>
      <w:r>
        <w:rPr>
          <w:rFonts w:hint="eastAsia" w:ascii="Times New Roman" w:hAnsi="Times New Roman" w:eastAsia="宋体" w:cs="Times New Roman"/>
        </w:rPr>
        <w:t>《深圳市财政局关于调整政府采购投标（响应）保证金管理政策的通知》（深财购〔2021〕51号）文的规定，本项目不收取投标保证金。</w:t>
      </w:r>
    </w:p>
    <w:p>
      <w:pPr>
        <w:rPr>
          <w:rFonts w:ascii="黑体" w:hAnsi="宋体" w:eastAsia="黑体" w:cs="Times New Roman"/>
          <w:sz w:val="24"/>
        </w:rPr>
      </w:pPr>
      <w:r>
        <w:rPr>
          <w:rFonts w:hint="eastAsia" w:ascii="黑体" w:hAnsi="宋体" w:eastAsia="黑体" w:cs="Times New Roman"/>
          <w:sz w:val="24"/>
        </w:rPr>
        <w:t>22．投标人的替代方案</w:t>
      </w:r>
    </w:p>
    <w:p>
      <w:pPr>
        <w:ind w:firstLine="411" w:firstLineChars="196"/>
        <w:rPr>
          <w:rFonts w:ascii="宋体" w:hAnsi="宋体" w:eastAsia="宋体" w:cs="Times New Roman"/>
          <w:szCs w:val="21"/>
        </w:rPr>
      </w:pPr>
      <w:r>
        <w:rPr>
          <w:rFonts w:hint="eastAsia" w:ascii="宋体" w:hAnsi="宋体" w:eastAsia="宋体" w:cs="Times New Roman"/>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eastAsia="宋体" w:cs="Times New Roman"/>
          <w:szCs w:val="21"/>
        </w:rPr>
      </w:pPr>
      <w:r>
        <w:rPr>
          <w:rFonts w:hint="eastAsia" w:ascii="宋体" w:hAnsi="宋体" w:eastAsia="宋体" w:cs="Times New Roman"/>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7"/>
    <w:p>
      <w:pPr>
        <w:rPr>
          <w:rFonts w:ascii="黑体" w:hAnsi="宋体" w:eastAsia="黑体" w:cs="Times New Roman"/>
          <w:sz w:val="24"/>
        </w:rPr>
      </w:pPr>
      <w:r>
        <w:rPr>
          <w:rFonts w:hint="eastAsia" w:ascii="黑体" w:hAnsi="宋体" w:eastAsia="黑体" w:cs="Times New Roman"/>
          <w:sz w:val="24"/>
        </w:rPr>
        <w:t>23．</w:t>
      </w:r>
      <w:bookmarkStart w:id="98" w:name="_Hlk72402860"/>
      <w:r>
        <w:rPr>
          <w:rFonts w:ascii="黑体" w:hAnsi="宋体" w:eastAsia="黑体" w:cs="Times New Roman"/>
          <w:sz w:val="24"/>
        </w:rPr>
        <w:t>投标文件的</w:t>
      </w:r>
      <w:r>
        <w:rPr>
          <w:rFonts w:hint="eastAsia" w:ascii="黑体" w:hAnsi="宋体" w:eastAsia="黑体" w:cs="Times New Roman"/>
          <w:sz w:val="24"/>
        </w:rPr>
        <w:t>制作</w:t>
      </w:r>
      <w:r>
        <w:rPr>
          <w:rFonts w:ascii="黑体" w:hAnsi="宋体" w:eastAsia="黑体" w:cs="Times New Roman"/>
          <w:sz w:val="24"/>
        </w:rPr>
        <w:t>要求</w:t>
      </w:r>
    </w:p>
    <w:p>
      <w:pPr>
        <w:ind w:firstLine="411"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eastAsia="宋体" w:cs="Times New Roman"/>
          <w:szCs w:val="21"/>
        </w:rPr>
        <w:t>深圳市自行采购系统</w:t>
      </w:r>
      <w:r>
        <w:rPr>
          <w:rFonts w:hint="eastAsia" w:ascii="宋体" w:hAnsi="宋体" w:eastAsia="宋体" w:cs="Times New Roman"/>
        </w:rPr>
        <w:t>投标文件制作专用软件打开招标文件（.TYZB格式）【下载地址：https://www.szggzy.com/jyfw/list.html?id=jyfwzfcg】。</w:t>
      </w:r>
    </w:p>
    <w:p>
      <w:pPr>
        <w:ind w:firstLine="411" w:firstLineChars="196"/>
        <w:rPr>
          <w:rFonts w:ascii="宋体" w:hAnsi="宋体" w:eastAsia="宋体" w:cs="Times New Roman"/>
        </w:rPr>
      </w:pPr>
      <w:r>
        <w:rPr>
          <w:rFonts w:hint="eastAsia" w:ascii="宋体" w:hAnsi="宋体" w:eastAsia="宋体" w:cs="Times New Roman"/>
        </w:rPr>
        <w:t>23.2投标人在使用《投标书编制软件》编制投标书时须注意：</w:t>
      </w:r>
    </w:p>
    <w:p>
      <w:pPr>
        <w:ind w:firstLine="411" w:firstLineChars="196"/>
        <w:rPr>
          <w:rFonts w:ascii="宋体" w:hAnsi="宋体" w:eastAsia="宋体" w:cs="Times New Roman"/>
        </w:rPr>
      </w:pPr>
      <w:r>
        <w:rPr>
          <w:rFonts w:hint="eastAsia" w:ascii="宋体" w:hAnsi="宋体" w:eastAsia="宋体" w:cs="Times New Roman"/>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eastAsia="宋体" w:cs="Times New Roman"/>
        </w:rPr>
      </w:pPr>
      <w:r>
        <w:rPr>
          <w:rFonts w:hint="eastAsia" w:ascii="宋体" w:hAnsi="宋体" w:eastAsia="宋体" w:cs="Times New Roman"/>
        </w:rPr>
        <w:t>23.2.2不能用非本公司的电子密钥加密本公司的投标文件，或者用其它公司的登录用户上传本公司的投标文件。</w:t>
      </w:r>
    </w:p>
    <w:p>
      <w:pPr>
        <w:ind w:firstLine="411" w:firstLineChars="196"/>
        <w:rPr>
          <w:rFonts w:ascii="宋体" w:hAnsi="宋体" w:eastAsia="宋体" w:cs="Times New Roman"/>
        </w:rPr>
      </w:pPr>
      <w:r>
        <w:rPr>
          <w:rFonts w:hint="eastAsia" w:ascii="宋体" w:hAnsi="宋体" w:eastAsia="宋体" w:cs="Times New Roman"/>
        </w:rPr>
        <w:t>23.2.3要求用《投标书编制软件》编制投标书的包，不能用其它方式编制投标书。编制投标文件时，电脑须连通互联网。</w:t>
      </w:r>
    </w:p>
    <w:p>
      <w:pPr>
        <w:ind w:firstLine="411" w:firstLineChars="196"/>
        <w:rPr>
          <w:rFonts w:ascii="宋体" w:hAnsi="宋体" w:eastAsia="宋体" w:cs="Times New Roman"/>
        </w:rPr>
      </w:pPr>
      <w:r>
        <w:rPr>
          <w:rFonts w:hint="eastAsia" w:ascii="宋体" w:hAnsi="宋体" w:eastAsia="宋体" w:cs="Times New Roman"/>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eastAsia="宋体" w:cs="Times New Roman"/>
          <w:b/>
        </w:rPr>
      </w:pPr>
      <w:r>
        <w:rPr>
          <w:rFonts w:hint="eastAsia" w:ascii="宋体" w:hAnsi="宋体" w:eastAsia="宋体" w:cs="Times New Roman"/>
        </w:rPr>
        <w:t>23.2.5</w:t>
      </w:r>
      <w:r>
        <w:rPr>
          <w:rFonts w:hint="eastAsia" w:ascii="宋体" w:hAnsi="宋体" w:eastAsia="宋体" w:cs="Times New Roman"/>
          <w:b/>
        </w:rPr>
        <w:t>“</w:t>
      </w:r>
      <w:r>
        <w:rPr>
          <w:rFonts w:hint="eastAsia" w:ascii="宋体" w:hAnsi="宋体" w:cs="Times New Roman"/>
          <w:b/>
          <w:lang w:val="en-US" w:eastAsia="zh-CN"/>
        </w:rPr>
        <w:t>投标信息</w:t>
      </w:r>
      <w:r>
        <w:rPr>
          <w:rFonts w:hint="eastAsia" w:ascii="宋体" w:hAnsi="宋体" w:eastAsia="宋体" w:cs="Times New Roman"/>
          <w:b/>
        </w:rPr>
        <w:t>”中的“投标报价”将作为价格分计算依据；其它信息仅是对投标文件相关内容的概括性表述，不作为评审依据。</w:t>
      </w:r>
    </w:p>
    <w:p>
      <w:pPr>
        <w:ind w:firstLine="411" w:firstLineChars="196"/>
        <w:rPr>
          <w:rFonts w:ascii="宋体" w:hAnsi="宋体" w:eastAsia="宋体" w:cs="Times New Roman"/>
        </w:rPr>
      </w:pPr>
      <w:r>
        <w:rPr>
          <w:rFonts w:hint="eastAsia" w:ascii="宋体" w:hAnsi="宋体" w:eastAsia="宋体" w:cs="Times New Roman"/>
        </w:rPr>
        <w:t>23.2.6投标人在编辑投标文件时，</w:t>
      </w:r>
      <w:r>
        <w:rPr>
          <w:rFonts w:hint="eastAsia" w:ascii="宋体" w:hAnsi="宋体" w:eastAsia="宋体" w:cs="Times New Roman"/>
          <w:b/>
        </w:rPr>
        <w:t>在投标文件目录中属于本节点内容的必须在本节点中填写，填写到其他节点或附件，</w:t>
      </w:r>
      <w:r>
        <w:rPr>
          <w:rFonts w:hint="eastAsia" w:ascii="宋体" w:hAnsi="宋体" w:eastAsia="宋体" w:cs="Times New Roman"/>
        </w:rPr>
        <w:t>一切后果由供应商自行承担。</w:t>
      </w:r>
    </w:p>
    <w:p>
      <w:pPr>
        <w:ind w:firstLine="411" w:firstLineChars="196"/>
        <w:rPr>
          <w:rFonts w:ascii="宋体" w:hAnsi="宋体" w:eastAsia="宋体" w:cs="Times New Roman"/>
        </w:rPr>
      </w:pPr>
      <w:r>
        <w:rPr>
          <w:rFonts w:hint="eastAsia" w:ascii="宋体" w:hAnsi="宋体" w:eastAsia="宋体" w:cs="Times New Roman"/>
        </w:rPr>
        <w:t>23.2.7投标文件编写完成后，</w:t>
      </w:r>
      <w:r>
        <w:rPr>
          <w:rFonts w:hint="eastAsia" w:ascii="宋体" w:hAnsi="宋体" w:eastAsia="宋体" w:cs="Times New Roman"/>
          <w:b/>
          <w:lang w:val="en-US" w:eastAsia="zh-CN"/>
        </w:rPr>
        <w:t>可选择</w:t>
      </w:r>
      <w:r>
        <w:rPr>
          <w:rFonts w:hint="eastAsia" w:ascii="宋体" w:hAnsi="宋体" w:eastAsia="宋体" w:cs="Times New Roman"/>
          <w:b/>
        </w:rPr>
        <w:t>用属于投标人的电子密钥</w:t>
      </w:r>
      <w:r>
        <w:rPr>
          <w:rFonts w:hint="eastAsia" w:ascii="宋体" w:hAnsi="宋体" w:eastAsia="宋体" w:cs="Times New Roman"/>
          <w:b/>
          <w:lang w:val="en-US" w:eastAsia="zh-CN"/>
        </w:rPr>
        <w:t>或电子营业执照</w:t>
      </w:r>
      <w:r>
        <w:rPr>
          <w:rFonts w:hint="eastAsia" w:ascii="宋体" w:hAnsi="宋体" w:eastAsia="宋体" w:cs="Times New Roman"/>
          <w:b/>
        </w:rPr>
        <w:t>进行加密。</w:t>
      </w:r>
    </w:p>
    <w:p>
      <w:pPr>
        <w:ind w:firstLine="411" w:firstLineChars="196"/>
        <w:rPr>
          <w:rFonts w:ascii="宋体" w:hAnsi="宋体" w:eastAsia="宋体" w:cs="Times New Roman"/>
        </w:rPr>
      </w:pPr>
      <w:r>
        <w:rPr>
          <w:rFonts w:hint="eastAsia" w:ascii="宋体" w:hAnsi="宋体" w:eastAsia="宋体" w:cs="Times New Roman"/>
        </w:rPr>
        <w:t>23.2.8政府集中采购机构不接受投标截止时间后递交的纸质、电子、传真等所有形式的投标文件。由于对网上</w:t>
      </w:r>
      <w:r>
        <w:rPr>
          <w:rFonts w:hint="eastAsia" w:ascii="宋体" w:hAnsi="宋体" w:cs="Times New Roman"/>
          <w:lang w:val="en-US" w:eastAsia="zh-CN"/>
        </w:rPr>
        <w:t>自行</w:t>
      </w:r>
      <w:r>
        <w:rPr>
          <w:rFonts w:hint="eastAsia" w:ascii="宋体" w:hAnsi="宋体" w:eastAsia="宋体" w:cs="Times New Roma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eastAsia="宋体" w:cs="Times New Roman"/>
        </w:rPr>
      </w:pPr>
      <w:r>
        <w:rPr>
          <w:rFonts w:hint="eastAsia" w:ascii="宋体" w:hAnsi="宋体" w:eastAsia="宋体" w:cs="Times New Roman"/>
        </w:rPr>
        <w:t>23.2.9如果开标时出现网络故障、技术故障，影响了采购活动，政府集中采购机构有权采取措施如延期、接受无法从网上上传的投标书等，以保障采购活动的公开、公平和公正。</w:t>
      </w:r>
    </w:p>
    <w:p>
      <w:pPr>
        <w:ind w:firstLine="411" w:firstLineChars="196"/>
        <w:rPr>
          <w:rFonts w:ascii="宋体" w:hAnsi="宋体" w:eastAsia="宋体" w:cs="Times New Roman"/>
        </w:rPr>
      </w:pPr>
      <w:r>
        <w:rPr>
          <w:rFonts w:hint="eastAsia" w:ascii="宋体" w:hAnsi="宋体" w:eastAsia="宋体" w:cs="Times New Roman"/>
        </w:rPr>
        <w:t>23.3电报、电话、传真形式的投标概不接受。</w:t>
      </w:r>
    </w:p>
    <w:p>
      <w:pPr>
        <w:ind w:firstLine="413" w:firstLineChars="196"/>
        <w:rPr>
          <w:rFonts w:ascii="宋体" w:hAnsi="宋体" w:eastAsia="宋体" w:cs="Times New Roman"/>
          <w:b/>
        </w:rPr>
      </w:pPr>
      <w:r>
        <w:rPr>
          <w:rFonts w:hint="eastAsia" w:ascii="宋体" w:hAnsi="宋体" w:eastAsia="宋体" w:cs="Times New Roman"/>
          <w:b/>
        </w:rPr>
        <w:t>23.4经投标人电子密钥</w:t>
      </w:r>
      <w:r>
        <w:rPr>
          <w:rFonts w:hint="eastAsia" w:ascii="宋体" w:hAnsi="宋体" w:eastAsia="宋体" w:cs="Times New Roman"/>
          <w:b/>
          <w:lang w:val="en-US" w:eastAsia="zh-CN"/>
        </w:rPr>
        <w:t>或电子营业执照</w:t>
      </w:r>
      <w:r>
        <w:rPr>
          <w:rFonts w:hint="eastAsia" w:ascii="宋体" w:hAnsi="宋体" w:eastAsia="宋体" w:cs="Times New Roman"/>
          <w:b/>
        </w:rPr>
        <w:t>加密的投标文件无须盖章或签字，</w:t>
      </w:r>
      <w:r>
        <w:rPr>
          <w:rFonts w:hint="eastAsia" w:ascii="宋体" w:hAnsi="宋体" w:eastAsia="宋体" w:cs="Times New Roman"/>
        </w:rPr>
        <w:t>专用条款另有要求的除外。</w:t>
      </w:r>
    </w:p>
    <w:p>
      <w:pPr>
        <w:ind w:firstLine="413" w:firstLineChars="196"/>
        <w:rPr>
          <w:rFonts w:ascii="宋体" w:hAnsi="宋体" w:eastAsia="宋体" w:cs="Times New Roman"/>
        </w:rPr>
      </w:pPr>
      <w:r>
        <w:rPr>
          <w:rFonts w:hint="eastAsia" w:ascii="宋体" w:hAnsi="宋体" w:eastAsia="宋体" w:cs="Times New Roman"/>
          <w:b/>
        </w:rPr>
        <w:t>23.5</w:t>
      </w:r>
      <w:r>
        <w:rPr>
          <w:rFonts w:hint="eastAsia" w:ascii="宋体" w:hAnsi="宋体" w:eastAsia="宋体" w:cs="Times New Roman"/>
        </w:rPr>
        <w:t xml:space="preserve"> 各类资格（资质）文件提供扫描件，专用条款另有要求的除外。</w:t>
      </w:r>
      <w:bookmarkEnd w:id="98"/>
    </w:p>
    <w:p>
      <w:pPr>
        <w:ind w:firstLine="411" w:firstLineChars="196"/>
        <w:rPr>
          <w:rFonts w:ascii="宋体" w:hAnsi="宋体" w:eastAsia="宋体" w:cs="Times New Roman"/>
          <w:szCs w:val="21"/>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投标文件的递交</w:t>
      </w:r>
    </w:p>
    <w:p>
      <w:pPr>
        <w:rPr>
          <w:rFonts w:ascii="黑体" w:hAnsi="宋体" w:eastAsia="黑体" w:cs="Times New Roman"/>
          <w:sz w:val="24"/>
        </w:rPr>
      </w:pPr>
      <w:bookmarkStart w:id="99" w:name="_Hlk72405459"/>
      <w:r>
        <w:rPr>
          <w:rFonts w:hint="eastAsia" w:ascii="黑体" w:hAnsi="宋体" w:eastAsia="黑体" w:cs="Times New Roman"/>
          <w:sz w:val="24"/>
        </w:rPr>
        <w:t>24．投标文件的保密</w:t>
      </w:r>
    </w:p>
    <w:p>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eastAsia="宋体" w:cs="Times New Roman"/>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8"/>
                    <a:stretch>
                      <a:fillRect/>
                    </a:stretch>
                  </pic:blipFill>
                  <pic:spPr>
                    <a:xfrm>
                      <a:off x="0" y="0"/>
                      <a:ext cx="5266690" cy="2126615"/>
                    </a:xfrm>
                    <a:prstGeom prst="rect">
                      <a:avLst/>
                    </a:prstGeom>
                  </pic:spPr>
                </pic:pic>
              </a:graphicData>
            </a:graphic>
          </wp:inline>
        </w:drawing>
      </w:r>
    </w:p>
    <w:p>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pPr>
        <w:jc w:val="left"/>
        <w:rPr>
          <w:rFonts w:ascii="Times New Roman" w:hAnsi="Times New Roman" w:eastAsia="宋体" w:cs="Times New Roman"/>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pPr>
        <w:ind w:firstLine="0" w:firstLineChars="0"/>
        <w:rPr>
          <w:rFonts w:ascii="宋体" w:hAnsi="宋体" w:eastAsia="宋体" w:cs="Times New Roman"/>
          <w:b w:val="0"/>
        </w:rPr>
      </w:pPr>
      <w:r>
        <w:rPr>
          <w:rFonts w:ascii="Times New Roman" w:hAnsi="Times New Roman" w:eastAsia="宋体"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266690" cy="2185035"/>
                    </a:xfrm>
                    <a:prstGeom prst="rect">
                      <a:avLst/>
                    </a:prstGeom>
                    <a:noFill/>
                    <a:ln>
                      <a:noFill/>
                    </a:ln>
                  </pic:spPr>
                </pic:pic>
              </a:graphicData>
            </a:graphic>
          </wp:inline>
        </w:drawing>
      </w:r>
    </w:p>
    <w:p>
      <w:pPr>
        <w:rPr>
          <w:rFonts w:hint="eastAsia" w:ascii="黑体" w:hAnsi="宋体" w:eastAsia="黑体" w:cs="Times New Roman"/>
          <w:sz w:val="24"/>
        </w:rPr>
      </w:pPr>
      <w:r>
        <w:rPr>
          <w:rFonts w:hint="eastAsia" w:ascii="黑体" w:hAnsi="宋体" w:eastAsia="黑体" w:cs="Times New Roman"/>
          <w:sz w:val="24"/>
        </w:rPr>
        <w:t>24.2若采购项目出现延期情况</w:t>
      </w:r>
    </w:p>
    <w:p>
      <w:pPr>
        <w:ind w:firstLine="422" w:firstLineChars="200"/>
        <w:rPr>
          <w:rFonts w:ascii="黑体" w:hAnsi="宋体" w:eastAsia="黑体" w:cs="Times New Roman"/>
          <w:b/>
          <w:sz w:val="24"/>
        </w:rPr>
      </w:pPr>
      <w:r>
        <w:rPr>
          <w:rFonts w:hint="eastAsia" w:ascii="宋体" w:hAnsi="宋体" w:eastAsia="宋体" w:cs="Times New Roman"/>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rPr>
          <w:rFonts w:ascii="黑体" w:hAnsi="宋体" w:eastAsia="黑体" w:cs="Times New Roman"/>
          <w:sz w:val="24"/>
        </w:rPr>
      </w:pPr>
      <w:r>
        <w:rPr>
          <w:rFonts w:hint="eastAsia" w:ascii="黑体" w:hAnsi="宋体" w:eastAsia="黑体" w:cs="Times New Roman"/>
          <w:sz w:val="24"/>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hint="eastAsia" w:ascii="宋体" w:hAnsi="宋体" w:eastAsia="宋体" w:cs="Times New Roman"/>
          <w:lang w:eastAsia="zh-C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1实行网上投标，</w:t>
      </w:r>
      <w:r>
        <w:rPr>
          <w:rFonts w:hint="eastAsia" w:ascii="Times New Roman" w:hAnsi="Times New Roman" w:eastAsia="宋体" w:cs="Times New Roman"/>
        </w:rPr>
        <w:t>生成投标文件后供应商需要在投标文件递交截止时间之前递交投标文件，超过规定时间则无法递交</w:t>
      </w:r>
      <w:r>
        <w:rPr>
          <w:rFonts w:hint="eastAsia" w:ascii="宋体" w:hAnsi="宋体" w:eastAsia="宋体" w:cs="Times New Roman"/>
          <w:lang w:eastAsia="zh-CN"/>
        </w:rPr>
        <w:t>。</w:t>
      </w:r>
    </w:p>
    <w:p>
      <w:pPr>
        <w:ind w:firstLine="411" w:firstLineChars="196"/>
        <w:rPr>
          <w:rFonts w:ascii="宋体" w:hAnsi="宋体" w:eastAsia="宋体" w:cs="Times New Roman"/>
        </w:rPr>
      </w:pPr>
      <w:r>
        <w:rPr>
          <w:rFonts w:hint="eastAsia" w:ascii="宋体" w:hAnsi="宋体" w:eastAsia="宋体" w:cs="Times New Roma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3投标截止时间以后不得上传投标文件。</w:t>
      </w:r>
    </w:p>
    <w:p>
      <w:pPr>
        <w:ind w:firstLine="411" w:firstLineChars="196"/>
        <w:rPr>
          <w:rFonts w:ascii="宋体" w:hAnsi="宋体" w:eastAsia="宋体" w:cs="Times New Roman"/>
        </w:rPr>
      </w:pPr>
    </w:p>
    <w:bookmarkEnd w:id="99"/>
    <w:p>
      <w:pPr>
        <w:rPr>
          <w:rFonts w:ascii="黑体" w:hAnsi="宋体" w:eastAsia="黑体" w:cs="Times New Roman"/>
          <w:sz w:val="24"/>
        </w:rPr>
      </w:pPr>
      <w:r>
        <w:rPr>
          <w:rFonts w:hint="eastAsia" w:ascii="黑体" w:hAnsi="宋体" w:eastAsia="黑体" w:cs="Times New Roman"/>
          <w:sz w:val="24"/>
        </w:rPr>
        <w:t>26. 样品、现场演示、方案讲解</w:t>
      </w:r>
    </w:p>
    <w:p>
      <w:pPr>
        <w:ind w:firstLine="411" w:firstLineChars="196"/>
        <w:rPr>
          <w:rFonts w:ascii="宋体" w:hAnsi="宋体" w:eastAsia="宋体" w:cs="Times New Roman"/>
          <w:szCs w:val="21"/>
        </w:rPr>
      </w:pPr>
      <w:r>
        <w:rPr>
          <w:rFonts w:hint="eastAsia" w:ascii="宋体" w:hAnsi="宋体" w:eastAsia="宋体" w:cs="Times New Roman"/>
          <w:szCs w:val="21"/>
        </w:rPr>
        <w:t>26.1 样品、现场演示、方案讲解等事项在招标文件专用条款中进行规定。</w:t>
      </w:r>
    </w:p>
    <w:p>
      <w:pPr>
        <w:rPr>
          <w:rFonts w:ascii="黑体" w:hAnsi="宋体" w:eastAsia="黑体" w:cs="Times New Roman"/>
          <w:sz w:val="24"/>
        </w:rPr>
      </w:pPr>
      <w:bookmarkStart w:id="100" w:name="_Hlk72428346"/>
      <w:r>
        <w:rPr>
          <w:rFonts w:ascii="黑体" w:hAnsi="宋体" w:eastAsia="黑体" w:cs="Times New Roman"/>
          <w:sz w:val="24"/>
        </w:rPr>
        <w:t>2</w:t>
      </w:r>
      <w:r>
        <w:rPr>
          <w:rFonts w:hint="eastAsia" w:ascii="黑体" w:hAnsi="宋体" w:eastAsia="黑体" w:cs="Times New Roman"/>
          <w:sz w:val="24"/>
        </w:rPr>
        <w:t>7．</w:t>
      </w:r>
      <w:r>
        <w:rPr>
          <w:rFonts w:ascii="黑体" w:hAnsi="宋体" w:eastAsia="黑体" w:cs="Times New Roman"/>
          <w:sz w:val="24"/>
        </w:rPr>
        <w:t>投标文件的修改和撤销</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1</w:t>
      </w:r>
      <w:r>
        <w:rPr>
          <w:rFonts w:ascii="宋体" w:hAnsi="宋体" w:eastAsia="宋体" w:cs="Times New Roman"/>
        </w:rPr>
        <w:t>投标方在提交投标文件后可对其投标文件进行修改</w:t>
      </w:r>
      <w:r>
        <w:rPr>
          <w:rFonts w:hint="eastAsia" w:ascii="宋体" w:hAnsi="宋体" w:eastAsia="宋体" w:cs="Times New Roman"/>
        </w:rPr>
        <w:t>并重新上传投标文件</w:t>
      </w:r>
      <w:r>
        <w:rPr>
          <w:rFonts w:ascii="宋体" w:hAnsi="宋体" w:eastAsia="宋体" w:cs="Times New Roman"/>
        </w:rPr>
        <w:t>或</w:t>
      </w:r>
      <w:r>
        <w:rPr>
          <w:rFonts w:hint="eastAsia" w:ascii="宋体" w:hAnsi="宋体" w:eastAsia="宋体" w:cs="Times New Roman"/>
        </w:rPr>
        <w:t>在网上进行</w:t>
      </w:r>
      <w:r>
        <w:rPr>
          <w:rFonts w:ascii="宋体" w:hAnsi="宋体" w:eastAsia="宋体" w:cs="Times New Roman"/>
        </w:rPr>
        <w:t>撤销</w:t>
      </w:r>
      <w:r>
        <w:rPr>
          <w:rFonts w:hint="eastAsia" w:ascii="宋体" w:hAnsi="宋体" w:eastAsia="宋体" w:cs="Times New Roman"/>
        </w:rPr>
        <w:t>投标的操作</w:t>
      </w:r>
      <w:r>
        <w:rPr>
          <w:rFonts w:ascii="宋体" w:hAnsi="宋体" w:eastAsia="宋体" w:cs="Times New Roman"/>
        </w:rPr>
        <w:t>。</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投标截止时间以后不得修改投标文件。</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3从投标截止期至投标人在投标文件中确定的投标有效期之间的这段时间内，投标人不得撤回其投标。</w:t>
      </w:r>
    </w:p>
    <w:p>
      <w:pPr>
        <w:ind w:firstLine="411" w:firstLineChars="196"/>
        <w:rPr>
          <w:rFonts w:ascii="宋体" w:hAnsi="宋体" w:eastAsia="宋体" w:cs="Times New Roman"/>
          <w:szCs w:val="21"/>
        </w:rPr>
      </w:pPr>
      <w:r>
        <w:rPr>
          <w:rFonts w:hint="eastAsia" w:ascii="宋体" w:hAnsi="宋体" w:eastAsia="宋体" w:cs="Times New Roman"/>
          <w:szCs w:val="21"/>
        </w:rPr>
        <w:t>27.4政府集中采购机构不退还投标文件，专用条款另有规定的除外。</w:t>
      </w:r>
    </w:p>
    <w:bookmarkEnd w:id="100"/>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开标</w:t>
      </w:r>
    </w:p>
    <w:p>
      <w:pPr>
        <w:rPr>
          <w:rFonts w:ascii="黑体" w:hAnsi="宋体" w:eastAsia="黑体" w:cs="Times New Roman"/>
          <w:sz w:val="24"/>
        </w:rPr>
      </w:pPr>
      <w:r>
        <w:rPr>
          <w:rFonts w:hint="eastAsia" w:ascii="黑体" w:hAnsi="宋体" w:eastAsia="黑体" w:cs="Times New Roman"/>
          <w:sz w:val="24"/>
        </w:rPr>
        <w:t>28．开标</w:t>
      </w:r>
    </w:p>
    <w:p>
      <w:pPr>
        <w:ind w:firstLine="359" w:firstLineChars="171"/>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w:t>
      </w:r>
      <w:r>
        <w:rPr>
          <w:rFonts w:hint="eastAsia" w:ascii="Times New Roman" w:hAnsi="Times New Roman" w:eastAsia="宋体" w:cs="Times New Roman"/>
        </w:rPr>
        <w:t>如投标文件为加密，则需插入CA锁点击解密，</w:t>
      </w:r>
      <w:r>
        <w:rPr>
          <w:rFonts w:hint="eastAsia" w:ascii="宋体" w:hAnsi="宋体" w:eastAsia="宋体" w:cs="Times New Roman"/>
          <w:szCs w:val="21"/>
        </w:rPr>
        <w:t>逾期未解密的作无效处理</w:t>
      </w:r>
      <w:r>
        <w:rPr>
          <w:rFonts w:hint="eastAsia" w:ascii="宋体" w:hAnsi="宋体" w:eastAsia="宋体" w:cs="Times New Roman"/>
          <w:szCs w:val="21"/>
          <w:lang w:eastAsia="zh-CN"/>
        </w:rPr>
        <w:t>，</w:t>
      </w:r>
      <w:r>
        <w:rPr>
          <w:rFonts w:hint="eastAsia" w:ascii="Times New Roman" w:hAnsi="Times New Roman" w:eastAsia="宋体" w:cs="Times New Roman"/>
        </w:rPr>
        <w:t>否则无需解密</w:t>
      </w:r>
      <w:r>
        <w:rPr>
          <w:rFonts w:hint="eastAsia" w:ascii="Times New Roman" w:hAnsi="Times New Roman" w:eastAsia="宋体" w:cs="Times New Roman"/>
          <w:lang w:eastAsia="zh-CN"/>
        </w:rPr>
        <w:t>。</w:t>
      </w:r>
    </w:p>
    <w:p>
      <w:pPr>
        <w:ind w:firstLine="0" w:firstLineChars="0"/>
        <w:rPr>
          <w:rFonts w:hint="eastAsia" w:ascii="宋体" w:hAnsi="宋体" w:eastAsia="宋体" w:cs="Times New Roman"/>
          <w:szCs w:val="21"/>
        </w:rPr>
      </w:pPr>
      <w:r>
        <w:rPr>
          <w:rFonts w:ascii="Times New Roman" w:hAnsi="Times New Roman" w:eastAsia="宋体"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230" cy="2591435"/>
                    </a:xfrm>
                    <a:prstGeom prst="rect">
                      <a:avLst/>
                    </a:prstGeom>
                    <a:noFill/>
                    <a:ln>
                      <a:noFill/>
                    </a:ln>
                  </pic:spPr>
                </pic:pic>
              </a:graphicData>
            </a:graphic>
          </wp:inline>
        </w:drawing>
      </w:r>
    </w:p>
    <w:p>
      <w:pPr>
        <w:ind w:firstLine="315" w:firstLineChars="150"/>
        <w:rPr>
          <w:rFonts w:ascii="宋体" w:hAnsi="宋体" w:eastAsia="宋体" w:cs="Times New Roman"/>
          <w:szCs w:val="21"/>
        </w:rPr>
      </w:pPr>
      <w:r>
        <w:rPr>
          <w:rFonts w:hint="eastAsia" w:ascii="宋体" w:hAnsi="宋体" w:eastAsia="宋体" w:cs="Times New Roman"/>
          <w:szCs w:val="21"/>
        </w:rPr>
        <w:t>28.2政府集中采购机构将在满足开标条件后，对投标文件进行开标。</w:t>
      </w:r>
    </w:p>
    <w:p>
      <w:pPr>
        <w:ind w:firstLine="315" w:firstLineChars="150"/>
        <w:rPr>
          <w:rFonts w:ascii="宋体" w:hAnsi="宋体" w:eastAsia="宋体" w:cs="Times New Roman"/>
          <w:szCs w:val="21"/>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评审要求</w:t>
      </w:r>
    </w:p>
    <w:p>
      <w:pPr>
        <w:rPr>
          <w:rFonts w:ascii="黑体" w:hAnsi="宋体" w:eastAsia="黑体" w:cs="Times New Roman"/>
          <w:sz w:val="24"/>
        </w:rPr>
      </w:pPr>
      <w:r>
        <w:rPr>
          <w:rFonts w:hint="eastAsia" w:ascii="黑体" w:hAnsi="宋体" w:eastAsia="黑体" w:cs="Times New Roman"/>
          <w:sz w:val="24"/>
        </w:rPr>
        <w:t>29．评审委员会组成</w:t>
      </w:r>
    </w:p>
    <w:p>
      <w:pPr>
        <w:ind w:firstLine="411" w:firstLineChars="196"/>
        <w:rPr>
          <w:rFonts w:ascii="宋体" w:hAnsi="宋体" w:eastAsia="宋体" w:cs="Times New Roman"/>
        </w:rPr>
      </w:pPr>
      <w:r>
        <w:rPr>
          <w:rFonts w:hint="eastAsia" w:ascii="宋体" w:hAnsi="宋体" w:eastAsia="宋体" w:cs="Times New Roman"/>
        </w:rPr>
        <w:t>29.1网上开标结束后召开评审会议，</w:t>
      </w:r>
      <w:r>
        <w:rPr>
          <w:rFonts w:hint="eastAsia" w:ascii="宋体" w:hAnsi="宋体" w:eastAsia="宋体" w:cs="Times New Roman"/>
          <w:szCs w:val="21"/>
        </w:rPr>
        <w:t>评审委员会</w:t>
      </w:r>
      <w:r>
        <w:rPr>
          <w:rFonts w:hint="eastAsia" w:ascii="宋体" w:hAnsi="宋体" w:eastAsia="宋体" w:cs="Times New Roman"/>
        </w:rPr>
        <w:t>由政府集中采购机构依法组建，负责评审活动。</w:t>
      </w:r>
    </w:p>
    <w:p>
      <w:pPr>
        <w:ind w:firstLine="411" w:firstLineChars="196"/>
        <w:rPr>
          <w:rFonts w:ascii="宋体" w:hAnsi="宋体" w:eastAsia="宋体" w:cs="Times New Roman"/>
        </w:rPr>
      </w:pPr>
      <w:bookmarkStart w:id="101" w:name="_Hlk72436580"/>
      <w:r>
        <w:rPr>
          <w:rFonts w:hint="eastAsia" w:ascii="宋体" w:hAnsi="宋体" w:eastAsia="宋体" w:cs="Times New Roman"/>
        </w:rPr>
        <w:t>评审委员会由采购人代表和评审专家组成。</w:t>
      </w:r>
      <w:bookmarkEnd w:id="101"/>
      <w:r>
        <w:rPr>
          <w:rFonts w:hint="eastAsia" w:ascii="宋体" w:hAnsi="宋体" w:eastAsia="宋体" w:cs="Times New Roman"/>
        </w:rPr>
        <w:t>评定</w:t>
      </w:r>
      <w:r>
        <w:rPr>
          <w:rFonts w:hint="eastAsia" w:ascii="Times New Roman" w:hAnsi="Times New Roman" w:eastAsia="宋体" w:cs="Times New Roman"/>
        </w:rPr>
        <w:t>分离项目</w:t>
      </w:r>
      <w:r>
        <w:rPr>
          <w:rFonts w:ascii="Times New Roman" w:hAnsi="Times New Roman" w:eastAsia="宋体" w:cs="Times New Roman"/>
        </w:rPr>
        <w:t>评审专家</w:t>
      </w:r>
      <w:r>
        <w:rPr>
          <w:rFonts w:hint="eastAsia" w:ascii="Times New Roman" w:hAnsi="Times New Roman" w:eastAsia="宋体" w:cs="Times New Roman"/>
        </w:rPr>
        <w:t>均</w:t>
      </w:r>
      <w:r>
        <w:rPr>
          <w:rFonts w:ascii="Times New Roman" w:hAnsi="Times New Roman" w:eastAsia="宋体" w:cs="Times New Roman"/>
        </w:rPr>
        <w:t>由</w:t>
      </w:r>
      <w:r>
        <w:rPr>
          <w:rFonts w:hint="eastAsia" w:ascii="Times New Roman" w:hAnsi="Times New Roman" w:eastAsia="宋体" w:cs="Times New Roman"/>
        </w:rPr>
        <w:t>评审专家组成。</w:t>
      </w:r>
      <w:r>
        <w:rPr>
          <w:rFonts w:hint="eastAsia" w:ascii="宋体" w:hAnsi="宋体" w:eastAsia="宋体" w:cs="Times New Roman"/>
          <w:szCs w:val="21"/>
        </w:rPr>
        <w:t>评审专家一般是</w:t>
      </w:r>
      <w:r>
        <w:rPr>
          <w:rFonts w:hint="eastAsia" w:ascii="宋体" w:hAnsi="宋体" w:eastAsia="宋体" w:cs="Times New Roman"/>
        </w:rPr>
        <w:t>从深圳市政府采购评审专家库中随机抽取。采购人代表须持本单位签发的《评审授权书》参加评审。</w:t>
      </w:r>
    </w:p>
    <w:p>
      <w:pPr>
        <w:ind w:firstLine="411" w:firstLineChars="196"/>
        <w:rPr>
          <w:rFonts w:ascii="宋体" w:hAnsi="宋体" w:eastAsia="宋体" w:cs="Times New Roman"/>
        </w:rPr>
      </w:pPr>
      <w:r>
        <w:rPr>
          <w:rFonts w:hint="eastAsia" w:ascii="宋体" w:hAnsi="宋体" w:eastAsia="宋体" w:cs="Times New Roman"/>
        </w:rPr>
        <w:t>29.2评审定标应当遵循公平、公正、科学、择优的原则。</w:t>
      </w:r>
    </w:p>
    <w:p>
      <w:pPr>
        <w:ind w:firstLine="411" w:firstLineChars="196"/>
        <w:rPr>
          <w:rFonts w:ascii="宋体" w:hAnsi="宋体" w:eastAsia="宋体" w:cs="Times New Roman"/>
        </w:rPr>
      </w:pPr>
      <w:r>
        <w:rPr>
          <w:rFonts w:hint="eastAsia" w:ascii="宋体" w:hAnsi="宋体" w:eastAsia="宋体" w:cs="Times New Roman"/>
        </w:rPr>
        <w:t>29.3评审活动依法进行，任何单位和个人不得非法干预评标过程和结果。</w:t>
      </w:r>
    </w:p>
    <w:p>
      <w:pPr>
        <w:ind w:firstLine="411" w:firstLineChars="196"/>
        <w:rPr>
          <w:rFonts w:ascii="宋体" w:hAnsi="宋体" w:eastAsia="宋体" w:cs="Times New Roman"/>
        </w:rPr>
      </w:pPr>
      <w:r>
        <w:rPr>
          <w:rFonts w:hint="eastAsia" w:ascii="宋体" w:hAnsi="宋体" w:eastAsia="宋体" w:cs="Times New Roman"/>
        </w:rPr>
        <w:t>29.4评审过程中不允许违背评标程序或采用招标文件未载明的评标方法或评标因素进行评标。</w:t>
      </w:r>
    </w:p>
    <w:p>
      <w:pPr>
        <w:ind w:firstLine="411" w:firstLineChars="196"/>
        <w:rPr>
          <w:rFonts w:ascii="宋体" w:hAnsi="宋体" w:eastAsia="宋体" w:cs="Times New Roman"/>
          <w:bCs/>
        </w:rPr>
      </w:pPr>
      <w:r>
        <w:rPr>
          <w:rFonts w:hint="eastAsia" w:ascii="宋体" w:hAnsi="宋体" w:eastAsia="宋体" w:cs="Times New Roman"/>
          <w:bCs/>
        </w:rPr>
        <w:t>29.5 开标后，直到签订合同为止，凡属于对投标文件的审查、澄清、评价和比较的有关资料以及中标候选人的推荐情况、与评审有关的其他任何情况均严格保密（</w:t>
      </w:r>
      <w:r>
        <w:rPr>
          <w:rFonts w:hint="eastAsia" w:ascii="Times New Roman" w:hAnsi="Times New Roman" w:eastAsia="宋体" w:cs="Times New Roman"/>
        </w:rPr>
        <w:t>信息公开的内容除外</w:t>
      </w:r>
      <w:r>
        <w:rPr>
          <w:rFonts w:hint="eastAsia" w:ascii="宋体" w:hAnsi="宋体" w:eastAsia="宋体" w:cs="Times New Roman"/>
          <w:bCs/>
        </w:rPr>
        <w:t>）。</w:t>
      </w:r>
    </w:p>
    <w:p>
      <w:pPr>
        <w:rPr>
          <w:rFonts w:ascii="黑体" w:hAnsi="宋体" w:eastAsia="黑体" w:cs="Times New Roman"/>
          <w:sz w:val="24"/>
        </w:rPr>
      </w:pPr>
      <w:r>
        <w:rPr>
          <w:rFonts w:hint="eastAsia" w:ascii="黑体" w:hAnsi="宋体" w:eastAsia="黑体" w:cs="Times New Roman"/>
          <w:sz w:val="24"/>
        </w:rPr>
        <w:t>30．向评审委员会提供的资料</w:t>
      </w:r>
    </w:p>
    <w:p>
      <w:pPr>
        <w:ind w:firstLine="411" w:firstLineChars="196"/>
        <w:rPr>
          <w:rFonts w:ascii="宋体" w:hAnsi="宋体" w:eastAsia="宋体" w:cs="Times New Roman"/>
        </w:rPr>
      </w:pPr>
      <w:r>
        <w:rPr>
          <w:rFonts w:hint="eastAsia" w:ascii="宋体" w:hAnsi="宋体" w:eastAsia="宋体" w:cs="Times New Roman"/>
        </w:rPr>
        <w:t>30.1公开发布的招标文件，包括图纸、服务清单、答疑文件等；</w:t>
      </w:r>
    </w:p>
    <w:p>
      <w:pPr>
        <w:ind w:firstLine="411" w:firstLineChars="196"/>
        <w:rPr>
          <w:rFonts w:ascii="宋体" w:hAnsi="宋体" w:eastAsia="宋体" w:cs="Times New Roman"/>
        </w:rPr>
      </w:pPr>
      <w:r>
        <w:rPr>
          <w:rFonts w:hint="eastAsia" w:ascii="宋体" w:hAnsi="宋体" w:eastAsia="宋体" w:cs="Times New Roman"/>
        </w:rPr>
        <w:t>30.2其他评标必须的资料。</w:t>
      </w:r>
    </w:p>
    <w:p>
      <w:pPr>
        <w:ind w:firstLine="411" w:firstLineChars="196"/>
        <w:rPr>
          <w:rFonts w:ascii="宋体" w:hAnsi="宋体" w:eastAsia="宋体" w:cs="Times New Roman"/>
        </w:rPr>
      </w:pPr>
      <w:r>
        <w:rPr>
          <w:rFonts w:hint="eastAsia" w:ascii="宋体" w:hAnsi="宋体" w:eastAsia="宋体" w:cs="Times New Roman"/>
        </w:rPr>
        <w:t>30.3</w:t>
      </w:r>
      <w:r>
        <w:rPr>
          <w:rFonts w:hint="eastAsia" w:ascii="宋体" w:hAnsi="宋体" w:eastAsia="宋体" w:cs="Times New Roman"/>
          <w:szCs w:val="21"/>
        </w:rPr>
        <w:t>评审委员会</w:t>
      </w:r>
      <w:r>
        <w:rPr>
          <w:rFonts w:hint="eastAsia" w:ascii="宋体" w:hAnsi="宋体" w:eastAsia="宋体" w:cs="Times New Roman"/>
        </w:rPr>
        <w:t>应当认真研究招标文件，至少应了解熟悉以下内容：</w:t>
      </w:r>
    </w:p>
    <w:p>
      <w:pPr>
        <w:ind w:firstLine="411" w:firstLineChars="196"/>
        <w:rPr>
          <w:rFonts w:ascii="宋体" w:hAnsi="宋体" w:eastAsia="宋体" w:cs="Times New Roman"/>
        </w:rPr>
      </w:pPr>
      <w:r>
        <w:rPr>
          <w:rFonts w:hint="eastAsia" w:ascii="宋体" w:hAnsi="宋体" w:eastAsia="宋体" w:cs="Times New Roman"/>
        </w:rPr>
        <w:t>（1）招标的目的；</w:t>
      </w:r>
    </w:p>
    <w:p>
      <w:pPr>
        <w:ind w:firstLine="411" w:firstLineChars="196"/>
        <w:rPr>
          <w:rFonts w:ascii="宋体" w:hAnsi="宋体" w:eastAsia="宋体" w:cs="Times New Roman"/>
        </w:rPr>
      </w:pPr>
      <w:r>
        <w:rPr>
          <w:rFonts w:hint="eastAsia" w:ascii="宋体" w:hAnsi="宋体" w:eastAsia="宋体" w:cs="Times New Roman"/>
        </w:rPr>
        <w:t>（2）招标项目需求的范围和性质；</w:t>
      </w:r>
    </w:p>
    <w:p>
      <w:pPr>
        <w:ind w:firstLine="411" w:firstLineChars="196"/>
        <w:rPr>
          <w:rFonts w:ascii="宋体" w:hAnsi="宋体" w:eastAsia="宋体" w:cs="Times New Roman"/>
        </w:rPr>
      </w:pPr>
      <w:r>
        <w:rPr>
          <w:rFonts w:hint="eastAsia" w:ascii="宋体" w:hAnsi="宋体" w:eastAsia="宋体" w:cs="Times New Roman"/>
        </w:rPr>
        <w:t>（3）招标文件规定的投标人的资格、财政预算限额、商务条款；</w:t>
      </w:r>
    </w:p>
    <w:p>
      <w:pPr>
        <w:ind w:firstLine="411" w:firstLineChars="196"/>
        <w:rPr>
          <w:rFonts w:ascii="宋体" w:hAnsi="宋体" w:eastAsia="宋体" w:cs="Times New Roman"/>
        </w:rPr>
      </w:pPr>
      <w:r>
        <w:rPr>
          <w:rFonts w:hint="eastAsia" w:ascii="宋体" w:hAnsi="宋体" w:eastAsia="宋体" w:cs="Times New Roman"/>
        </w:rPr>
        <w:t>（4）招标文件规定的评标程序、评标方法和评标因素；</w:t>
      </w:r>
    </w:p>
    <w:p>
      <w:pPr>
        <w:ind w:firstLine="411" w:firstLineChars="196"/>
        <w:rPr>
          <w:rFonts w:ascii="宋体" w:hAnsi="宋体" w:eastAsia="宋体" w:cs="Times New Roman"/>
        </w:rPr>
      </w:pPr>
      <w:r>
        <w:rPr>
          <w:rFonts w:hint="eastAsia" w:ascii="宋体" w:hAnsi="宋体" w:eastAsia="宋体" w:cs="Times New Roman"/>
        </w:rPr>
        <w:t>（5）招标文件所列示的资格性审查表及符合性审查表。</w:t>
      </w:r>
    </w:p>
    <w:p>
      <w:pPr>
        <w:rPr>
          <w:rFonts w:ascii="黑体" w:hAnsi="宋体" w:eastAsia="黑体" w:cs="Times New Roman"/>
          <w:sz w:val="24"/>
        </w:rPr>
      </w:pPr>
      <w:r>
        <w:rPr>
          <w:rFonts w:hint="eastAsia" w:ascii="黑体" w:hAnsi="宋体" w:eastAsia="黑体" w:cs="Times New Roman"/>
          <w:sz w:val="24"/>
        </w:rPr>
        <w:t>31．独立评审</w:t>
      </w:r>
    </w:p>
    <w:p>
      <w:pPr>
        <w:ind w:firstLine="411" w:firstLineChars="196"/>
        <w:rPr>
          <w:rFonts w:ascii="宋体" w:hAnsi="宋体" w:eastAsia="宋体" w:cs="Times New Roman"/>
          <w:bCs/>
        </w:rPr>
      </w:pPr>
      <w:r>
        <w:rPr>
          <w:rFonts w:hint="eastAsia" w:ascii="宋体" w:hAnsi="宋体" w:eastAsia="宋体" w:cs="Times New Roman"/>
          <w:bCs/>
        </w:rPr>
        <w:t>3</w:t>
      </w:r>
      <w:r>
        <w:rPr>
          <w:rFonts w:ascii="宋体" w:hAnsi="宋体" w:eastAsia="宋体" w:cs="Times New Roman"/>
          <w:bCs/>
        </w:rPr>
        <w:t>1</w:t>
      </w:r>
      <w:r>
        <w:rPr>
          <w:rFonts w:hint="eastAsia" w:ascii="宋体" w:hAnsi="宋体" w:eastAsia="宋体" w:cs="Times New Roman"/>
          <w:bCs/>
        </w:rPr>
        <w:t>.1</w:t>
      </w:r>
      <w:r>
        <w:rPr>
          <w:rFonts w:hint="eastAsia" w:ascii="宋体" w:hAnsi="宋体" w:eastAsia="宋体" w:cs="Times New Roman"/>
          <w:szCs w:val="21"/>
        </w:rPr>
        <w:t>评审委员会</w:t>
      </w:r>
      <w:r>
        <w:rPr>
          <w:rFonts w:hint="eastAsia" w:ascii="宋体" w:hAnsi="宋体" w:eastAsia="宋体" w:cs="Times New Roman"/>
          <w:bCs/>
        </w:rPr>
        <w:t>成员的评标活动应当独立进行，并应遵循投标文件初审、澄清有关问题、比较与评价、确定中标供应商、编写评审报告的工作程序。</w:t>
      </w:r>
    </w:p>
    <w:p>
      <w:pPr>
        <w:ind w:firstLine="411" w:firstLineChars="196"/>
        <w:rPr>
          <w:rFonts w:ascii="宋体" w:hAnsi="宋体" w:eastAsia="宋体" w:cs="Times New Roman"/>
          <w:bCs/>
          <w:szCs w:val="21"/>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评审程序及评审方法</w:t>
      </w:r>
    </w:p>
    <w:p>
      <w:pPr>
        <w:rPr>
          <w:rFonts w:ascii="黑体" w:hAnsi="宋体" w:eastAsia="黑体" w:cs="Times New Roman"/>
          <w:sz w:val="24"/>
        </w:rPr>
      </w:pPr>
      <w:r>
        <w:rPr>
          <w:rFonts w:hint="eastAsia" w:ascii="黑体" w:hAnsi="宋体" w:eastAsia="黑体" w:cs="Times New Roman"/>
          <w:sz w:val="24"/>
        </w:rPr>
        <w:t>32．投标文件初审</w:t>
      </w:r>
    </w:p>
    <w:p>
      <w:pPr>
        <w:ind w:firstLine="411" w:firstLineChars="196"/>
        <w:rPr>
          <w:rFonts w:ascii="宋体" w:hAnsi="宋体" w:eastAsia="宋体" w:cs="Times New Roman"/>
        </w:rPr>
      </w:pPr>
      <w:r>
        <w:rPr>
          <w:rFonts w:hint="eastAsia" w:ascii="宋体" w:hAnsi="宋体" w:eastAsia="宋体" w:cs="Times New Roman"/>
        </w:rPr>
        <w:t>32.1投标文件初审包括资格性审查和符合性审查。</w:t>
      </w:r>
    </w:p>
    <w:p>
      <w:pPr>
        <w:ind w:firstLine="411" w:firstLineChars="196"/>
        <w:rPr>
          <w:rFonts w:ascii="宋体" w:hAnsi="宋体" w:eastAsia="宋体" w:cs="Times New Roman"/>
        </w:rPr>
      </w:pPr>
      <w:r>
        <w:rPr>
          <w:rFonts w:hint="eastAsia" w:ascii="宋体" w:hAnsi="宋体" w:eastAsia="宋体" w:cs="Times New Roman"/>
        </w:rPr>
        <w:t>资格性审查：</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rPr>
        <w:t>依据法律法规和招标文件的规定，对投标文件中的资格证明等进行审查，以确定投标供应商是否具备投标资格。</w:t>
      </w:r>
    </w:p>
    <w:p>
      <w:pPr>
        <w:ind w:firstLine="411" w:firstLineChars="196"/>
        <w:rPr>
          <w:rFonts w:ascii="宋体" w:hAnsi="宋体" w:eastAsia="宋体" w:cs="Times New Roman"/>
        </w:rPr>
      </w:pPr>
      <w:r>
        <w:rPr>
          <w:rFonts w:hint="eastAsia" w:ascii="宋体" w:hAnsi="宋体" w:eastAsia="宋体" w:cs="Times New Roman"/>
        </w:rPr>
        <w:t>符合性审查：依据招标文件的规定，对投标文件的有效性、完整性和对招标文件的响应程度进行审查，以确定是否满足符合性审查的要求。</w:t>
      </w:r>
    </w:p>
    <w:p>
      <w:pPr>
        <w:ind w:firstLine="411" w:firstLineChars="196"/>
        <w:rPr>
          <w:rFonts w:ascii="宋体" w:hAnsi="宋体" w:eastAsia="宋体" w:cs="Times New Roman"/>
        </w:rPr>
      </w:pPr>
      <w:r>
        <w:rPr>
          <w:rFonts w:hint="eastAsia" w:ascii="宋体" w:hAnsi="宋体" w:eastAsia="宋体" w:cs="Times New Roman"/>
        </w:rPr>
        <w:t>32.2 投标文件初审内容请详见《资格性审查表》和《符合性审查表》部分。投标人若有一条审查不通过则按投标无效处理。</w:t>
      </w:r>
    </w:p>
    <w:p>
      <w:pPr>
        <w:ind w:firstLine="411" w:firstLineChars="196"/>
        <w:rPr>
          <w:rFonts w:ascii="宋体" w:hAnsi="宋体" w:eastAsia="宋体" w:cs="Times New Roman"/>
          <w:bCs/>
        </w:rPr>
      </w:pPr>
      <w:r>
        <w:rPr>
          <w:rFonts w:hint="eastAsia" w:ascii="宋体" w:hAnsi="宋体" w:eastAsia="宋体" w:cs="Times New Roman"/>
          <w:bCs/>
        </w:rPr>
        <w:t>32.3 投标文件初审中关于供应商家数的计算:</w:t>
      </w:r>
    </w:p>
    <w:p>
      <w:pPr>
        <w:ind w:firstLine="411" w:firstLineChars="196"/>
        <w:rPr>
          <w:rFonts w:ascii="宋体" w:hAnsi="宋体" w:eastAsia="宋体" w:cs="Times New Roman"/>
          <w:bCs/>
        </w:rPr>
      </w:pPr>
      <w:r>
        <w:rPr>
          <w:rFonts w:hint="eastAsia" w:ascii="宋体" w:hAnsi="宋体" w:eastAsia="宋体" w:cs="Times New Roman"/>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eastAsia="宋体" w:cs="Times New Roman"/>
          <w:bCs/>
        </w:rPr>
      </w:pPr>
      <w:r>
        <w:rPr>
          <w:rFonts w:hint="eastAsia" w:ascii="宋体" w:hAnsi="宋体" w:eastAsia="宋体" w:cs="Times New Roman"/>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imes New Roman"/>
          <w:bCs/>
          <w:szCs w:val="21"/>
        </w:rPr>
        <w:t>评审委员会</w:t>
      </w:r>
      <w:r>
        <w:rPr>
          <w:rFonts w:hint="eastAsia" w:ascii="宋体" w:hAnsi="宋体" w:eastAsia="宋体" w:cs="Times New Roman"/>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eastAsia="宋体" w:cs="Times New Roman"/>
          <w:bCs/>
        </w:rPr>
      </w:pPr>
      <w:r>
        <w:rPr>
          <w:rFonts w:hint="eastAsia" w:ascii="宋体" w:hAnsi="宋体" w:eastAsia="宋体" w:cs="Times New Roman"/>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eastAsia="宋体" w:cs="Times New Roman"/>
        </w:rPr>
      </w:pPr>
      <w:r>
        <w:rPr>
          <w:rFonts w:hint="eastAsia" w:ascii="宋体" w:hAnsi="宋体" w:eastAsia="宋体" w:cs="Times New Roman"/>
        </w:rPr>
        <w:t>32.4投标人投标文件作无效处理的情形，具体包括但不限于以下：</w:t>
      </w:r>
    </w:p>
    <w:p>
      <w:pPr>
        <w:ind w:firstLine="411" w:firstLineChars="196"/>
        <w:rPr>
          <w:rFonts w:ascii="Times New Roman" w:hAnsi="Times New Roman" w:eastAsia="宋体" w:cs="Times New Roman"/>
        </w:rPr>
      </w:pPr>
      <w:r>
        <w:rPr>
          <w:rFonts w:hint="eastAsia" w:ascii="宋体" w:hAnsi="宋体" w:eastAsia="宋体" w:cs="Times New Roman"/>
        </w:rPr>
        <w:t>32.4.1</w:t>
      </w:r>
      <w:r>
        <w:rPr>
          <w:rFonts w:hint="eastAsia" w:ascii="Times New Roman" w:hAnsi="Times New Roman" w:eastAsia="宋体" w:cs="Times New Roman"/>
        </w:rPr>
        <w:t>不同投标人的投标文件由同一单位或者同一个人编制，或者由同一个人分阶段参与编制；</w:t>
      </w:r>
    </w:p>
    <w:p>
      <w:pPr>
        <w:ind w:firstLine="411" w:firstLineChars="196"/>
        <w:rPr>
          <w:rFonts w:ascii="Times New Roman" w:hAnsi="Times New Roman" w:eastAsia="宋体" w:cs="Times New Roman"/>
        </w:rPr>
      </w:pPr>
      <w:r>
        <w:rPr>
          <w:rFonts w:ascii="宋体" w:hAnsi="宋体" w:eastAsia="宋体" w:cs="Times New Roman"/>
        </w:rPr>
        <w:t>32.4.</w:t>
      </w:r>
      <w:r>
        <w:rPr>
          <w:rFonts w:hint="eastAsia" w:ascii="宋体" w:hAnsi="宋体" w:eastAsia="宋体" w:cs="Times New Roman"/>
        </w:rPr>
        <w:t>2</w:t>
      </w:r>
      <w:r>
        <w:rPr>
          <w:rFonts w:hint="eastAsia" w:ascii="Times New Roman" w:hAnsi="Times New Roman" w:eastAsia="宋体" w:cs="Times New Roman"/>
        </w:rPr>
        <w:t>不同投标人委托同一单位或者个人办理投标事宜；</w:t>
      </w:r>
    </w:p>
    <w:p>
      <w:pPr>
        <w:ind w:firstLine="411" w:firstLineChars="196"/>
        <w:rPr>
          <w:rFonts w:ascii="宋体" w:hAnsi="宋体" w:eastAsia="宋体" w:cs="Times New Roman"/>
        </w:rPr>
      </w:pPr>
      <w:r>
        <w:rPr>
          <w:rFonts w:hint="eastAsia" w:ascii="宋体" w:hAnsi="宋体" w:eastAsia="宋体" w:cs="Times New Roman"/>
        </w:rPr>
        <w:t>32.4.3不同投标人的投标文件载明的项目管理成员或者联系人员为同一人；</w:t>
      </w:r>
    </w:p>
    <w:p>
      <w:pPr>
        <w:ind w:firstLine="411" w:firstLineChars="196"/>
        <w:rPr>
          <w:rFonts w:ascii="宋体" w:hAnsi="宋体" w:eastAsia="宋体" w:cs="Times New Roman"/>
        </w:rPr>
      </w:pPr>
      <w:r>
        <w:rPr>
          <w:rFonts w:hint="eastAsia" w:ascii="宋体" w:hAnsi="宋体" w:eastAsia="宋体" w:cs="Times New Roman"/>
        </w:rPr>
        <w:t>32.4.4不同投标人的投标文件异常一致或者投标报价呈规律性差异；</w:t>
      </w:r>
    </w:p>
    <w:p>
      <w:pPr>
        <w:ind w:firstLine="411" w:firstLineChars="196"/>
        <w:rPr>
          <w:rFonts w:ascii="宋体" w:hAnsi="宋体" w:eastAsia="宋体" w:cs="Times New Roman"/>
        </w:rPr>
      </w:pPr>
      <w:r>
        <w:rPr>
          <w:rFonts w:hint="eastAsia" w:ascii="宋体" w:hAnsi="宋体" w:eastAsia="宋体" w:cs="Times New Roman"/>
        </w:rPr>
        <w:t>32.4.5</w:t>
      </w:r>
      <w:r>
        <w:rPr>
          <w:rFonts w:ascii="宋体" w:hAnsi="宋体" w:eastAsia="宋体" w:cs="Times New Roman"/>
        </w:rPr>
        <w:t>不同投标供应商的投标文件或部分投标文件相互混装</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32.4.6投标供应商之间相互约定给予未中标的供应商利益补偿；</w:t>
      </w:r>
    </w:p>
    <w:p>
      <w:pPr>
        <w:ind w:firstLine="411" w:firstLineChars="196"/>
        <w:rPr>
          <w:rFonts w:ascii="宋体" w:hAnsi="宋体" w:eastAsia="宋体" w:cs="Times New Roman"/>
        </w:rPr>
      </w:pPr>
      <w:r>
        <w:rPr>
          <w:rFonts w:hint="eastAsia" w:ascii="宋体" w:hAnsi="宋体" w:eastAsia="宋体" w:cs="Times New Roman"/>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eastAsia="宋体" w:cs="Times New Roman"/>
        </w:rPr>
      </w:pPr>
      <w:r>
        <w:rPr>
          <w:rFonts w:hint="eastAsia" w:ascii="宋体" w:hAnsi="宋体" w:eastAsia="宋体" w:cs="Times New Roman"/>
        </w:rPr>
        <w:t>32.4.8不同投标供应商的投标文件内容存在非正常一致；</w:t>
      </w:r>
    </w:p>
    <w:p>
      <w:pPr>
        <w:ind w:firstLine="411" w:firstLineChars="196"/>
        <w:rPr>
          <w:rFonts w:ascii="宋体" w:hAnsi="宋体" w:eastAsia="宋体" w:cs="Times New Roman"/>
        </w:rPr>
      </w:pPr>
      <w:r>
        <w:rPr>
          <w:rFonts w:hint="eastAsia" w:ascii="宋体" w:hAnsi="宋体" w:eastAsia="宋体" w:cs="Times New Roman"/>
        </w:rPr>
        <w:t>32.4.9在同一单位工作人员为两家以上（含两家）供应商进行同一项投标活动；</w:t>
      </w:r>
    </w:p>
    <w:p>
      <w:pPr>
        <w:ind w:firstLine="411" w:firstLineChars="196"/>
        <w:rPr>
          <w:rFonts w:ascii="宋体" w:hAnsi="宋体" w:eastAsia="宋体" w:cs="Times New Roman"/>
        </w:rPr>
      </w:pPr>
      <w:r>
        <w:rPr>
          <w:rFonts w:hint="eastAsia" w:ascii="宋体" w:hAnsi="宋体" w:eastAsia="宋体" w:cs="Times New Roman"/>
        </w:rPr>
        <w:t>32.4.10主管部门依照法律、法规认定的其他情形。</w:t>
      </w:r>
    </w:p>
    <w:p>
      <w:pPr>
        <w:rPr>
          <w:rFonts w:hint="eastAsia" w:ascii="宋体" w:hAnsi="宋体" w:eastAsia="宋体" w:cs="Times New Roman"/>
        </w:rPr>
      </w:pPr>
      <w:r>
        <w:rPr>
          <w:rFonts w:hint="eastAsia" w:ascii="宋体" w:hAnsi="宋体" w:eastAsia="宋体" w:cs="Times New Roman"/>
        </w:rPr>
        <w:t>32.5对不属于《资格性审查表》和《符合性审查表》所列的其他情形，除专用条款另有规定和32.4条款所列情形外，不得作为投标无效的理由。</w:t>
      </w:r>
    </w:p>
    <w:p>
      <w:pPr>
        <w:rPr>
          <w:rFonts w:ascii="黑体" w:hAnsi="宋体" w:eastAsia="黑体" w:cs="Times New Roman"/>
          <w:sz w:val="24"/>
        </w:rPr>
      </w:pPr>
      <w:r>
        <w:rPr>
          <w:rFonts w:hint="eastAsia" w:ascii="黑体" w:hAnsi="宋体" w:eastAsia="黑体" w:cs="Times New Roman"/>
          <w:sz w:val="24"/>
        </w:rPr>
        <w:t>33．澄清有关问题</w:t>
      </w:r>
    </w:p>
    <w:p>
      <w:pPr>
        <w:ind w:firstLine="411" w:firstLineChars="196"/>
        <w:rPr>
          <w:rFonts w:ascii="宋体" w:hAnsi="宋体" w:eastAsia="宋体" w:cs="Times New Roman"/>
        </w:rPr>
      </w:pPr>
      <w:bookmarkStart w:id="102" w:name="_Hlk71407321"/>
      <w:r>
        <w:rPr>
          <w:rFonts w:hint="eastAsia" w:ascii="宋体" w:hAnsi="宋体" w:eastAsia="宋体" w:cs="Times New Roman"/>
        </w:rPr>
        <w:t>3</w:t>
      </w:r>
      <w:r>
        <w:rPr>
          <w:rFonts w:ascii="宋体" w:hAnsi="宋体" w:eastAsia="宋体" w:cs="Times New Roman"/>
        </w:rPr>
        <w:t>3.1</w:t>
      </w:r>
      <w:r>
        <w:rPr>
          <w:rFonts w:hint="eastAsia" w:ascii="宋体" w:hAnsi="宋体" w:eastAsia="宋体" w:cs="Times New Roman"/>
        </w:rPr>
        <w:t>对招标文件中描述有歧义或前后不一致的地方（不含</w:t>
      </w:r>
      <w:r>
        <w:rPr>
          <w:rFonts w:ascii="Times New Roman" w:hAnsi="Times New Roman" w:eastAsia="宋体" w:cs="Times New Roman"/>
          <w:szCs w:val="21"/>
        </w:rPr>
        <w:t>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w:t>
      </w:r>
      <w:r>
        <w:rPr>
          <w:rFonts w:hint="eastAsia" w:ascii="Times New Roman" w:hAnsi="Times New Roman" w:eastAsia="宋体" w:cs="Times New Roman"/>
          <w:szCs w:val="21"/>
        </w:rPr>
        <w:t>的情况）</w:t>
      </w:r>
      <w:r>
        <w:rPr>
          <w:rFonts w:hint="eastAsia" w:ascii="宋体" w:hAnsi="宋体" w:eastAsia="宋体" w:cs="Times New Roman"/>
        </w:rPr>
        <w:t>，评审委员会有权进行评判，但对同一条款的评判应适用于每个投标人。</w:t>
      </w:r>
      <w:bookmarkEnd w:id="102"/>
    </w:p>
    <w:p>
      <w:pPr>
        <w:ind w:firstLine="411" w:firstLineChars="196"/>
        <w:rPr>
          <w:rFonts w:ascii="宋体" w:hAnsi="宋体" w:eastAsia="宋体" w:cs="Times New Roman"/>
        </w:rPr>
      </w:pPr>
      <w:r>
        <w:rPr>
          <w:rFonts w:hint="eastAsia" w:ascii="宋体" w:hAnsi="宋体" w:eastAsia="宋体" w:cs="Times New Roman"/>
        </w:rPr>
        <w:t>3</w:t>
      </w:r>
      <w:r>
        <w:rPr>
          <w:rFonts w:ascii="宋体" w:hAnsi="宋体" w:eastAsia="宋体" w:cs="Times New Roman"/>
        </w:rPr>
        <w:t>3.2</w:t>
      </w:r>
      <w:r>
        <w:rPr>
          <w:rFonts w:ascii="Times New Roman" w:hAnsi="Times New Roman" w:eastAsia="宋体" w:cs="Times New Roman"/>
          <w:szCs w:val="21"/>
        </w:rPr>
        <w:t>评</w:t>
      </w:r>
      <w:r>
        <w:rPr>
          <w:rFonts w:hint="eastAsia" w:ascii="Times New Roman" w:hAnsi="Times New Roman" w:eastAsia="宋体" w:cs="Times New Roman"/>
          <w:szCs w:val="21"/>
        </w:rPr>
        <w:t>审</w:t>
      </w:r>
      <w:r>
        <w:rPr>
          <w:rFonts w:ascii="Times New Roman" w:hAnsi="Times New Roman" w:eastAsia="宋体" w:cs="Times New Roman"/>
          <w:szCs w:val="21"/>
        </w:rPr>
        <w:t>委员会发现招标文件存在歧义、重大缺陷导致评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工作无法进行，或者招标文件内容违反国家有关强制性规定的，应当停止评</w:t>
      </w:r>
      <w:r>
        <w:rPr>
          <w:rFonts w:hint="eastAsia" w:ascii="Times New Roman" w:hAnsi="Times New Roman" w:eastAsia="宋体" w:cs="Times New Roman"/>
          <w:szCs w:val="21"/>
        </w:rPr>
        <w:t>审</w:t>
      </w:r>
      <w:r>
        <w:rPr>
          <w:rFonts w:ascii="Times New Roman" w:hAnsi="Times New Roman" w:eastAsia="宋体" w:cs="Times New Roman"/>
          <w:szCs w:val="21"/>
        </w:rPr>
        <w:t>工作，与</w:t>
      </w:r>
      <w:r>
        <w:rPr>
          <w:rFonts w:hint="eastAsia" w:ascii="Times New Roman" w:hAnsi="Times New Roman" w:eastAsia="宋体" w:cs="Times New Roman"/>
          <w:szCs w:val="21"/>
        </w:rPr>
        <w:t>政府集中采购机构</w:t>
      </w:r>
      <w:r>
        <w:rPr>
          <w:rFonts w:ascii="Times New Roman" w:hAnsi="Times New Roman" w:eastAsia="宋体" w:cs="Times New Roman"/>
          <w:szCs w:val="21"/>
        </w:rPr>
        <w:t>沟通并作书面记录。</w:t>
      </w:r>
      <w:r>
        <w:rPr>
          <w:rFonts w:hint="eastAsia" w:ascii="Times New Roman" w:hAnsi="Times New Roman" w:eastAsia="宋体" w:cs="Times New Roman"/>
          <w:szCs w:val="21"/>
        </w:rPr>
        <w:t>经</w:t>
      </w:r>
      <w:r>
        <w:rPr>
          <w:rFonts w:ascii="Times New Roman" w:hAnsi="Times New Roman" w:eastAsia="宋体" w:cs="Times New Roman"/>
          <w:szCs w:val="21"/>
        </w:rPr>
        <w:t>确认后，</w:t>
      </w:r>
      <w:r>
        <w:rPr>
          <w:rFonts w:hint="eastAsia" w:ascii="Times New Roman" w:hAnsi="Times New Roman" w:eastAsia="宋体" w:cs="Times New Roman"/>
          <w:szCs w:val="21"/>
        </w:rPr>
        <w:t>项目</w:t>
      </w:r>
      <w:r>
        <w:rPr>
          <w:rFonts w:ascii="Times New Roman" w:hAnsi="Times New Roman" w:eastAsia="宋体" w:cs="Times New Roman"/>
          <w:szCs w:val="21"/>
        </w:rPr>
        <w:t>应当修改招标文件，重新组织采购活动。</w:t>
      </w:r>
    </w:p>
    <w:p>
      <w:pPr>
        <w:ind w:firstLine="411" w:firstLineChars="196"/>
        <w:rPr>
          <w:rFonts w:ascii="宋体" w:hAnsi="宋体" w:eastAsia="宋体" w:cs="Times New Roman"/>
        </w:rPr>
      </w:pPr>
      <w:r>
        <w:rPr>
          <w:rFonts w:ascii="宋体" w:hAnsi="宋体" w:eastAsia="宋体" w:cs="Times New Roman"/>
        </w:rPr>
        <w:t>33.3</w:t>
      </w:r>
      <w:r>
        <w:rPr>
          <w:rFonts w:hint="eastAsia" w:ascii="宋体" w:hAnsi="宋体" w:eastAsia="宋体" w:cs="Times New Roman"/>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eastAsia="宋体" w:cs="Times New Roman"/>
        </w:rPr>
      </w:pPr>
      <w:r>
        <w:rPr>
          <w:rFonts w:hint="eastAsia" w:ascii="宋体" w:hAnsi="宋体" w:eastAsia="宋体" w:cs="Times New Roma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eastAsia="宋体" w:cs="Times New Roman"/>
          <w:szCs w:val="21"/>
        </w:rPr>
      </w:pPr>
      <w:r>
        <w:rPr>
          <w:rFonts w:hint="eastAsia" w:ascii="宋体" w:hAnsi="宋体" w:eastAsia="宋体" w:cs="Times New Roman"/>
          <w:szCs w:val="21"/>
        </w:rPr>
        <w:t>根据本通用条款第34条，凡属于评审委员会在评审中发现的算术错误进行核实的修改不在此列。</w:t>
      </w:r>
    </w:p>
    <w:p>
      <w:pPr>
        <w:rPr>
          <w:rFonts w:ascii="黑体" w:hAnsi="宋体" w:eastAsia="黑体" w:cs="Times New Roman"/>
          <w:sz w:val="24"/>
        </w:rPr>
      </w:pPr>
      <w:bookmarkStart w:id="103" w:name="_Toc73518151"/>
      <w:bookmarkStart w:id="104" w:name="_Toc73521581"/>
      <w:bookmarkStart w:id="105" w:name="_Toc73521669"/>
      <w:bookmarkStart w:id="106" w:name="_Toc73517673"/>
      <w:bookmarkStart w:id="107" w:name="_Toc100052400"/>
      <w:r>
        <w:rPr>
          <w:rFonts w:hint="eastAsia" w:ascii="黑体" w:hAnsi="宋体" w:eastAsia="黑体" w:cs="Times New Roman"/>
          <w:sz w:val="24"/>
        </w:rPr>
        <w:t>34．错误的修正</w:t>
      </w:r>
      <w:bookmarkEnd w:id="103"/>
      <w:bookmarkEnd w:id="104"/>
      <w:bookmarkEnd w:id="105"/>
      <w:bookmarkEnd w:id="106"/>
      <w:bookmarkEnd w:id="107"/>
    </w:p>
    <w:p>
      <w:pPr>
        <w:ind w:firstLine="411" w:firstLineChars="196"/>
        <w:rPr>
          <w:rFonts w:ascii="宋体" w:hAnsi="宋体" w:eastAsia="宋体" w:cs="Times New Roman"/>
          <w:szCs w:val="21"/>
        </w:rPr>
      </w:pPr>
      <w:r>
        <w:rPr>
          <w:rFonts w:hint="eastAsia" w:ascii="宋体" w:hAnsi="宋体" w:eastAsia="宋体" w:cs="Times New Roman"/>
          <w:szCs w:val="21"/>
        </w:rPr>
        <w:t>投标文件报价出现前后不一致的，除专用条款另有规定外，按照下列规定修正：</w:t>
      </w:r>
    </w:p>
    <w:p>
      <w:pPr>
        <w:ind w:firstLine="411" w:firstLineChars="196"/>
        <w:rPr>
          <w:rFonts w:ascii="宋体" w:hAnsi="宋体" w:eastAsia="宋体" w:cs="Times New Roman"/>
          <w:szCs w:val="21"/>
        </w:rPr>
      </w:pPr>
      <w:r>
        <w:rPr>
          <w:rFonts w:hint="eastAsia" w:ascii="宋体" w:hAnsi="宋体" w:eastAsia="宋体" w:cs="Times New Roman"/>
          <w:szCs w:val="21"/>
        </w:rPr>
        <w:t>34.1投标文件中开标一览表投标报价内容与投标文件中投标报价相应内容不一致的，以开标一览表为准；</w:t>
      </w:r>
    </w:p>
    <w:p>
      <w:pPr>
        <w:ind w:firstLine="411" w:firstLineChars="196"/>
        <w:rPr>
          <w:rFonts w:ascii="宋体" w:hAnsi="宋体" w:eastAsia="宋体" w:cs="Times New Roman"/>
          <w:szCs w:val="21"/>
        </w:rPr>
      </w:pPr>
      <w:r>
        <w:rPr>
          <w:rFonts w:hint="eastAsia" w:ascii="宋体" w:hAnsi="宋体" w:eastAsia="宋体" w:cs="Times New Roman"/>
          <w:szCs w:val="21"/>
        </w:rPr>
        <w:t>34.2大写金额和小写金额不一致的，以大写金额为准；</w:t>
      </w:r>
    </w:p>
    <w:p>
      <w:pPr>
        <w:ind w:firstLine="411" w:firstLineChars="196"/>
        <w:rPr>
          <w:rFonts w:ascii="宋体" w:hAnsi="宋体" w:eastAsia="宋体" w:cs="Times New Roman"/>
          <w:szCs w:val="21"/>
        </w:rPr>
      </w:pPr>
      <w:r>
        <w:rPr>
          <w:rFonts w:hint="eastAsia" w:ascii="宋体" w:hAnsi="宋体" w:eastAsia="宋体" w:cs="Times New Roman"/>
          <w:szCs w:val="21"/>
        </w:rPr>
        <w:t>34.3单价金额小数点或者百分比有明显错位，以开标一览表的总价为准，并修改单价；</w:t>
      </w:r>
    </w:p>
    <w:p>
      <w:pPr>
        <w:ind w:firstLine="411" w:firstLineChars="196"/>
        <w:rPr>
          <w:rFonts w:ascii="宋体" w:hAnsi="宋体" w:eastAsia="宋体" w:cs="Times New Roman"/>
          <w:szCs w:val="21"/>
        </w:rPr>
      </w:pPr>
      <w:r>
        <w:rPr>
          <w:rFonts w:hint="eastAsia" w:ascii="宋体" w:hAnsi="宋体" w:eastAsia="宋体" w:cs="Times New Roman"/>
          <w:szCs w:val="21"/>
        </w:rPr>
        <w:t>34.4总价金额与按单价汇总金额不一致的，以单价金额计算结果为准。</w:t>
      </w:r>
    </w:p>
    <w:p>
      <w:pPr>
        <w:ind w:firstLine="411" w:firstLineChars="196"/>
        <w:rPr>
          <w:rFonts w:ascii="宋体" w:hAnsi="宋体" w:eastAsia="宋体" w:cs="Times New Roman"/>
          <w:szCs w:val="21"/>
        </w:rPr>
      </w:pPr>
      <w:r>
        <w:rPr>
          <w:rFonts w:hint="eastAsia" w:ascii="宋体" w:hAnsi="宋体" w:eastAsia="宋体" w:cs="Times New Roman"/>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cs="Times New Roman"/>
          <w:sz w:val="24"/>
        </w:rPr>
      </w:pPr>
      <w:r>
        <w:rPr>
          <w:rFonts w:hint="eastAsia" w:ascii="黑体" w:hAnsi="宋体" w:eastAsia="黑体" w:cs="Times New Roman"/>
          <w:sz w:val="24"/>
        </w:rPr>
        <w:t>35．投标文件的比较与评价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评审委员会将</w:t>
      </w:r>
      <w:r>
        <w:rPr>
          <w:rFonts w:hint="eastAsia" w:ascii="宋体" w:hAnsi="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cs="Times New Roman"/>
          <w:sz w:val="24"/>
        </w:rPr>
      </w:pPr>
      <w:r>
        <w:rPr>
          <w:rFonts w:hint="eastAsia" w:ascii="黑体" w:hAnsi="宋体" w:eastAsia="黑体" w:cs="Times New Roman"/>
          <w:sz w:val="24"/>
        </w:rPr>
        <w:t>36. 实地考察或资料查验</w:t>
      </w:r>
    </w:p>
    <w:p>
      <w:pPr>
        <w:ind w:firstLine="411" w:firstLineChars="196"/>
        <w:rPr>
          <w:rFonts w:ascii="宋体" w:hAnsi="宋体" w:eastAsia="宋体" w:cs="Times New Roman"/>
          <w:szCs w:val="21"/>
        </w:rPr>
      </w:pPr>
      <w:r>
        <w:rPr>
          <w:rFonts w:hint="eastAsia" w:ascii="宋体" w:hAnsi="宋体" w:eastAsia="宋体" w:cs="Times New Roman"/>
          <w:szCs w:val="21"/>
        </w:rPr>
        <w:t>36.1在评审过程中，评审委员会有权决定是否对本项目投标人进行实地考察或资料查验（原件）。投标人应随时做好接受实地考察或资料查验的准备。</w:t>
      </w:r>
    </w:p>
    <w:p>
      <w:pPr>
        <w:rPr>
          <w:rFonts w:ascii="黑体" w:hAnsi="宋体" w:eastAsia="黑体" w:cs="Times New Roman"/>
          <w:sz w:val="24"/>
        </w:rPr>
      </w:pPr>
      <w:r>
        <w:rPr>
          <w:rFonts w:hint="eastAsia" w:ascii="黑体" w:hAnsi="宋体" w:eastAsia="黑体" w:cs="Times New Roman"/>
          <w:sz w:val="24"/>
        </w:rPr>
        <w:t>37．评审方法</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37.1.1最低价法</w:t>
      </w:r>
    </w:p>
    <w:p>
      <w:pPr>
        <w:ind w:firstLine="411" w:firstLineChars="196"/>
        <w:rPr>
          <w:rFonts w:hint="eastAsia" w:ascii="ˎ̥" w:hAnsi="ˎ̥" w:eastAsia="宋体" w:cs="Times New Roman"/>
          <w:lang w:eastAsia="zh-CN"/>
        </w:rPr>
      </w:pPr>
      <w:bookmarkStart w:id="108" w:name="_Hlk72438142"/>
      <w:r>
        <w:rPr>
          <w:rFonts w:ascii="ˎ̥" w:hAnsi="ˎ̥" w:eastAsia="宋体" w:cs="Times New Roman"/>
        </w:rPr>
        <w:t>最低价法，</w:t>
      </w:r>
      <w:r>
        <w:rPr>
          <w:rFonts w:hint="eastAsia" w:ascii="ˎ̥" w:hAnsi="ˎ̥" w:eastAsia="宋体" w:cs="Times New Roman"/>
        </w:rPr>
        <w:t>是指投标文件满足招标文件全部实质性要求，且投标报价最低的投标人为中标候选人的评标方法</w:t>
      </w:r>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37.1.2综合评分法</w:t>
      </w:r>
    </w:p>
    <w:p>
      <w:pPr>
        <w:ind w:firstLine="411" w:firstLineChars="196"/>
        <w:rPr>
          <w:rFonts w:hint="eastAsia" w:ascii="ˎ̥" w:hAnsi="ˎ̥" w:eastAsia="宋体" w:cs="Times New Roman"/>
          <w:lang w:eastAsia="zh-CN"/>
        </w:rPr>
      </w:pPr>
      <w:r>
        <w:rPr>
          <w:rFonts w:ascii="ˎ̥" w:hAnsi="ˎ̥" w:eastAsia="宋体" w:cs="Times New Roman"/>
        </w:rPr>
        <w:t>综合评分法，是指</w:t>
      </w:r>
      <w:r>
        <w:rPr>
          <w:rFonts w:hint="eastAsia" w:ascii="ˎ̥" w:hAnsi="ˎ̥" w:eastAsia="宋体" w:cs="Times New Roman"/>
        </w:rPr>
        <w:t>在</w:t>
      </w:r>
      <w:r>
        <w:rPr>
          <w:rFonts w:ascii="ˎ̥" w:hAnsi="ˎ̥" w:eastAsia="宋体" w:cs="Times New Roman"/>
        </w:rPr>
        <w:t>满足招标文件全部实质性要求</w:t>
      </w:r>
      <w:r>
        <w:rPr>
          <w:rFonts w:hint="eastAsia" w:ascii="ˎ̥" w:hAnsi="ˎ̥" w:eastAsia="宋体" w:cs="Times New Roman"/>
        </w:rPr>
        <w:t>的前提下</w:t>
      </w:r>
      <w:r>
        <w:rPr>
          <w:rFonts w:ascii="ˎ̥" w:hAnsi="ˎ̥" w:eastAsia="宋体" w:cs="Times New Roman"/>
        </w:rPr>
        <w:t>，</w:t>
      </w:r>
      <w:r>
        <w:rPr>
          <w:rFonts w:hint="eastAsia" w:ascii="ˎ̥" w:hAnsi="ˎ̥" w:eastAsia="宋体" w:cs="Times New Roman"/>
        </w:rPr>
        <w:t>按照招标文件中规定的各项因素进行综合评审，评审总得分排名前列的投标人，作为推荐的候选中标供应商</w:t>
      </w:r>
      <w:bookmarkEnd w:id="108"/>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37.2本项目采用的评审方法见本项目招标文件第一册“专用条款”的相关内容。</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37.3重新评审的情形</w:t>
      </w:r>
    </w:p>
    <w:p>
      <w:pPr>
        <w:ind w:firstLine="411" w:firstLineChars="196"/>
        <w:rPr>
          <w:rFonts w:ascii="宋体" w:hAnsi="宋体" w:eastAsia="宋体" w:cs="Times New Roman"/>
          <w:b/>
          <w:bCs/>
          <w:szCs w:val="21"/>
        </w:rPr>
      </w:pPr>
      <w:r>
        <w:rPr>
          <w:rFonts w:hint="eastAsia" w:ascii="宋体" w:hAnsi="宋体" w:eastAsia="宋体" w:cs="宋体"/>
          <w:kern w:val="0"/>
          <w:szCs w:val="21"/>
        </w:rPr>
        <w:t>评审结果汇总完成后，除下列情形外，任何人不得修改评审结果：</w:t>
      </w:r>
    </w:p>
    <w:p>
      <w:pPr>
        <w:ind w:firstLine="411" w:firstLineChars="196"/>
        <w:rPr>
          <w:rFonts w:ascii="宋体" w:hAnsi="宋体" w:eastAsia="宋体" w:cs="宋体"/>
          <w:kern w:val="0"/>
          <w:szCs w:val="21"/>
        </w:rPr>
      </w:pPr>
      <w:r>
        <w:rPr>
          <w:rFonts w:hint="eastAsia" w:ascii="宋体" w:hAnsi="宋体" w:eastAsia="宋体" w:cs="宋体"/>
          <w:kern w:val="0"/>
          <w:szCs w:val="21"/>
        </w:rPr>
        <w:t>37.3.1分值汇总计算错误的；</w:t>
      </w:r>
    </w:p>
    <w:p>
      <w:pPr>
        <w:ind w:firstLine="411" w:firstLineChars="196"/>
        <w:rPr>
          <w:rFonts w:ascii="宋体" w:hAnsi="宋体" w:eastAsia="宋体" w:cs="宋体"/>
          <w:kern w:val="0"/>
          <w:szCs w:val="21"/>
        </w:rPr>
      </w:pPr>
      <w:r>
        <w:rPr>
          <w:rFonts w:hint="eastAsia" w:ascii="宋体" w:hAnsi="宋体" w:eastAsia="宋体" w:cs="宋体"/>
          <w:kern w:val="0"/>
          <w:szCs w:val="21"/>
        </w:rPr>
        <w:t>37.3.2分项评分超出评分标准范围的；</w:t>
      </w:r>
    </w:p>
    <w:p>
      <w:pPr>
        <w:ind w:firstLine="411" w:firstLineChars="196"/>
        <w:rPr>
          <w:rFonts w:ascii="宋体" w:hAnsi="宋体" w:eastAsia="宋体" w:cs="宋体"/>
          <w:kern w:val="0"/>
          <w:szCs w:val="21"/>
        </w:rPr>
      </w:pPr>
      <w:r>
        <w:rPr>
          <w:rFonts w:hint="eastAsia" w:ascii="宋体" w:hAnsi="宋体" w:eastAsia="宋体" w:cs="宋体"/>
          <w:kern w:val="0"/>
          <w:szCs w:val="21"/>
        </w:rPr>
        <w:t>37.3.3评审委员会成员对客观评审因素评分不一致的；</w:t>
      </w:r>
    </w:p>
    <w:p>
      <w:pPr>
        <w:ind w:firstLine="411" w:firstLineChars="196"/>
        <w:rPr>
          <w:rFonts w:ascii="宋体" w:hAnsi="宋体" w:eastAsia="宋体" w:cs="宋体"/>
          <w:kern w:val="0"/>
          <w:szCs w:val="21"/>
        </w:rPr>
      </w:pPr>
      <w:r>
        <w:rPr>
          <w:rFonts w:hint="eastAsia" w:ascii="宋体" w:hAnsi="宋体" w:eastAsia="宋体" w:cs="宋体"/>
          <w:kern w:val="0"/>
          <w:szCs w:val="21"/>
        </w:rPr>
        <w:t>37.3.4经评审委员会认定评分畸高、畸低的。</w:t>
      </w:r>
    </w:p>
    <w:p>
      <w:pPr>
        <w:ind w:firstLine="411" w:firstLineChars="196"/>
        <w:rPr>
          <w:rFonts w:ascii="宋体" w:hAnsi="宋体" w:eastAsia="宋体" w:cs="宋体"/>
          <w:kern w:val="0"/>
          <w:szCs w:val="21"/>
        </w:rPr>
      </w:pPr>
      <w:r>
        <w:rPr>
          <w:rFonts w:hint="eastAsia" w:ascii="宋体" w:hAnsi="宋体" w:eastAsia="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ind w:firstLine="411" w:firstLineChars="196"/>
        <w:rPr>
          <w:rFonts w:ascii="宋体" w:hAnsi="宋体" w:eastAsia="宋体" w:cs="宋体"/>
          <w:kern w:val="0"/>
          <w:szCs w:val="21"/>
        </w:rPr>
      </w:pPr>
      <w:r>
        <w:rPr>
          <w:rFonts w:hint="eastAsia" w:ascii="宋体" w:hAnsi="宋体" w:eastAsia="宋体" w:cs="宋体"/>
          <w:kern w:val="0"/>
          <w:szCs w:val="21"/>
        </w:rPr>
        <w:t>投标人对本条第一款情形提出质疑的，采购人或者采购代理机构可以组织原评审委员会进行重新评审。</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37.4重新组建评审委员会的情形</w:t>
      </w:r>
    </w:p>
    <w:p>
      <w:pPr>
        <w:ind w:firstLine="411" w:firstLineChars="196"/>
        <w:rPr>
          <w:rFonts w:ascii="宋体" w:hAnsi="宋体" w:eastAsia="宋体" w:cs="宋体"/>
          <w:kern w:val="0"/>
          <w:szCs w:val="21"/>
        </w:rPr>
      </w:pPr>
      <w:r>
        <w:rPr>
          <w:rFonts w:hint="eastAsia" w:ascii="宋体" w:hAnsi="宋体" w:eastAsia="宋体" w:cs="宋体"/>
          <w:kern w:val="0"/>
          <w:szCs w:val="21"/>
        </w:rPr>
        <w:t>评审委员会或者其成员存在下列情形导致评审结果无效的，重新组建评审委员会进行评标：</w:t>
      </w:r>
    </w:p>
    <w:p>
      <w:pPr>
        <w:ind w:firstLine="411" w:firstLineChars="196"/>
        <w:rPr>
          <w:rFonts w:ascii="宋体" w:hAnsi="宋体" w:eastAsia="宋体" w:cs="宋体"/>
          <w:kern w:val="0"/>
          <w:szCs w:val="21"/>
        </w:rPr>
      </w:pPr>
      <w:r>
        <w:rPr>
          <w:rFonts w:hint="eastAsia" w:ascii="宋体" w:hAnsi="宋体" w:eastAsia="宋体" w:cs="宋体"/>
          <w:kern w:val="0"/>
          <w:szCs w:val="21"/>
        </w:rPr>
        <w:t>37.4.1评审委员会组成不符合《政府采购货物和服务招标投标管理办法》规定的；</w:t>
      </w:r>
    </w:p>
    <w:p>
      <w:pPr>
        <w:ind w:firstLine="411" w:firstLineChars="196"/>
        <w:rPr>
          <w:rFonts w:ascii="宋体" w:hAnsi="宋体" w:eastAsia="宋体" w:cs="宋体"/>
          <w:kern w:val="0"/>
          <w:szCs w:val="21"/>
        </w:rPr>
      </w:pPr>
      <w:r>
        <w:rPr>
          <w:rFonts w:hint="eastAsia" w:ascii="宋体" w:hAnsi="宋体" w:eastAsia="宋体" w:cs="宋体"/>
          <w:kern w:val="0"/>
          <w:szCs w:val="21"/>
        </w:rPr>
        <w:t>37.4.2有《政府采购货物和服务招标投标管理办法》第六十二条第一至五项情形的；</w:t>
      </w:r>
    </w:p>
    <w:p>
      <w:pPr>
        <w:ind w:firstLine="411" w:firstLineChars="196"/>
        <w:rPr>
          <w:rFonts w:ascii="宋体" w:hAnsi="宋体" w:eastAsia="宋体" w:cs="宋体"/>
          <w:kern w:val="0"/>
          <w:szCs w:val="21"/>
        </w:rPr>
      </w:pPr>
      <w:r>
        <w:rPr>
          <w:rFonts w:hint="eastAsia" w:ascii="宋体" w:hAnsi="宋体" w:eastAsia="宋体" w:cs="宋体"/>
          <w:kern w:val="0"/>
          <w:szCs w:val="21"/>
        </w:rPr>
        <w:t>37.4.3评审委员会及其成员独立评标受到非法干预的；</w:t>
      </w:r>
    </w:p>
    <w:p>
      <w:pPr>
        <w:ind w:firstLine="411" w:firstLineChars="196"/>
        <w:rPr>
          <w:rFonts w:ascii="宋体" w:hAnsi="宋体" w:eastAsia="宋体" w:cs="宋体"/>
          <w:kern w:val="0"/>
          <w:szCs w:val="21"/>
        </w:rPr>
      </w:pPr>
      <w:r>
        <w:rPr>
          <w:rFonts w:hint="eastAsia" w:ascii="宋体" w:hAnsi="宋体" w:eastAsia="宋体" w:cs="宋体"/>
          <w:kern w:val="0"/>
          <w:szCs w:val="21"/>
        </w:rPr>
        <w:t>37.4.4有政府采购法实施条例第七十五条规定的违法行为的。</w:t>
      </w:r>
    </w:p>
    <w:p>
      <w:pPr>
        <w:ind w:firstLine="411" w:firstLineChars="196"/>
        <w:rPr>
          <w:rFonts w:ascii="宋体" w:hAnsi="宋体" w:eastAsia="宋体" w:cs="宋体"/>
          <w:kern w:val="0"/>
          <w:szCs w:val="21"/>
        </w:rPr>
      </w:pPr>
      <w:r>
        <w:rPr>
          <w:rFonts w:hint="eastAsia" w:ascii="宋体" w:hAnsi="宋体" w:eastAsia="宋体" w:cs="宋体"/>
          <w:kern w:val="0"/>
          <w:szCs w:val="21"/>
        </w:rPr>
        <w:t>有违法违规行为的原评审委员会成员不得参加重新组建的评审委员会。</w:t>
      </w:r>
    </w:p>
    <w:p>
      <w:pPr>
        <w:ind w:firstLine="411" w:firstLineChars="196"/>
        <w:rPr>
          <w:rFonts w:ascii="宋体" w:hAnsi="宋体" w:eastAsia="宋体" w:cs="Times New Roman"/>
          <w:szCs w:val="21"/>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定标及公示</w:t>
      </w:r>
    </w:p>
    <w:p>
      <w:pPr>
        <w:rPr>
          <w:rFonts w:ascii="黑体" w:hAnsi="宋体" w:eastAsia="黑体" w:cs="Times New Roman"/>
          <w:sz w:val="24"/>
        </w:rPr>
      </w:pPr>
      <w:r>
        <w:rPr>
          <w:rFonts w:hint="eastAsia" w:ascii="黑体" w:hAnsi="宋体" w:eastAsia="黑体" w:cs="Times New Roman"/>
          <w:sz w:val="24"/>
        </w:rPr>
        <w:t>38．定标方法</w:t>
      </w:r>
    </w:p>
    <w:p>
      <w:pPr>
        <w:ind w:firstLine="411" w:firstLineChars="196"/>
        <w:rPr>
          <w:rFonts w:ascii="宋体" w:hAnsi="宋体" w:eastAsia="宋体" w:cs="Times New Roman"/>
          <w:szCs w:val="21"/>
        </w:rPr>
      </w:pPr>
      <w:bookmarkStart w:id="109" w:name="_Hlk73782795"/>
      <w:r>
        <w:rPr>
          <w:rFonts w:hint="eastAsia" w:ascii="宋体" w:hAnsi="宋体" w:eastAsia="宋体" w:cs="Times New Roman"/>
          <w:szCs w:val="21"/>
        </w:rPr>
        <w:t>38.1非评定分离项目定标方法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1.2</w:t>
      </w:r>
      <w:r>
        <w:rPr>
          <w:rFonts w:ascii="ˎ̥" w:hAnsi="ˎ̥" w:eastAsia="宋体" w:cs="Times New Roman"/>
        </w:rPr>
        <w:t>采用最低价法的，评</w:t>
      </w:r>
      <w:r>
        <w:rPr>
          <w:rFonts w:hint="eastAsia" w:ascii="ˎ̥" w:hAnsi="ˎ̥" w:eastAsia="宋体" w:cs="Times New Roman"/>
        </w:rPr>
        <w:t>审</w:t>
      </w:r>
      <w:r>
        <w:rPr>
          <w:rFonts w:ascii="ˎ̥" w:hAnsi="ˎ̥" w:eastAsia="宋体" w:cs="Times New Roman"/>
        </w:rPr>
        <w:t>结果按投标报价由低到高顺序排列。投标报价相同的并列。投标文件满足招标文件全部实质性要求且投标报价最低的</w:t>
      </w:r>
      <w:r>
        <w:rPr>
          <w:rFonts w:hint="eastAsia" w:ascii="ˎ̥" w:hAnsi="ˎ̥" w:eastAsia="宋体" w:cs="Times New Roman"/>
        </w:rPr>
        <w:t>投标人为</w:t>
      </w:r>
      <w:bookmarkStart w:id="110" w:name="_Hlk73821177"/>
      <w:r>
        <w:rPr>
          <w:rFonts w:hint="eastAsia" w:ascii="ˎ̥" w:hAnsi="ˎ̥" w:eastAsia="宋体" w:cs="Times New Roman"/>
        </w:rPr>
        <w:t>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bookmarkEnd w:id="110"/>
      <w:r>
        <w:rPr>
          <w:rFonts w:ascii="ˎ̥" w:hAnsi="ˎ̥" w:eastAsia="宋体" w:cs="Times New Roman"/>
        </w:rPr>
        <w:t>）。</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采</w:t>
      </w:r>
      <w:r>
        <w:rPr>
          <w:rFonts w:ascii="ˎ̥" w:hAnsi="ˎ̥" w:eastAsia="宋体" w:cs="Times New Roma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Times New Roman"/>
        </w:rPr>
        <w:t>为中标供应商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r>
        <w:rPr>
          <w:rFonts w:ascii="ˎ̥" w:hAnsi="ˎ̥" w:eastAsia="宋体" w:cs="Times New Roman"/>
        </w:rPr>
        <w:t>）。</w:t>
      </w:r>
      <w:r>
        <w:rPr>
          <w:rFonts w:hint="eastAsia" w:ascii="ˎ̥" w:hAnsi="ˎ̥" w:eastAsia="宋体" w:cs="Times New Roman"/>
        </w:rPr>
        <w:t>出现</w:t>
      </w:r>
      <w:r>
        <w:rPr>
          <w:rFonts w:ascii="ˎ̥" w:hAnsi="ˎ̥" w:eastAsia="宋体" w:cs="Times New Roman"/>
        </w:rPr>
        <w:t>得分且投标报价相同的并列</w:t>
      </w:r>
      <w:r>
        <w:rPr>
          <w:rFonts w:hint="eastAsia" w:ascii="ˎ̥" w:hAnsi="ˎ̥" w:eastAsia="宋体" w:cs="Times New Roman"/>
        </w:rPr>
        <w:t>情况时，采取随机抽取的方式确定，具体操作办法及流程由评审委员会确定。</w:t>
      </w:r>
      <w:bookmarkStart w:id="141" w:name="_GoBack"/>
      <w:bookmarkEnd w:id="141"/>
    </w:p>
    <w:p>
      <w:pPr>
        <w:ind w:firstLine="411" w:firstLineChars="196"/>
        <w:rPr>
          <w:rFonts w:ascii="宋体" w:hAnsi="宋体" w:eastAsia="宋体" w:cs="Times New Roman"/>
          <w:szCs w:val="21"/>
        </w:rPr>
      </w:pPr>
      <w:r>
        <w:rPr>
          <w:rFonts w:hint="eastAsia" w:ascii="宋体" w:hAnsi="宋体" w:eastAsia="宋体" w:cs="Times New Roman"/>
          <w:szCs w:val="21"/>
        </w:rPr>
        <w:t>38.2评定分离项目定标方法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rFonts w:ascii="Times New Roman" w:hAnsi="Times New Roman" w:eastAsia="宋体" w:cs="Times New Roman"/>
        </w:rPr>
      </w:pPr>
      <w:r>
        <w:rPr>
          <w:rFonts w:ascii="宋体" w:hAnsi="宋体" w:eastAsia="宋体" w:cs="Times New Roman"/>
          <w:szCs w:val="21"/>
        </w:rPr>
        <w:t xml:space="preserve">38.2.2 </w:t>
      </w:r>
      <w:bookmarkStart w:id="111" w:name="_Hlk71469733"/>
      <w:r>
        <w:rPr>
          <w:rFonts w:ascii="Times New Roman" w:hAnsi="Times New Roman" w:eastAsia="宋体" w:cs="Times New Roman"/>
        </w:rPr>
        <w:t>适用评定分离的采购项目，采用综合评分法评</w:t>
      </w:r>
      <w:r>
        <w:rPr>
          <w:rFonts w:hint="eastAsia" w:ascii="Times New Roman" w:hAnsi="Times New Roman" w:eastAsia="宋体" w:cs="Times New Roman"/>
        </w:rPr>
        <w:t>审。</w:t>
      </w:r>
      <w:r>
        <w:rPr>
          <w:rFonts w:hint="eastAsia" w:ascii="宋体" w:hAnsi="宋体" w:eastAsia="宋体" w:cs="Times New Roman"/>
          <w:szCs w:val="21"/>
        </w:rPr>
        <w:t>评审委员会按照评审结果，推荐</w:t>
      </w:r>
      <w:r>
        <w:rPr>
          <w:rFonts w:ascii="Times New Roman" w:hAnsi="Times New Roman" w:eastAsia="宋体" w:cs="Times New Roman"/>
        </w:rPr>
        <w:t>三个合格的候选中标供应商。</w:t>
      </w:r>
    </w:p>
    <w:p>
      <w:pPr>
        <w:ind w:firstLine="411" w:firstLineChars="196"/>
        <w:rPr>
          <w:rFonts w:ascii="宋体" w:hAnsi="宋体" w:eastAsia="宋体" w:cs="Times New Roman"/>
          <w:szCs w:val="21"/>
        </w:rPr>
      </w:pPr>
      <w:r>
        <w:rPr>
          <w:rFonts w:hint="eastAsia" w:ascii="宋体" w:hAnsi="宋体" w:eastAsia="宋体" w:cs="Times New Roman"/>
          <w:szCs w:val="21"/>
        </w:rPr>
        <w:t>38.2.3</w:t>
      </w:r>
      <w:bookmarkStart w:id="112" w:name="_Hlk71469688"/>
      <w:r>
        <w:rPr>
          <w:rFonts w:ascii="Times New Roman" w:hAnsi="Times New Roman" w:eastAsia="宋体" w:cs="Times New Roman"/>
        </w:rPr>
        <w:t>适用评定分离的采购项目，</w:t>
      </w:r>
      <w:r>
        <w:rPr>
          <w:rFonts w:hint="eastAsia" w:ascii="宋体" w:hAnsi="宋体" w:eastAsia="宋体" w:cs="Times New Roman"/>
          <w:szCs w:val="21"/>
        </w:rPr>
        <w:t>按照自定法确定中标供应商：自定法是指采购人组织定标委员会，由定标委员会在三家候选中标供应商中确定中标供应商。</w:t>
      </w:r>
      <w:bookmarkEnd w:id="111"/>
      <w:bookmarkEnd w:id="112"/>
    </w:p>
    <w:p>
      <w:pPr>
        <w:ind w:firstLine="411" w:firstLineChars="196"/>
        <w:rPr>
          <w:rFonts w:ascii="宋体" w:hAnsi="宋体" w:eastAsia="宋体" w:cs="Times New Roman"/>
          <w:szCs w:val="21"/>
        </w:rPr>
      </w:pPr>
      <w:r>
        <w:rPr>
          <w:rFonts w:ascii="宋体" w:hAnsi="宋体" w:eastAsia="宋体" w:cs="Times New Roman"/>
          <w:szCs w:val="21"/>
        </w:rPr>
        <w:t>38.2.4</w:t>
      </w:r>
      <w:r>
        <w:rPr>
          <w:rFonts w:hint="eastAsia" w:ascii="宋体" w:hAnsi="宋体" w:eastAsia="宋体" w:cs="Times New Roman"/>
          <w:szCs w:val="21"/>
        </w:rPr>
        <w:t>政府集中采购机构</w:t>
      </w:r>
      <w:r>
        <w:rPr>
          <w:rFonts w:ascii="Times New Roman" w:hAnsi="Times New Roman" w:eastAsia="宋体" w:cs="Times New Roman"/>
        </w:rPr>
        <w:t>应当自评审结束之日起两个工作日内将候选中标供应商名单及其投标文件、评审报告送交采购人</w:t>
      </w:r>
      <w:r>
        <w:rPr>
          <w:rFonts w:hint="eastAsia" w:ascii="宋体" w:hAnsi="宋体" w:eastAsia="宋体" w:cs="Times New Roman"/>
          <w:szCs w:val="21"/>
        </w:rPr>
        <w:t>。</w:t>
      </w:r>
      <w:r>
        <w:rPr>
          <w:rFonts w:ascii="Times New Roman" w:hAnsi="Times New Roman" w:eastAsia="宋体" w:cs="Times New Roman"/>
        </w:rPr>
        <w:t>采购人应当安排专人对定标过程进行书面记录，形成定标报告，作为采购文件的组成部分存档，并及时将定标结果反馈</w:t>
      </w:r>
      <w:r>
        <w:rPr>
          <w:rFonts w:hint="eastAsia" w:ascii="Times New Roman" w:hAnsi="Times New Roman" w:eastAsia="宋体" w:cs="Times New Roman"/>
        </w:rPr>
        <w:t>政府集中采购机构。具体定标程序及相关要求以</w:t>
      </w:r>
      <w:r>
        <w:rPr>
          <w:rFonts w:hint="eastAsia" w:cs="Times New Roman"/>
          <w:lang w:val="en-US" w:eastAsia="zh-CN"/>
        </w:rPr>
        <w:t>参照</w:t>
      </w:r>
      <w:r>
        <w:rPr>
          <w:rFonts w:hint="eastAsia" w:ascii="Times New Roman" w:hAnsi="Times New Roman" w:eastAsia="宋体" w:cs="Times New Roman"/>
        </w:rPr>
        <w:t>《深圳市财政局关于</w:t>
      </w:r>
      <w:r>
        <w:rPr>
          <w:rFonts w:hint="eastAsia" w:ascii="Times New Roman" w:hAnsi="Times New Roman" w:eastAsia="宋体" w:cs="Times New Roman"/>
          <w:lang w:val="en-US" w:eastAsia="zh-CN"/>
        </w:rPr>
        <w:t>&lt;</w:t>
      </w:r>
      <w:r>
        <w:rPr>
          <w:rFonts w:hint="eastAsia" w:ascii="Times New Roman" w:hAnsi="Times New Roman" w:eastAsia="宋体" w:cs="Times New Roman"/>
        </w:rPr>
        <w:t>深圳市政府采购评标定标分离管理办法</w:t>
      </w:r>
      <w:r>
        <w:rPr>
          <w:rFonts w:hint="eastAsia" w:ascii="Times New Roman" w:hAnsi="Times New Roman" w:eastAsia="宋体" w:cs="Times New Roman"/>
          <w:lang w:val="en-US" w:eastAsia="zh-CN"/>
        </w:rPr>
        <w:t>&gt;</w:t>
      </w:r>
      <w:r>
        <w:rPr>
          <w:rFonts w:hint="eastAsia" w:ascii="Times New Roman" w:hAnsi="Times New Roman" w:eastAsia="宋体" w:cs="Times New Roman"/>
        </w:rPr>
        <w:t>续期的通知》（深财规〔2023〕1号）执行。</w:t>
      </w:r>
    </w:p>
    <w:p>
      <w:pPr>
        <w:ind w:firstLine="411" w:firstLineChars="196"/>
        <w:rPr>
          <w:rFonts w:ascii="宋体" w:hAnsi="宋体" w:eastAsia="宋体" w:cs="Times New Roman"/>
          <w:szCs w:val="21"/>
        </w:rPr>
      </w:pPr>
      <w:r>
        <w:rPr>
          <w:rFonts w:hint="eastAsia" w:ascii="宋体" w:hAnsi="宋体" w:eastAsia="宋体" w:cs="Times New Roman"/>
          <w:szCs w:val="21"/>
        </w:rPr>
        <w:t>说明：采购人及投标供应商应按照上述方法提前做好相关准备。</w:t>
      </w:r>
    </w:p>
    <w:p>
      <w:pPr>
        <w:ind w:firstLine="411" w:firstLineChars="196"/>
        <w:rPr>
          <w:rFonts w:ascii="宋体" w:hAnsi="宋体" w:eastAsia="宋体" w:cs="Times New Roman"/>
          <w:szCs w:val="21"/>
        </w:rPr>
      </w:pPr>
      <w:r>
        <w:rPr>
          <w:rFonts w:hint="eastAsia" w:ascii="宋体" w:hAnsi="宋体" w:eastAsia="宋体" w:cs="Times New Roman"/>
          <w:szCs w:val="21"/>
        </w:rPr>
        <w:t>38.3专用条款另有规定的，按专用条款相关要求定标。</w:t>
      </w:r>
      <w:bookmarkEnd w:id="109"/>
    </w:p>
    <w:p>
      <w:pPr>
        <w:rPr>
          <w:rFonts w:ascii="黑体" w:hAnsi="宋体" w:eastAsia="黑体" w:cs="Times New Roman"/>
          <w:sz w:val="24"/>
        </w:rPr>
      </w:pPr>
      <w:r>
        <w:rPr>
          <w:rFonts w:hint="eastAsia" w:ascii="黑体" w:hAnsi="宋体" w:eastAsia="黑体" w:cs="Times New Roman"/>
          <w:sz w:val="24"/>
        </w:rPr>
        <w:t>39．编写评审报告</w:t>
      </w:r>
    </w:p>
    <w:p>
      <w:pPr>
        <w:ind w:firstLine="411" w:firstLineChars="196"/>
        <w:rPr>
          <w:rFonts w:ascii="宋体" w:hAnsi="宋体" w:eastAsia="宋体" w:cs="Times New Roman"/>
          <w:szCs w:val="21"/>
        </w:rPr>
      </w:pPr>
      <w:r>
        <w:rPr>
          <w:rFonts w:hint="eastAsia" w:ascii="宋体" w:hAnsi="宋体" w:eastAsia="宋体" w:cs="Times New Roman"/>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cs="Times New Roman"/>
          <w:sz w:val="24"/>
        </w:rPr>
      </w:pPr>
      <w:r>
        <w:rPr>
          <w:rFonts w:hint="eastAsia" w:ascii="黑体" w:hAnsi="宋体" w:eastAsia="黑体" w:cs="Times New Roman"/>
          <w:sz w:val="24"/>
        </w:rPr>
        <w:t>40．中标公告</w:t>
      </w:r>
    </w:p>
    <w:p>
      <w:pPr>
        <w:ind w:firstLine="411" w:firstLineChars="196"/>
        <w:rPr>
          <w:rFonts w:ascii="宋体" w:hAnsi="宋体" w:eastAsia="宋体" w:cs="Times New Roman"/>
          <w:szCs w:val="21"/>
        </w:rPr>
      </w:pPr>
      <w:r>
        <w:rPr>
          <w:rFonts w:hint="eastAsia" w:ascii="宋体" w:hAnsi="宋体" w:eastAsia="宋体" w:cs="Times New Roman"/>
          <w:szCs w:val="21"/>
        </w:rPr>
        <w:t>40.1</w:t>
      </w:r>
      <w:bookmarkStart w:id="113" w:name="_Hlk72438709"/>
      <w:r>
        <w:rPr>
          <w:rFonts w:hint="eastAsia" w:ascii="宋体" w:hAnsi="宋体" w:eastAsia="宋体" w:cs="Times New Roman"/>
          <w:szCs w:val="21"/>
        </w:rPr>
        <w:t>为体现“公开、公平、公正”的原则，评审结束后经采购人确认（确定）评审结果，政府集中采购机构将在</w:t>
      </w:r>
      <w:r>
        <w:rPr>
          <w:rFonts w:hint="eastAsia" w:ascii="宋体" w:hAnsi="宋体" w:eastAsia="宋体" w:cs="Times New Roman"/>
          <w:b/>
          <w:bCs/>
          <w:szCs w:val="21"/>
        </w:rPr>
        <w:t>深圳交易集团官网</w:t>
      </w:r>
      <w:r>
        <w:rPr>
          <w:rFonts w:hint="eastAsia" w:ascii="宋体" w:hAnsi="宋体" w:eastAsia="宋体" w:cs="Times New Roman"/>
          <w:szCs w:val="21"/>
        </w:rPr>
        <w:t>（https://www.szexgrp.com/home/index.html）上发布</w:t>
      </w:r>
      <w:r>
        <w:rPr>
          <w:rFonts w:hint="eastAsia" w:ascii="宋体" w:hAnsi="宋体" w:eastAsia="宋体" w:cs="Times New Roman"/>
          <w:szCs w:val="21"/>
          <w:lang w:eastAsia="zh-CN"/>
        </w:rPr>
        <w:t>中标（成交）结果</w:t>
      </w:r>
      <w:r>
        <w:rPr>
          <w:rFonts w:hint="eastAsia" w:ascii="宋体" w:hAnsi="宋体" w:eastAsia="宋体" w:cs="Times New Roman"/>
          <w:szCs w:val="21"/>
        </w:rPr>
        <w:t>公告。</w:t>
      </w:r>
      <w:bookmarkEnd w:id="113"/>
      <w:bookmarkStart w:id="114" w:name="_Hlk72438751"/>
      <w:r>
        <w:rPr>
          <w:rFonts w:hint="eastAsia" w:ascii="宋体" w:hAnsi="宋体" w:eastAsia="宋体" w:cs="Times New Roman"/>
          <w:szCs w:val="21"/>
        </w:rPr>
        <w:t>供应商如对评审结果有异议，</w:t>
      </w:r>
      <w:r>
        <w:rPr>
          <w:rFonts w:ascii="宋体" w:hAnsi="宋体" w:eastAsia="宋体" w:cs="Times New Roman"/>
          <w:szCs w:val="21"/>
        </w:rPr>
        <w:t>可在发布公示日期起</w:t>
      </w:r>
      <w:r>
        <w:rPr>
          <w:rFonts w:hint="eastAsia" w:ascii="宋体" w:hAnsi="宋体" w:eastAsia="宋体" w:cs="Times New Roman"/>
          <w:szCs w:val="21"/>
        </w:rPr>
        <w:t>七</w:t>
      </w:r>
      <w:r>
        <w:rPr>
          <w:rFonts w:ascii="宋体" w:hAnsi="宋体" w:eastAsia="宋体" w:cs="Times New Roman"/>
          <w:szCs w:val="21"/>
        </w:rPr>
        <w:t>个工作日内向</w:t>
      </w:r>
      <w:r>
        <w:rPr>
          <w:rFonts w:hint="eastAsia" w:ascii="宋体" w:hAnsi="宋体" w:eastAsia="宋体" w:cs="Times New Roman"/>
          <w:szCs w:val="21"/>
        </w:rPr>
        <w:t>政府集中采购机构</w:t>
      </w:r>
      <w:r>
        <w:rPr>
          <w:rFonts w:ascii="宋体" w:hAnsi="宋体" w:eastAsia="宋体" w:cs="Times New Roman"/>
          <w:szCs w:val="21"/>
        </w:rPr>
        <w:t>提出。</w:t>
      </w:r>
      <w:r>
        <w:rPr>
          <w:rFonts w:hint="eastAsia" w:ascii="宋体" w:hAnsi="宋体" w:eastAsia="宋体" w:cs="Times New Roman"/>
          <w:szCs w:val="21"/>
        </w:rPr>
        <w:t>若在公示期内未提出质疑，则视为认同该评审结果。</w:t>
      </w:r>
    </w:p>
    <w:bookmarkEnd w:id="114"/>
    <w:p>
      <w:pPr>
        <w:ind w:firstLine="411" w:firstLineChars="196"/>
        <w:rPr>
          <w:rFonts w:ascii="宋体" w:hAnsi="宋体" w:eastAsia="宋体" w:cs="Times New Roman"/>
          <w:szCs w:val="21"/>
        </w:rPr>
      </w:pPr>
      <w:r>
        <w:rPr>
          <w:rFonts w:hint="eastAsia" w:ascii="宋体" w:hAnsi="宋体" w:eastAsia="宋体" w:cs="Times New Roman"/>
          <w:szCs w:val="21"/>
        </w:rPr>
        <w:t>40.2质疑、投诉供应商应保证质疑、投诉内容的真实性和可靠性，并承担相应的法律责任。</w:t>
      </w:r>
    </w:p>
    <w:p>
      <w:pPr>
        <w:rPr>
          <w:rFonts w:ascii="黑体" w:hAnsi="宋体" w:eastAsia="黑体" w:cs="Times New Roman"/>
          <w:sz w:val="24"/>
        </w:rPr>
      </w:pPr>
      <w:r>
        <w:rPr>
          <w:rFonts w:hint="eastAsia" w:ascii="黑体" w:hAnsi="宋体" w:eastAsia="黑体" w:cs="Times New Roman"/>
          <w:sz w:val="24"/>
        </w:rPr>
        <w:t>41．中标通知书</w:t>
      </w:r>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w:t>
      </w:r>
      <w:r>
        <w:rPr>
          <w:rFonts w:hint="eastAsia" w:ascii="宋体" w:hAnsi="宋体" w:eastAsia="宋体" w:cs="Times New Roman"/>
          <w:szCs w:val="21"/>
        </w:rPr>
        <w:t>1</w:t>
      </w:r>
      <w:bookmarkStart w:id="115" w:name="_Hlk72438863"/>
      <w:r>
        <w:rPr>
          <w:rFonts w:hint="eastAsia" w:ascii="宋体" w:hAnsi="宋体" w:eastAsia="宋体" w:cs="Times New Roman"/>
          <w:szCs w:val="21"/>
        </w:rPr>
        <w:t>中标公告公布以后无异常的情况下,中标供应商和采购人可自行在</w:t>
      </w:r>
      <w:r>
        <w:rPr>
          <w:rFonts w:hint="eastAsia" w:ascii="宋体" w:hAnsi="宋体" w:eastAsia="宋体" w:cs="Times New Roman"/>
          <w:b/>
          <w:bCs/>
          <w:szCs w:val="21"/>
        </w:rPr>
        <w:t>“</w:t>
      </w:r>
      <w:r>
        <w:rPr>
          <w:rFonts w:hint="eastAsia" w:ascii="宋体" w:hAnsi="宋体" w:eastAsia="宋体" w:cs="Times New Roman"/>
          <w:b/>
          <w:bCs/>
          <w:szCs w:val="21"/>
          <w:lang w:val="en-US" w:eastAsia="zh-CN"/>
        </w:rPr>
        <w:t>深圳市自行采购系统</w:t>
      </w:r>
      <w:r>
        <w:rPr>
          <w:rFonts w:hint="eastAsia" w:ascii="宋体" w:hAnsi="宋体" w:eastAsia="宋体" w:cs="Times New Roman"/>
          <w:b/>
          <w:bCs/>
          <w:szCs w:val="21"/>
        </w:rPr>
        <w:t>”</w:t>
      </w:r>
      <w:r>
        <w:rPr>
          <w:rFonts w:hint="eastAsia" w:ascii="宋体" w:hAnsi="宋体" w:eastAsia="宋体" w:cs="Times New Roman"/>
          <w:szCs w:val="21"/>
        </w:rPr>
        <w:t>上打印</w:t>
      </w:r>
      <w:r>
        <w:rPr>
          <w:rFonts w:hint="eastAsia" w:ascii="宋体" w:hAnsi="宋体" w:eastAsia="宋体" w:cs="Times New Roman"/>
          <w:b/>
          <w:szCs w:val="21"/>
        </w:rPr>
        <w:t>《数字中标通知书》</w:t>
      </w:r>
      <w:r>
        <w:rPr>
          <w:rFonts w:hint="eastAsia" w:ascii="宋体" w:hAnsi="宋体" w:eastAsia="宋体" w:cs="Times New Roman"/>
          <w:szCs w:val="21"/>
        </w:rPr>
        <w:t>。</w:t>
      </w:r>
      <w:bookmarkEnd w:id="115"/>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.2</w:t>
      </w:r>
      <w:r>
        <w:rPr>
          <w:rFonts w:hint="eastAsia" w:ascii="宋体" w:hAnsi="宋体" w:eastAsia="宋体" w:cs="Times New Roman"/>
          <w:szCs w:val="21"/>
        </w:rPr>
        <w:t>中标通知书是合同的重要组成部分。</w:t>
      </w:r>
    </w:p>
    <w:p>
      <w:pPr>
        <w:ind w:firstLine="411" w:firstLineChars="196"/>
        <w:rPr>
          <w:rFonts w:ascii="宋体" w:hAnsi="宋体" w:eastAsia="宋体" w:cs="Times New Roman"/>
          <w:szCs w:val="21"/>
        </w:rPr>
      </w:pPr>
      <w:bookmarkStart w:id="116" w:name="_Hlk71407340"/>
      <w:r>
        <w:rPr>
          <w:rFonts w:hint="eastAsia" w:ascii="宋体" w:hAnsi="宋体" w:eastAsia="宋体" w:cs="Times New Roman"/>
          <w:szCs w:val="21"/>
        </w:rPr>
        <w:t>41.3因质疑投诉或其它原因导致项目结果变更或采购终止的，政府集中采购机构有权吊销中标通知书。</w:t>
      </w:r>
    </w:p>
    <w:bookmarkEnd w:id="116"/>
    <w:p>
      <w:pPr>
        <w:ind w:firstLine="411" w:firstLineChars="196"/>
        <w:rPr>
          <w:rFonts w:ascii="宋体" w:hAnsi="宋体" w:eastAsia="宋体" w:cs="Times New Roman"/>
          <w:szCs w:val="21"/>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公开招标失败的后续处理</w:t>
      </w:r>
    </w:p>
    <w:p>
      <w:pPr>
        <w:rPr>
          <w:rFonts w:ascii="黑体" w:hAnsi="宋体" w:eastAsia="黑体" w:cs="Times New Roman"/>
          <w:sz w:val="24"/>
        </w:rPr>
      </w:pPr>
      <w:r>
        <w:rPr>
          <w:rFonts w:hint="eastAsia" w:ascii="黑体" w:hAnsi="宋体" w:eastAsia="黑体" w:cs="Times New Roman"/>
          <w:sz w:val="24"/>
        </w:rPr>
        <w:t>42．公开招标失败的处理</w:t>
      </w:r>
    </w:p>
    <w:p>
      <w:pPr>
        <w:ind w:firstLine="411" w:firstLineChars="196"/>
        <w:rPr>
          <w:rFonts w:ascii="宋体" w:hAnsi="宋体" w:eastAsia="宋体" w:cs="Times New Roman"/>
        </w:rPr>
      </w:pPr>
      <w:r>
        <w:rPr>
          <w:rFonts w:hint="eastAsia" w:ascii="宋体" w:hAnsi="宋体" w:eastAsia="宋体" w:cs="Times New Roman"/>
          <w:szCs w:val="21"/>
        </w:rPr>
        <w:t>42.1本项目公开招标过程中若由于投标截止后</w:t>
      </w:r>
      <w:r>
        <w:rPr>
          <w:rFonts w:hint="eastAsia" w:ascii="宋体" w:hAnsi="宋体" w:eastAsia="宋体" w:cs="Times New Roman"/>
        </w:rPr>
        <w:t>实际递交</w:t>
      </w:r>
      <w:r>
        <w:rPr>
          <w:rFonts w:ascii="宋体" w:hAnsi="宋体" w:eastAsia="宋体" w:cs="Times New Roman"/>
        </w:rPr>
        <w:t>投标</w:t>
      </w:r>
      <w:r>
        <w:rPr>
          <w:rFonts w:hint="eastAsia" w:ascii="宋体" w:hAnsi="宋体" w:eastAsia="宋体" w:cs="Times New Roman"/>
        </w:rPr>
        <w:t>文件的供应商数量不足、经</w:t>
      </w:r>
      <w:r>
        <w:rPr>
          <w:rFonts w:hint="eastAsia" w:ascii="宋体" w:hAnsi="宋体" w:eastAsia="宋体" w:cs="Times New Roman"/>
          <w:szCs w:val="21"/>
        </w:rPr>
        <w:t>评审委员会</w:t>
      </w:r>
      <w:r>
        <w:rPr>
          <w:rFonts w:hint="eastAsia" w:ascii="宋体" w:hAnsi="宋体" w:eastAsia="宋体" w:cs="Times New Roman"/>
        </w:rPr>
        <w:t>评审对招标文件作实质响应的供应商不足等原因造成公开招标失败，可由</w:t>
      </w:r>
      <w:r>
        <w:rPr>
          <w:rFonts w:hint="eastAsia" w:ascii="宋体" w:hAnsi="宋体" w:eastAsia="宋体" w:cs="宋体"/>
        </w:rPr>
        <w:t>政府集中采购机构</w:t>
      </w:r>
      <w:r>
        <w:rPr>
          <w:rFonts w:hint="eastAsia" w:ascii="宋体" w:hAnsi="宋体" w:eastAsia="宋体" w:cs="Times New Roman"/>
        </w:rPr>
        <w:t>重新组织采购。</w:t>
      </w:r>
    </w:p>
    <w:p>
      <w:pPr>
        <w:ind w:firstLine="411" w:firstLineChars="196"/>
        <w:rPr>
          <w:rFonts w:ascii="宋体" w:hAnsi="宋体" w:eastAsia="宋体" w:cs="Times New Roman"/>
          <w:szCs w:val="21"/>
        </w:rPr>
      </w:pPr>
      <w:r>
        <w:rPr>
          <w:rFonts w:hint="eastAsia" w:ascii="宋体" w:hAnsi="宋体" w:eastAsia="宋体" w:cs="Times New Roman"/>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eastAsia="宋体" w:cs="Times New Roman"/>
          <w:szCs w:val="21"/>
        </w:rPr>
      </w:pPr>
      <w:r>
        <w:rPr>
          <w:rFonts w:hint="eastAsia" w:ascii="宋体" w:hAnsi="宋体" w:eastAsia="宋体" w:cs="Times New Roman"/>
          <w:szCs w:val="21"/>
        </w:rPr>
        <w:t>42.3重新组织采购有以下两种组织形式：</w:t>
      </w:r>
    </w:p>
    <w:p>
      <w:pPr>
        <w:ind w:firstLine="411" w:firstLineChars="196"/>
        <w:rPr>
          <w:rFonts w:ascii="宋体" w:hAnsi="宋体" w:eastAsia="宋体" w:cs="Times New Roman"/>
        </w:rPr>
      </w:pPr>
      <w:r>
        <w:rPr>
          <w:rFonts w:hint="eastAsia" w:ascii="宋体" w:hAnsi="宋体" w:eastAsia="宋体" w:cs="Times New Roman"/>
        </w:rPr>
        <w:t>（1）由政府集中采购机构重新组织公开招标；</w:t>
      </w:r>
    </w:p>
    <w:p>
      <w:pPr>
        <w:ind w:firstLine="411" w:firstLineChars="196"/>
        <w:rPr>
          <w:rFonts w:ascii="宋体" w:hAnsi="宋体" w:eastAsia="宋体" w:cs="Times New Roman"/>
        </w:rPr>
      </w:pPr>
      <w:r>
        <w:rPr>
          <w:rFonts w:hint="eastAsia" w:ascii="宋体" w:hAnsi="宋体" w:eastAsia="宋体" w:cs="Times New Roman"/>
        </w:rPr>
        <w:t>（2）根据实际情况需要</w:t>
      </w:r>
      <w:r>
        <w:rPr>
          <w:rFonts w:hint="eastAsia" w:ascii="宋体" w:hAnsi="宋体" w:eastAsia="宋体" w:cs="Times New Roman"/>
          <w:lang w:eastAsia="zh-CN"/>
        </w:rPr>
        <w:t>，</w:t>
      </w:r>
      <w:r>
        <w:rPr>
          <w:rFonts w:hint="eastAsia" w:ascii="宋体" w:hAnsi="宋体" w:eastAsia="宋体" w:cs="Times New Roman"/>
          <w:lang w:val="en-US" w:eastAsia="zh-CN"/>
        </w:rPr>
        <w:t>按</w:t>
      </w:r>
      <w:r>
        <w:rPr>
          <w:rFonts w:hint="eastAsia" w:ascii="宋体" w:hAnsi="宋体" w:eastAsia="宋体" w:cs="Times New Roman"/>
          <w:kern w:val="2"/>
          <w:sz w:val="21"/>
          <w:szCs w:val="21"/>
          <w:lang w:val="en-US" w:eastAsia="zh-CN"/>
        </w:rPr>
        <w:t>采购单位内控规定，</w:t>
      </w:r>
      <w:r>
        <w:rPr>
          <w:rFonts w:hint="eastAsia" w:ascii="宋体" w:hAnsi="宋体" w:eastAsia="宋体" w:cs="Times New Roman"/>
        </w:rPr>
        <w:t>提出非公开招标方式申请，公开招标失败采购项目可转为竞争性谈判或单一来源谈判方式采购。</w:t>
      </w:r>
    </w:p>
    <w:p>
      <w:pPr>
        <w:ind w:firstLine="411" w:firstLineChars="196"/>
        <w:rPr>
          <w:rFonts w:ascii="宋体" w:hAnsi="宋体" w:eastAsia="宋体" w:cs="Times New Roman"/>
        </w:rPr>
      </w:pPr>
      <w:r>
        <w:rPr>
          <w:rFonts w:hint="eastAsia" w:ascii="宋体" w:hAnsi="宋体" w:eastAsia="宋体" w:cs="Times New Roman"/>
        </w:rPr>
        <w:t>42.4公开招标失败的采购项目重新组织公开招标，由政府集中采购机构重新按公开招标流程组织采购活动。</w:t>
      </w:r>
    </w:p>
    <w:p>
      <w:pPr>
        <w:rPr>
          <w:rFonts w:ascii="黑体" w:hAnsi="宋体" w:eastAsia="黑体" w:cs="Times New Roman"/>
          <w:sz w:val="24"/>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117" w:name="_Hlk72439043"/>
      <w:r>
        <w:rPr>
          <w:rFonts w:hint="eastAsia" w:ascii="宋体" w:hAnsi="宋体" w:eastAsia="宋体" w:cs="Times New Roman"/>
          <w:b/>
          <w:bCs/>
          <w:kern w:val="0"/>
          <w:sz w:val="28"/>
          <w:szCs w:val="28"/>
          <w:lang w:val="en-US" w:eastAsia="zh-CN" w:bidi="ar-SA"/>
        </w:rPr>
        <w:t>合同的授予与备案</w:t>
      </w:r>
      <w:bookmarkEnd w:id="117"/>
    </w:p>
    <w:p>
      <w:pPr>
        <w:rPr>
          <w:rFonts w:ascii="黑体" w:hAnsi="宋体" w:eastAsia="黑体" w:cs="Times New Roman"/>
          <w:sz w:val="24"/>
        </w:rPr>
      </w:pPr>
      <w:bookmarkStart w:id="118" w:name="_Toc73518157"/>
      <w:bookmarkStart w:id="119" w:name="_Toc73521674"/>
      <w:bookmarkStart w:id="120" w:name="_Toc100052408"/>
      <w:bookmarkStart w:id="121" w:name="_Toc73521586"/>
      <w:bookmarkStart w:id="122" w:name="_Toc73517679"/>
      <w:bookmarkStart w:id="123" w:name="_Hlk72439088"/>
      <w:r>
        <w:rPr>
          <w:rFonts w:hint="eastAsia" w:ascii="黑体" w:hAnsi="宋体" w:eastAsia="黑体" w:cs="Times New Roman"/>
          <w:sz w:val="24"/>
        </w:rPr>
        <w:t>43．合同授予标准</w:t>
      </w:r>
      <w:bookmarkEnd w:id="118"/>
      <w:bookmarkEnd w:id="119"/>
      <w:bookmarkEnd w:id="120"/>
      <w:bookmarkEnd w:id="121"/>
      <w:bookmarkEnd w:id="122"/>
    </w:p>
    <w:p>
      <w:pPr>
        <w:ind w:firstLine="411" w:firstLineChars="196"/>
        <w:rPr>
          <w:rFonts w:ascii="宋体" w:hAnsi="宋体" w:eastAsia="宋体" w:cs="Times New Roman"/>
          <w:szCs w:val="21"/>
        </w:rPr>
      </w:pPr>
      <w:r>
        <w:rPr>
          <w:rFonts w:hint="eastAsia" w:ascii="宋体" w:hAnsi="宋体" w:eastAsia="宋体" w:cs="Times New Roman"/>
          <w:szCs w:val="21"/>
        </w:rPr>
        <w:t>本项目的合同将授予经本招标文件规定评审确定的中标供应商。</w:t>
      </w:r>
    </w:p>
    <w:p>
      <w:pPr>
        <w:rPr>
          <w:rFonts w:ascii="黑体" w:hAnsi="宋体" w:eastAsia="黑体" w:cs="Times New Roman"/>
          <w:sz w:val="24"/>
        </w:rPr>
      </w:pPr>
      <w:bookmarkStart w:id="124" w:name="_Toc73521587"/>
      <w:bookmarkStart w:id="125" w:name="_Toc73521675"/>
      <w:bookmarkStart w:id="126" w:name="_Toc73517680"/>
      <w:bookmarkStart w:id="127" w:name="_Toc100052409"/>
      <w:bookmarkStart w:id="128" w:name="_Toc73518158"/>
      <w:r>
        <w:rPr>
          <w:rFonts w:hint="eastAsia" w:ascii="黑体" w:hAnsi="宋体" w:eastAsia="黑体" w:cs="Times New Roman"/>
          <w:sz w:val="24"/>
        </w:rPr>
        <w:t>44．</w:t>
      </w:r>
      <w:bookmarkEnd w:id="124"/>
      <w:bookmarkEnd w:id="125"/>
      <w:bookmarkEnd w:id="126"/>
      <w:bookmarkEnd w:id="127"/>
      <w:bookmarkEnd w:id="128"/>
      <w:r>
        <w:rPr>
          <w:rFonts w:hint="eastAsia" w:ascii="黑体" w:hAnsi="宋体" w:eastAsia="黑体" w:cs="Times New Roman"/>
          <w:sz w:val="24"/>
        </w:rPr>
        <w:t>接受和拒绝任何或所有投标的权力</w:t>
      </w:r>
    </w:p>
    <w:p>
      <w:pPr>
        <w:ind w:firstLine="411" w:firstLineChars="196"/>
        <w:rPr>
          <w:rFonts w:ascii="宋体" w:hAnsi="宋体" w:eastAsia="宋体" w:cs="Times New Roman"/>
          <w:szCs w:val="21"/>
        </w:rPr>
      </w:pPr>
      <w:r>
        <w:rPr>
          <w:rFonts w:hint="eastAsia" w:ascii="宋体" w:hAnsi="宋体" w:eastAsia="宋体" w:cs="Times New Roman"/>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cs="Times New Roman"/>
          <w:sz w:val="24"/>
        </w:rPr>
      </w:pPr>
      <w:bookmarkStart w:id="129" w:name="_Toc73518160"/>
      <w:bookmarkStart w:id="130" w:name="_Toc73521589"/>
      <w:bookmarkStart w:id="131" w:name="_Toc73521677"/>
      <w:bookmarkStart w:id="132" w:name="_Toc73517682"/>
      <w:bookmarkStart w:id="133" w:name="_Toc100052410"/>
      <w:r>
        <w:rPr>
          <w:rFonts w:hint="eastAsia" w:ascii="黑体" w:hAnsi="宋体" w:eastAsia="黑体" w:cs="Times New Roman"/>
          <w:sz w:val="24"/>
        </w:rPr>
        <w:t>45．合同的签订</w:t>
      </w:r>
      <w:bookmarkEnd w:id="129"/>
      <w:bookmarkEnd w:id="130"/>
      <w:bookmarkEnd w:id="131"/>
      <w:bookmarkEnd w:id="132"/>
      <w:bookmarkEnd w:id="133"/>
    </w:p>
    <w:p>
      <w:pPr>
        <w:ind w:firstLine="411" w:firstLineChars="196"/>
        <w:rPr>
          <w:rFonts w:ascii="宋体" w:hAnsi="宋体" w:eastAsia="宋体" w:cs="Times New Roman"/>
          <w:szCs w:val="21"/>
        </w:rPr>
      </w:pPr>
      <w:r>
        <w:rPr>
          <w:rFonts w:hint="eastAsia" w:ascii="宋体" w:hAnsi="宋体" w:eastAsia="宋体" w:cs="Times New Roman"/>
          <w:szCs w:val="21"/>
        </w:rPr>
        <w:t>45.1中标人将于中标通知书发出之日起</w:t>
      </w:r>
      <w:r>
        <w:rPr>
          <w:rFonts w:hint="eastAsia" w:ascii="宋体" w:hAnsi="宋体" w:cs="Times New Roman"/>
          <w:szCs w:val="21"/>
          <w:lang w:val="en-US" w:eastAsia="zh-CN"/>
        </w:rPr>
        <w:t>按照采购人内控制度要求，</w:t>
      </w:r>
      <w:r>
        <w:rPr>
          <w:rFonts w:hint="eastAsia" w:ascii="宋体" w:hAnsi="宋体" w:eastAsia="宋体" w:cs="Times New Roman"/>
          <w:szCs w:val="21"/>
        </w:rPr>
        <w:t>按照采购文件（招标文件和投标文件等）内容与采购人签订采购合同；合同的实质性内容应当符合招标文件的规定；</w:t>
      </w:r>
    </w:p>
    <w:p>
      <w:pPr>
        <w:ind w:firstLine="411" w:firstLineChars="196"/>
        <w:rPr>
          <w:rFonts w:ascii="宋体" w:hAnsi="宋体" w:eastAsia="宋体" w:cs="Times New Roman"/>
          <w:szCs w:val="21"/>
        </w:rPr>
      </w:pPr>
      <w:r>
        <w:rPr>
          <w:rFonts w:hint="eastAsia" w:ascii="宋体" w:hAnsi="宋体" w:eastAsia="宋体" w:cs="Times New Roman"/>
          <w:szCs w:val="21"/>
        </w:rPr>
        <w:t>45.2中标人如不按本通用条款第45</w:t>
      </w:r>
      <w:r>
        <w:rPr>
          <w:rFonts w:ascii="宋体" w:hAnsi="宋体" w:eastAsia="宋体" w:cs="Times New Roman"/>
          <w:szCs w:val="21"/>
        </w:rPr>
        <w:t>.1</w:t>
      </w:r>
      <w:r>
        <w:rPr>
          <w:rFonts w:hint="eastAsia" w:ascii="宋体" w:hAnsi="宋体" w:eastAsia="宋体" w:cs="Times New Roman"/>
          <w:szCs w:val="21"/>
        </w:rPr>
        <w:t>款的规定与采购人签订合同，</w:t>
      </w:r>
      <w:r>
        <w:rPr>
          <w:rFonts w:ascii="宋体" w:hAnsi="宋体" w:eastAsia="宋体" w:cs="宋体"/>
          <w:kern w:val="0"/>
          <w:szCs w:val="21"/>
        </w:rPr>
        <w:t>情节严重的，由</w:t>
      </w:r>
      <w:r>
        <w:rPr>
          <w:rFonts w:hint="eastAsia" w:ascii="宋体" w:hAnsi="宋体" w:eastAsia="宋体" w:cs="宋体"/>
          <w:kern w:val="0"/>
          <w:szCs w:val="21"/>
        </w:rPr>
        <w:t>同级财政</w:t>
      </w:r>
      <w:r>
        <w:rPr>
          <w:rFonts w:ascii="宋体" w:hAnsi="宋体" w:eastAsia="宋体" w:cs="宋体"/>
          <w:kern w:val="0"/>
          <w:szCs w:val="21"/>
        </w:rPr>
        <w:t>部门记入供应商诚信档案，予以通报</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45.3中标人应当按照合同约定履行义务，完成中标项目，不得将中标项目转让（转包）给他人。</w:t>
      </w:r>
    </w:p>
    <w:p>
      <w:pPr>
        <w:rPr>
          <w:rFonts w:ascii="黑体" w:hAnsi="宋体" w:eastAsia="黑体" w:cs="Times New Roman"/>
          <w:sz w:val="24"/>
        </w:rPr>
      </w:pPr>
      <w:bookmarkStart w:id="134" w:name="_Toc73521590"/>
      <w:bookmarkStart w:id="135" w:name="_Toc73517683"/>
      <w:bookmarkStart w:id="136" w:name="_Toc73518161"/>
      <w:bookmarkStart w:id="137" w:name="_Toc100052411"/>
      <w:bookmarkStart w:id="138" w:name="_Toc73521678"/>
      <w:r>
        <w:rPr>
          <w:rFonts w:hint="eastAsia" w:ascii="黑体" w:hAnsi="宋体" w:eastAsia="黑体" w:cs="Times New Roman"/>
          <w:sz w:val="24"/>
        </w:rPr>
        <w:t>46．履约担保</w:t>
      </w:r>
      <w:bookmarkEnd w:id="134"/>
      <w:bookmarkEnd w:id="135"/>
      <w:bookmarkEnd w:id="136"/>
      <w:bookmarkEnd w:id="137"/>
      <w:bookmarkEnd w:id="138"/>
    </w:p>
    <w:p>
      <w:pPr>
        <w:ind w:firstLine="411" w:firstLineChars="196"/>
        <w:rPr>
          <w:rFonts w:ascii="宋体" w:hAnsi="宋体" w:eastAsia="宋体" w:cs="Times New Roman"/>
          <w:szCs w:val="21"/>
        </w:rPr>
      </w:pPr>
      <w:r>
        <w:rPr>
          <w:rFonts w:hint="eastAsia" w:ascii="宋体" w:hAnsi="宋体" w:eastAsia="宋体" w:cs="Times New Roman"/>
          <w:szCs w:val="21"/>
        </w:rPr>
        <w:t>46.1在签订项目合同的同时，中标人应按“对通用条款的补充内容”中规定的金额向采购人提交履约担保；</w:t>
      </w:r>
    </w:p>
    <w:p>
      <w:pPr>
        <w:ind w:firstLine="411" w:firstLineChars="196"/>
        <w:rPr>
          <w:rFonts w:ascii="宋体" w:hAnsi="宋体" w:eastAsia="宋体" w:cs="Times New Roman"/>
          <w:szCs w:val="21"/>
        </w:rPr>
      </w:pPr>
      <w:r>
        <w:rPr>
          <w:rFonts w:hint="eastAsia" w:ascii="宋体" w:hAnsi="宋体" w:eastAsia="宋体" w:cs="Times New Roman"/>
          <w:szCs w:val="21"/>
        </w:rPr>
        <w:t>46.2，允许供应商自主选择以支票、汇票、本票、保函等非现金方式提交履约担保；</w:t>
      </w:r>
      <w:r>
        <w:rPr>
          <w:rFonts w:ascii="Times New Roman" w:hAnsi="Times New Roman" w:eastAsia="宋体" w:cs="Times New Roman"/>
        </w:rPr>
        <w:t>中标</w:t>
      </w:r>
      <w:r>
        <w:rPr>
          <w:rFonts w:hint="eastAsia" w:ascii="Times New Roman" w:hAnsi="Times New Roman" w:eastAsia="宋体" w:cs="Times New Roman"/>
        </w:rPr>
        <w:t>人</w:t>
      </w:r>
      <w:r>
        <w:rPr>
          <w:rFonts w:ascii="Times New Roman" w:hAnsi="Times New Roman" w:eastAsia="宋体" w:cs="Times New Roman"/>
        </w:rPr>
        <w:t>提交履约</w:t>
      </w:r>
      <w:r>
        <w:rPr>
          <w:rFonts w:hint="eastAsia" w:ascii="Times New Roman" w:hAnsi="Times New Roman" w:eastAsia="宋体" w:cs="Times New Roman"/>
        </w:rPr>
        <w:t>担保不是</w:t>
      </w:r>
      <w:r>
        <w:rPr>
          <w:rFonts w:ascii="Times New Roman" w:hAnsi="Times New Roman" w:eastAsia="宋体" w:cs="Times New Roman"/>
        </w:rPr>
        <w:t>合同签订的</w:t>
      </w:r>
      <w:r>
        <w:rPr>
          <w:rFonts w:hint="eastAsia" w:ascii="Times New Roman" w:hAnsi="Times New Roman" w:eastAsia="宋体" w:cs="Times New Roman"/>
        </w:rPr>
        <w:t>前提</w:t>
      </w:r>
      <w:r>
        <w:rPr>
          <w:rFonts w:ascii="Times New Roman" w:hAnsi="Times New Roman" w:eastAsia="宋体" w:cs="Times New Roman"/>
        </w:rPr>
        <w:t>条件，不要求中标</w:t>
      </w:r>
      <w:r>
        <w:rPr>
          <w:rFonts w:hint="eastAsia" w:ascii="Times New Roman" w:hAnsi="Times New Roman" w:eastAsia="宋体" w:cs="Times New Roman"/>
        </w:rPr>
        <w:t>人</w:t>
      </w:r>
      <w:r>
        <w:rPr>
          <w:rFonts w:ascii="Times New Roman" w:hAnsi="Times New Roman" w:eastAsia="宋体" w:cs="Times New Roman"/>
        </w:rPr>
        <w:t>提供除法律、法规明确规定外的其他担保</w:t>
      </w:r>
      <w:r>
        <w:rPr>
          <w:rFonts w:hint="eastAsia" w:ascii="Times New Roman" w:hAnsi="Times New Roman" w:eastAsia="宋体" w:cs="Times New Roman"/>
        </w:rPr>
        <w:t>。</w:t>
      </w:r>
    </w:p>
    <w:p>
      <w:pPr>
        <w:rPr>
          <w:rFonts w:ascii="黑体" w:hAnsi="宋体" w:eastAsia="黑体" w:cs="Times New Roman"/>
          <w:sz w:val="24"/>
        </w:rPr>
      </w:pPr>
      <w:r>
        <w:rPr>
          <w:rFonts w:hint="eastAsia" w:ascii="黑体" w:hAnsi="宋体" w:eastAsia="黑体" w:cs="Times New Roman"/>
          <w:sz w:val="24"/>
        </w:rPr>
        <w:t>47. 合同备案</w:t>
      </w:r>
    </w:p>
    <w:p>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按采购单位内控规定备案。</w:t>
      </w:r>
    </w:p>
    <w:p>
      <w:pPr>
        <w:rPr>
          <w:rFonts w:ascii="黑体" w:hAnsi="宋体" w:eastAsia="黑体" w:cs="Times New Roman"/>
          <w:sz w:val="24"/>
        </w:rPr>
      </w:pPr>
      <w:r>
        <w:rPr>
          <w:rFonts w:hint="eastAsia" w:ascii="黑体" w:hAnsi="宋体" w:eastAsia="黑体" w:cs="Times New Roman"/>
          <w:sz w:val="24"/>
        </w:rPr>
        <w:t>48. 合同变更</w:t>
      </w:r>
    </w:p>
    <w:p>
      <w:pPr>
        <w:ind w:firstLine="420" w:firstLineChars="200"/>
        <w:rPr>
          <w:rFonts w:hint="eastAsia" w:ascii="黑体" w:hAnsi="宋体" w:eastAsia="黑体" w:cs="Times New Roman"/>
          <w:sz w:val="24"/>
        </w:rPr>
      </w:pPr>
      <w:r>
        <w:rPr>
          <w:rFonts w:hint="eastAsia" w:ascii="宋体" w:hAnsi="宋体" w:eastAsia="宋体" w:cs="Times New Roman"/>
          <w:szCs w:val="21"/>
        </w:rPr>
        <w:t>合同变更事宜</w:t>
      </w:r>
      <w:r>
        <w:rPr>
          <w:rFonts w:hint="eastAsia" w:ascii="宋体" w:hAnsi="宋体" w:eastAsia="宋体" w:cs="Times New Roman"/>
          <w:kern w:val="2"/>
          <w:sz w:val="21"/>
          <w:szCs w:val="21"/>
          <w:lang w:val="en-US" w:eastAsia="zh-CN"/>
        </w:rPr>
        <w:t>按采购单位内控规定</w:t>
      </w:r>
      <w:r>
        <w:rPr>
          <w:rFonts w:hint="eastAsia" w:ascii="宋体" w:hAnsi="宋体" w:eastAsia="宋体" w:cs="Times New Roman"/>
          <w:szCs w:val="21"/>
        </w:rPr>
        <w:t>执行。</w:t>
      </w:r>
    </w:p>
    <w:p>
      <w:pPr>
        <w:rPr>
          <w:rFonts w:ascii="黑体" w:hAnsi="宋体" w:eastAsia="黑体" w:cs="Times New Roman"/>
          <w:sz w:val="24"/>
        </w:rPr>
      </w:pPr>
      <w:r>
        <w:rPr>
          <w:rFonts w:hint="eastAsia" w:ascii="黑体" w:hAnsi="宋体" w:eastAsia="黑体" w:cs="Times New Roman"/>
          <w:sz w:val="24"/>
        </w:rPr>
        <w:t>49. 项目验收</w:t>
      </w:r>
    </w:p>
    <w:p>
      <w:pPr>
        <w:widowControl/>
        <w:ind w:right="176" w:firstLine="420"/>
        <w:jc w:val="left"/>
        <w:rPr>
          <w:rFonts w:ascii="宋体" w:hAnsi="宋体" w:eastAsia="宋体" w:cs="Times New Roman"/>
        </w:rPr>
      </w:pPr>
      <w:r>
        <w:rPr>
          <w:rFonts w:hint="eastAsia" w:ascii="宋体" w:hAnsi="宋体" w:eastAsia="宋体" w:cs="Times New Roman"/>
        </w:rPr>
        <w:t>49.1采购人应当按照招标文件和合同规定的标准和方法，及时组织验收。</w:t>
      </w:r>
      <w:r>
        <w:rPr>
          <w:rFonts w:ascii="宋体" w:hAnsi="宋体" w:eastAsia="宋体" w:cs="Times New Roman"/>
        </w:rPr>
        <w:t xml:space="preserve"> </w:t>
      </w:r>
    </w:p>
    <w:p>
      <w:pPr>
        <w:rPr>
          <w:rFonts w:ascii="黑体" w:hAnsi="宋体" w:eastAsia="黑体" w:cs="Times New Roman"/>
          <w:sz w:val="24"/>
        </w:rPr>
      </w:pPr>
      <w:r>
        <w:rPr>
          <w:rFonts w:hint="eastAsia" w:ascii="黑体" w:hAnsi="宋体" w:eastAsia="黑体" w:cs="Times New Roman"/>
          <w:sz w:val="24"/>
        </w:rPr>
        <w:t>50. 宣传</w:t>
      </w:r>
    </w:p>
    <w:p>
      <w:pPr>
        <w:ind w:left="210" w:leftChars="100" w:firstLine="411" w:firstLineChars="196"/>
        <w:rPr>
          <w:rFonts w:ascii="宋体" w:hAnsi="宋体" w:eastAsia="宋体" w:cs="Times New Roman"/>
        </w:rPr>
      </w:pPr>
      <w:r>
        <w:rPr>
          <w:rFonts w:hint="eastAsia" w:ascii="宋体" w:hAnsi="宋体" w:eastAsia="宋体" w:cs="Times New Roman"/>
        </w:rPr>
        <w:t>凡与采购活动有关的宣传或广告，若当中提及采购，</w:t>
      </w:r>
      <w:r>
        <w:rPr>
          <w:rFonts w:ascii="宋体" w:hAnsi="宋体" w:eastAsia="宋体" w:cs="Times New Roman"/>
        </w:rPr>
        <w:t>必须事先将具体对外宣传方案报</w:t>
      </w:r>
      <w:r>
        <w:rPr>
          <w:rFonts w:hint="eastAsia" w:ascii="宋体" w:hAnsi="宋体" w:eastAsia="宋体" w:cs="Times New Roman"/>
        </w:rPr>
        <w:t>同级财政部门</w:t>
      </w:r>
      <w:r>
        <w:rPr>
          <w:rFonts w:ascii="宋体" w:hAnsi="宋体" w:eastAsia="宋体" w:cs="Times New Roman"/>
        </w:rPr>
        <w:t>和</w:t>
      </w:r>
      <w:r>
        <w:rPr>
          <w:rFonts w:hint="eastAsia" w:ascii="宋体" w:hAnsi="宋体" w:eastAsia="宋体" w:cs="Times New Roman"/>
        </w:rPr>
        <w:t>政府集中采购机构</w:t>
      </w:r>
      <w:r>
        <w:rPr>
          <w:rFonts w:ascii="宋体" w:hAnsi="宋体" w:eastAsia="宋体" w:cs="Times New Roman"/>
        </w:rPr>
        <w:t>，并征得其同意。对外市场宣传包括但不限于以下形式：</w:t>
      </w:r>
    </w:p>
    <w:p>
      <w:pPr>
        <w:ind w:left="210" w:leftChars="100" w:firstLine="411" w:firstLineChars="196"/>
        <w:rPr>
          <w:rFonts w:ascii="宋体" w:hAnsi="宋体" w:eastAsia="宋体" w:cs="Times New Roman"/>
        </w:rPr>
      </w:pPr>
      <w:r>
        <w:rPr>
          <w:rFonts w:ascii="宋体" w:hAnsi="宋体" w:eastAsia="宋体" w:cs="Times New Roman"/>
        </w:rPr>
        <w:t>a.名片、宣传册、广告标语等；</w:t>
      </w:r>
    </w:p>
    <w:p>
      <w:pPr>
        <w:ind w:left="210" w:leftChars="100" w:firstLine="411" w:firstLineChars="196"/>
        <w:rPr>
          <w:rFonts w:ascii="宋体" w:hAnsi="宋体" w:eastAsia="宋体" w:cs="Times New Roman"/>
        </w:rPr>
      </w:pPr>
      <w:r>
        <w:rPr>
          <w:rFonts w:ascii="宋体" w:hAnsi="宋体" w:eastAsia="宋体" w:cs="Times New Roman"/>
        </w:rPr>
        <w:t>b.案例介绍、推广等；</w:t>
      </w:r>
    </w:p>
    <w:p>
      <w:pPr>
        <w:ind w:left="210" w:leftChars="100" w:firstLine="411" w:firstLineChars="196"/>
        <w:rPr>
          <w:rFonts w:ascii="宋体" w:hAnsi="宋体" w:eastAsia="宋体" w:cs="Times New Roman"/>
        </w:rPr>
      </w:pPr>
      <w:r>
        <w:rPr>
          <w:rFonts w:hint="eastAsia" w:ascii="宋体" w:hAnsi="宋体" w:eastAsia="宋体" w:cs="Times New Roman"/>
        </w:rPr>
        <w:t>c.工作</w:t>
      </w:r>
      <w:r>
        <w:rPr>
          <w:rFonts w:ascii="宋体" w:hAnsi="宋体" w:eastAsia="宋体" w:cs="Times New Roman"/>
        </w:rPr>
        <w:t>人员向其他消费群体宣传。</w:t>
      </w:r>
    </w:p>
    <w:p>
      <w:pPr>
        <w:rPr>
          <w:rFonts w:ascii="黑体" w:hAnsi="宋体" w:eastAsia="黑体" w:cs="Times New Roman"/>
          <w:sz w:val="24"/>
        </w:rPr>
      </w:pPr>
      <w:r>
        <w:rPr>
          <w:rFonts w:hint="eastAsia" w:ascii="黑体" w:hAnsi="宋体" w:eastAsia="黑体" w:cs="Times New Roman"/>
          <w:sz w:val="24"/>
        </w:rPr>
        <w:t>51. 供应商违法责任</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1.1</w:t>
      </w:r>
      <w:r>
        <w:rPr>
          <w:rFonts w:hint="eastAsia" w:ascii="宋体" w:hAnsi="宋体" w:eastAsia="宋体" w:cs="Times New Roman"/>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eastAsia="宋体" w:cs="Times New Roman"/>
          <w:szCs w:val="21"/>
        </w:rPr>
      </w:pPr>
      <w:r>
        <w:rPr>
          <w:rFonts w:hint="eastAsia" w:ascii="宋体" w:hAnsi="宋体" w:eastAsia="宋体" w:cs="Times New Roman"/>
          <w:szCs w:val="21"/>
        </w:rPr>
        <w:t>（1）在采购活动中应当回避而未回避的；</w:t>
      </w:r>
    </w:p>
    <w:p>
      <w:pPr>
        <w:ind w:firstLine="411" w:firstLineChars="196"/>
        <w:rPr>
          <w:rFonts w:ascii="宋体" w:hAnsi="宋体" w:eastAsia="宋体" w:cs="Times New Roman"/>
          <w:szCs w:val="21"/>
        </w:rPr>
      </w:pPr>
      <w:r>
        <w:rPr>
          <w:rFonts w:hint="eastAsia" w:ascii="宋体" w:hAnsi="宋体" w:eastAsia="宋体" w:cs="Times New Roman"/>
          <w:szCs w:val="21"/>
        </w:rPr>
        <w:t>（2）未按本条例规定签订、履行采购合同，造成严重后果的；</w:t>
      </w:r>
    </w:p>
    <w:p>
      <w:pPr>
        <w:ind w:firstLine="411" w:firstLineChars="196"/>
        <w:rPr>
          <w:rFonts w:ascii="宋体" w:hAnsi="宋体" w:eastAsia="宋体" w:cs="Times New Roman"/>
          <w:szCs w:val="21"/>
        </w:rPr>
      </w:pPr>
      <w:r>
        <w:rPr>
          <w:rFonts w:hint="eastAsia" w:ascii="宋体" w:hAnsi="宋体" w:eastAsia="宋体" w:cs="Times New Roman"/>
          <w:szCs w:val="21"/>
        </w:rPr>
        <w:t>（3）隐瞒真实情况，提供虚假资料的；</w:t>
      </w:r>
    </w:p>
    <w:p>
      <w:pPr>
        <w:ind w:firstLine="411" w:firstLineChars="196"/>
        <w:rPr>
          <w:rFonts w:ascii="宋体" w:hAnsi="宋体" w:eastAsia="宋体" w:cs="Times New Roman"/>
          <w:szCs w:val="21"/>
        </w:rPr>
      </w:pPr>
      <w:r>
        <w:rPr>
          <w:rFonts w:hint="eastAsia" w:ascii="宋体" w:hAnsi="宋体" w:eastAsia="宋体" w:cs="Times New Roman"/>
          <w:szCs w:val="21"/>
        </w:rPr>
        <w:t>（4）以非法手段排斥其他供应商参与竞争的；</w:t>
      </w:r>
    </w:p>
    <w:p>
      <w:pPr>
        <w:ind w:firstLine="411" w:firstLineChars="196"/>
        <w:rPr>
          <w:rFonts w:ascii="宋体" w:hAnsi="宋体" w:eastAsia="宋体" w:cs="Times New Roman"/>
          <w:szCs w:val="21"/>
        </w:rPr>
      </w:pPr>
      <w:r>
        <w:rPr>
          <w:rFonts w:hint="eastAsia" w:ascii="宋体" w:hAnsi="宋体" w:eastAsia="宋体" w:cs="Times New Roman"/>
          <w:szCs w:val="21"/>
        </w:rPr>
        <w:t>（5）与其他采购参加人串通投标的；</w:t>
      </w:r>
    </w:p>
    <w:p>
      <w:pPr>
        <w:ind w:firstLine="411" w:firstLineChars="196"/>
        <w:rPr>
          <w:rFonts w:ascii="宋体" w:hAnsi="宋体" w:eastAsia="宋体" w:cs="Times New Roman"/>
          <w:szCs w:val="21"/>
        </w:rPr>
      </w:pPr>
      <w:r>
        <w:rPr>
          <w:rFonts w:hint="eastAsia" w:ascii="宋体" w:hAnsi="宋体" w:eastAsia="宋体" w:cs="Times New Roman"/>
          <w:szCs w:val="21"/>
        </w:rPr>
        <w:t>（6）恶意投诉的；</w:t>
      </w:r>
    </w:p>
    <w:p>
      <w:pPr>
        <w:ind w:firstLine="411" w:firstLineChars="196"/>
        <w:rPr>
          <w:rFonts w:ascii="宋体" w:hAnsi="宋体" w:eastAsia="宋体" w:cs="Times New Roman"/>
          <w:szCs w:val="21"/>
        </w:rPr>
      </w:pPr>
      <w:r>
        <w:rPr>
          <w:rFonts w:hint="eastAsia" w:ascii="宋体" w:hAnsi="宋体" w:eastAsia="宋体" w:cs="Times New Roman"/>
          <w:szCs w:val="21"/>
        </w:rPr>
        <w:t>（7）向采购项目相关人行贿或者提供其他不当利益的；</w:t>
      </w:r>
    </w:p>
    <w:p>
      <w:pPr>
        <w:ind w:firstLine="411" w:firstLineChars="196"/>
        <w:rPr>
          <w:rFonts w:ascii="宋体" w:hAnsi="宋体" w:eastAsia="宋体" w:cs="Times New Roman"/>
          <w:szCs w:val="21"/>
        </w:rPr>
      </w:pPr>
      <w:r>
        <w:rPr>
          <w:rFonts w:hint="eastAsia" w:ascii="宋体" w:hAnsi="宋体" w:eastAsia="宋体" w:cs="Times New Roman"/>
          <w:szCs w:val="21"/>
        </w:rPr>
        <w:t>（8）阻碍、抗拒主管部门监督检查的；</w:t>
      </w:r>
    </w:p>
    <w:p>
      <w:pPr>
        <w:ind w:firstLine="411" w:firstLineChars="196"/>
        <w:rPr>
          <w:rFonts w:ascii="宋体" w:hAnsi="宋体" w:eastAsia="宋体" w:cs="Times New Roman"/>
          <w:szCs w:val="21"/>
        </w:rPr>
      </w:pPr>
      <w:r>
        <w:rPr>
          <w:rFonts w:hint="eastAsia" w:ascii="宋体" w:hAnsi="宋体" w:eastAsia="宋体" w:cs="Times New Roman"/>
          <w:szCs w:val="21"/>
        </w:rPr>
        <w:t>（9）其他违反本条例规定的行为。</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1.2 </w:t>
      </w:r>
      <w:r>
        <w:rPr>
          <w:rFonts w:hint="eastAsia" w:ascii="宋体" w:hAnsi="宋体" w:cs="Times New Roman"/>
          <w:szCs w:val="21"/>
          <w:lang w:val="en-US" w:eastAsia="zh-CN"/>
        </w:rPr>
        <w:t>参照</w:t>
      </w:r>
      <w:r>
        <w:rPr>
          <w:rFonts w:hint="eastAsia" w:ascii="宋体" w:hAnsi="宋体" w:eastAsia="宋体" w:cs="Times New Roman"/>
          <w:szCs w:val="21"/>
        </w:rPr>
        <w:t>《深圳市财政局关于调整政府采购投标（响应）保证金管理政策的通知 》（深财购〔2021〕51 号）的要求，供应商在采购活动中出现《深圳经济特区政府采购条例实施细则》第八十条所列情形的，</w:t>
      </w:r>
      <w:bookmarkStart w:id="139" w:name="_Hlk72440769"/>
      <w:r>
        <w:rPr>
          <w:rFonts w:hint="eastAsia" w:ascii="宋体" w:hAnsi="宋体" w:eastAsia="宋体" w:cs="Times New Roman"/>
          <w:szCs w:val="21"/>
        </w:rPr>
        <w:t>政府集中采购机构或采购人不予退还其交纳的谈判保证金，情节严重的，并由主管部门</w:t>
      </w:r>
      <w:bookmarkEnd w:id="139"/>
      <w:r>
        <w:rPr>
          <w:rFonts w:hint="eastAsia" w:ascii="宋体" w:hAnsi="宋体" w:eastAsia="宋体" w:cs="Times New Roman"/>
          <w:szCs w:val="21"/>
        </w:rPr>
        <w:t>记入供应商诚信档案，予以通报：</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）投标截止后，撤销投标的；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）中标后无正当理由未在规定期限内签订合同的；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）将中标项目转让给他人、或者在投标文件中未说明且未经采购人、采购招标机构同意，将中标项目分包给他人的；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）拒绝履行合同义务的</w:t>
      </w:r>
      <w:r>
        <w:rPr>
          <w:rFonts w:hint="eastAsia" w:ascii="宋体" w:hAnsi="宋体" w:eastAsia="宋体" w:cs="Times New Roman"/>
          <w:szCs w:val="21"/>
        </w:rPr>
        <w:t>。</w:t>
      </w:r>
    </w:p>
    <w:bookmarkEnd w:id="123"/>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质疑处理</w:t>
      </w:r>
    </w:p>
    <w:p>
      <w:pPr>
        <w:rPr>
          <w:rFonts w:ascii="黑体" w:hAnsi="宋体" w:eastAsia="黑体" w:cs="Times New Roman"/>
          <w:sz w:val="24"/>
        </w:rPr>
      </w:pPr>
      <w:r>
        <w:rPr>
          <w:rFonts w:hint="eastAsia" w:ascii="黑体" w:hAnsi="宋体" w:eastAsia="黑体" w:cs="Times New Roman"/>
          <w:sz w:val="24"/>
        </w:rPr>
        <w:t>52.质疑提出与答复</w:t>
      </w:r>
    </w:p>
    <w:p>
      <w:pPr>
        <w:rPr>
          <w:rFonts w:ascii="宋体" w:hAnsi="宋体" w:eastAsia="宋体" w:cs="Times New Roman"/>
          <w:szCs w:val="21"/>
        </w:rPr>
      </w:pPr>
      <w:r>
        <w:rPr>
          <w:rFonts w:hint="eastAsia" w:ascii="宋体" w:hAnsi="宋体" w:eastAsia="宋体" w:cs="Times New Roman"/>
          <w:szCs w:val="21"/>
        </w:rPr>
        <w:t xml:space="preserve">    52.1提出质疑</w:t>
      </w:r>
    </w:p>
    <w:p>
      <w:pPr>
        <w:rPr>
          <w:rFonts w:ascii="宋体" w:hAnsi="宋体" w:eastAsia="宋体" w:cs="Times New Roman"/>
          <w:szCs w:val="21"/>
        </w:rPr>
      </w:pPr>
      <w:r>
        <w:rPr>
          <w:rFonts w:hint="eastAsia" w:ascii="宋体" w:hAnsi="宋体" w:eastAsia="宋体" w:cs="Times New Roman"/>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pPr>
        <w:rPr>
          <w:rFonts w:ascii="宋体" w:hAnsi="宋体" w:eastAsia="宋体" w:cs="Times New Roman"/>
          <w:szCs w:val="21"/>
        </w:rPr>
      </w:pPr>
      <w:r>
        <w:rPr>
          <w:rFonts w:hint="eastAsia" w:ascii="宋体" w:hAnsi="宋体" w:eastAsia="宋体" w:cs="Times New Roman"/>
          <w:szCs w:val="21"/>
        </w:rPr>
        <w:t xml:space="preserve">    52.2</w:t>
      </w:r>
      <w:r>
        <w:rPr>
          <w:rFonts w:ascii="宋体" w:hAnsi="宋体" w:eastAsia="宋体" w:cs="Times New Roman"/>
          <w:szCs w:val="21"/>
        </w:rPr>
        <w:t>法律依据</w:t>
      </w:r>
    </w:p>
    <w:p>
      <w:pPr>
        <w:rPr>
          <w:rFonts w:ascii="宋体" w:hAnsi="宋体" w:eastAsia="宋体" w:cs="Times New Roman"/>
          <w:szCs w:val="21"/>
        </w:rPr>
      </w:pPr>
      <w:r>
        <w:rPr>
          <w:rFonts w:hint="eastAsia" w:ascii="宋体" w:hAnsi="宋体" w:eastAsia="宋体" w:cs="Times New Roman"/>
          <w:szCs w:val="21"/>
        </w:rPr>
        <w:t xml:space="preserve">    《中华人民共和国政府采购法》、《中华人民共和国政府采购法实施条例》、</w:t>
      </w:r>
      <w:r>
        <w:rPr>
          <w:rFonts w:ascii="宋体" w:hAnsi="宋体" w:eastAsia="宋体" w:cs="Times New Roman"/>
          <w:szCs w:val="21"/>
        </w:rPr>
        <w:t>《</w:t>
      </w:r>
      <w:r>
        <w:rPr>
          <w:rFonts w:hint="eastAsia" w:ascii="宋体" w:hAnsi="宋体" w:eastAsia="宋体" w:cs="Times New Roman"/>
          <w:szCs w:val="21"/>
        </w:rPr>
        <w:t>深圳经济特区政府采购</w:t>
      </w:r>
      <w:r>
        <w:rPr>
          <w:rFonts w:ascii="宋体" w:hAnsi="宋体" w:eastAsia="宋体" w:cs="Times New Roman"/>
          <w:szCs w:val="21"/>
        </w:rPr>
        <w:t>条例</w:t>
      </w:r>
      <w:r>
        <w:rPr>
          <w:rFonts w:hint="eastAsia" w:ascii="宋体" w:hAnsi="宋体" w:eastAsia="宋体" w:cs="Times New Roman"/>
          <w:szCs w:val="21"/>
        </w:rPr>
        <w:t>》、《深圳经济特区政府采购条例实施细则》、《政府采购质疑和投诉办法》（财政部令第94号）和其他有关法律法规规定。</w:t>
      </w:r>
    </w:p>
    <w:p>
      <w:pPr>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color w:val="FF0000"/>
          <w:szCs w:val="21"/>
        </w:rPr>
        <w:t xml:space="preserve">  </w:t>
      </w:r>
      <w:r>
        <w:rPr>
          <w:rFonts w:hint="eastAsia" w:ascii="宋体" w:hAnsi="宋体" w:eastAsia="宋体" w:cs="Times New Roman"/>
          <w:szCs w:val="21"/>
        </w:rPr>
        <w:t>52.3质疑条件</w:t>
      </w:r>
    </w:p>
    <w:p>
      <w:pPr>
        <w:rPr>
          <w:rFonts w:ascii="宋体" w:hAnsi="宋体" w:eastAsia="宋体" w:cs="Times New Roman"/>
          <w:szCs w:val="21"/>
        </w:rPr>
      </w:pPr>
      <w:r>
        <w:rPr>
          <w:rFonts w:hint="eastAsia" w:ascii="宋体" w:hAnsi="宋体" w:eastAsia="宋体" w:cs="Times New Roman"/>
          <w:szCs w:val="21"/>
        </w:rPr>
        <w:t xml:space="preserve">    52.3.1提出质疑的供应商应当是参与所质疑项目采购活动的供应商；</w:t>
      </w:r>
      <w:bookmarkStart w:id="140" w:name="_Hlk75374941"/>
      <w:r>
        <w:rPr>
          <w:rFonts w:hint="eastAsia" w:ascii="宋体" w:hAnsi="宋体" w:eastAsia="宋体" w:cs="Times New Roman"/>
          <w:szCs w:val="21"/>
        </w:rPr>
        <w:t>以联合体形式参与的，质疑应当由组成联合体的所有成员共同提出</w:t>
      </w:r>
      <w:bookmarkEnd w:id="140"/>
      <w:r>
        <w:rPr>
          <w:rFonts w:hint="eastAsia" w:ascii="宋体" w:hAnsi="宋体" w:eastAsia="宋体" w:cs="Times New Roman"/>
          <w:szCs w:val="21"/>
        </w:rPr>
        <w:t>；</w:t>
      </w:r>
    </w:p>
    <w:p>
      <w:pPr>
        <w:rPr>
          <w:rFonts w:ascii="宋体" w:hAnsi="宋体" w:eastAsia="宋体" w:cs="Times New Roman"/>
          <w:szCs w:val="21"/>
        </w:rPr>
      </w:pPr>
      <w:r>
        <w:rPr>
          <w:rFonts w:hint="eastAsia" w:ascii="宋体" w:hAnsi="宋体" w:eastAsia="宋体" w:cs="Times New Roman"/>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结果以及评审委员会组成人员的质疑，为中标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结果公示之日；</w:t>
      </w:r>
    </w:p>
    <w:p>
      <w:pPr>
        <w:ind w:firstLine="420"/>
        <w:rPr>
          <w:rFonts w:ascii="宋体" w:hAnsi="宋体" w:eastAsia="宋体" w:cs="Times New Roman"/>
          <w:szCs w:val="21"/>
        </w:rPr>
      </w:pPr>
      <w:r>
        <w:rPr>
          <w:rFonts w:hint="eastAsia" w:ascii="宋体" w:hAnsi="宋体" w:eastAsia="宋体" w:cs="Times New Roman"/>
          <w:szCs w:val="21"/>
        </w:rPr>
        <w:t>52.3.3应提交书面质疑函，质疑函应当包括以下内容：</w:t>
      </w:r>
      <w:r>
        <w:rPr>
          <w:rFonts w:ascii="宋体" w:hAnsi="宋体" w:eastAsia="宋体" w:cs="Times New Roman"/>
          <w:szCs w:val="21"/>
        </w:rPr>
        <w:t xml:space="preserve"> </w:t>
      </w:r>
    </w:p>
    <w:p>
      <w:pPr>
        <w:ind w:firstLine="420"/>
        <w:rPr>
          <w:rFonts w:ascii="宋体" w:hAnsi="宋体" w:eastAsia="宋体" w:cs="Times New Roman"/>
          <w:szCs w:val="21"/>
        </w:rPr>
      </w:pPr>
      <w:r>
        <w:rPr>
          <w:rFonts w:hint="eastAsia" w:ascii="宋体" w:hAnsi="宋体" w:eastAsia="宋体" w:cs="Times New Roman"/>
          <w:szCs w:val="21"/>
        </w:rPr>
        <w:t>（1）供应商的名称（或者姓名）、地址、邮编、邮箱、联系人及联系电话；</w:t>
      </w:r>
    </w:p>
    <w:p>
      <w:pPr>
        <w:ind w:firstLine="420" w:firstLineChars="200"/>
        <w:rPr>
          <w:rFonts w:ascii="宋体" w:hAnsi="宋体" w:eastAsia="宋体" w:cs="Times New Roman"/>
          <w:szCs w:val="21"/>
        </w:rPr>
      </w:pPr>
      <w:r>
        <w:rPr>
          <w:rFonts w:hint="eastAsia" w:ascii="宋体" w:hAnsi="宋体" w:eastAsia="宋体" w:cs="Times New Roman"/>
          <w:szCs w:val="21"/>
        </w:rPr>
        <w:t>（2）质疑项目的名称、编号；</w:t>
      </w:r>
    </w:p>
    <w:p>
      <w:pPr>
        <w:ind w:firstLine="420" w:firstLineChars="200"/>
        <w:rPr>
          <w:rFonts w:ascii="宋体" w:hAnsi="宋体" w:eastAsia="宋体" w:cs="Times New Roman"/>
          <w:szCs w:val="21"/>
        </w:rPr>
      </w:pPr>
      <w:r>
        <w:rPr>
          <w:rFonts w:hint="eastAsia" w:ascii="宋体" w:hAnsi="宋体" w:eastAsia="宋体" w:cs="Times New Roman"/>
          <w:szCs w:val="21"/>
        </w:rPr>
        <w:t>（3）具体、明确的质疑对象、质疑事项和质疑请求；</w:t>
      </w:r>
    </w:p>
    <w:p>
      <w:pPr>
        <w:ind w:firstLine="420" w:firstLineChars="200"/>
        <w:rPr>
          <w:rFonts w:ascii="宋体" w:hAnsi="宋体" w:eastAsia="宋体" w:cs="Times New Roman"/>
          <w:szCs w:val="21"/>
        </w:rPr>
      </w:pPr>
      <w:r>
        <w:rPr>
          <w:rFonts w:hint="eastAsia" w:ascii="宋体" w:hAnsi="宋体" w:eastAsia="宋体" w:cs="Times New Roman"/>
          <w:szCs w:val="21"/>
        </w:rPr>
        <w:t>（4）因质疑事项而受损害的权益；</w:t>
      </w:r>
    </w:p>
    <w:p>
      <w:pPr>
        <w:ind w:firstLine="420" w:firstLineChars="200"/>
        <w:rPr>
          <w:rFonts w:ascii="宋体" w:hAnsi="宋体" w:eastAsia="宋体" w:cs="Times New Roman"/>
          <w:szCs w:val="21"/>
        </w:rPr>
      </w:pPr>
      <w:r>
        <w:rPr>
          <w:rFonts w:hint="eastAsia" w:ascii="宋体" w:hAnsi="宋体" w:eastAsia="宋体" w:cs="Times New Roman"/>
          <w:szCs w:val="21"/>
        </w:rPr>
        <w:t>（5）事实依据；</w:t>
      </w:r>
    </w:p>
    <w:p>
      <w:pPr>
        <w:ind w:firstLine="420" w:firstLineChars="200"/>
        <w:rPr>
          <w:rFonts w:ascii="宋体" w:hAnsi="宋体" w:eastAsia="宋体" w:cs="Times New Roman"/>
          <w:szCs w:val="21"/>
        </w:rPr>
      </w:pPr>
      <w:r>
        <w:rPr>
          <w:rFonts w:hint="eastAsia" w:ascii="宋体" w:hAnsi="宋体" w:eastAsia="宋体" w:cs="Times New Roman"/>
          <w:szCs w:val="21"/>
        </w:rPr>
        <w:t>（6）必要的法律依据；</w:t>
      </w:r>
    </w:p>
    <w:p>
      <w:pPr>
        <w:ind w:firstLine="420" w:firstLineChars="200"/>
        <w:rPr>
          <w:rFonts w:ascii="宋体" w:hAnsi="宋体" w:eastAsia="宋体" w:cs="Times New Roman"/>
          <w:szCs w:val="21"/>
        </w:rPr>
      </w:pPr>
      <w:r>
        <w:rPr>
          <w:rFonts w:hint="eastAsia" w:ascii="宋体" w:hAnsi="宋体" w:eastAsia="宋体" w:cs="Times New Roman"/>
          <w:szCs w:val="21"/>
        </w:rPr>
        <w:t>（7）提出质疑的日期。</w:t>
      </w:r>
    </w:p>
    <w:p>
      <w:pPr>
        <w:ind w:firstLine="420" w:firstLineChars="200"/>
        <w:rPr>
          <w:rFonts w:ascii="宋体" w:hAnsi="宋体" w:eastAsia="宋体" w:cs="Times New Roman"/>
          <w:szCs w:val="21"/>
        </w:rPr>
      </w:pPr>
      <w:r>
        <w:rPr>
          <w:rFonts w:hint="eastAsia" w:ascii="宋体" w:hAnsi="宋体" w:eastAsia="宋体" w:cs="Times New Roman"/>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52.4提交</w:t>
      </w:r>
      <w:r>
        <w:rPr>
          <w:rFonts w:ascii="宋体" w:hAnsi="宋体" w:eastAsia="宋体" w:cs="Times New Roman"/>
          <w:szCs w:val="21"/>
        </w:rPr>
        <w:t>材料</w:t>
      </w:r>
    </w:p>
    <w:p>
      <w:pPr>
        <w:ind w:firstLine="420" w:firstLineChars="200"/>
        <w:rPr>
          <w:rFonts w:ascii="宋体" w:hAnsi="宋体" w:eastAsia="宋体" w:cs="Times New Roman"/>
          <w:szCs w:val="21"/>
        </w:rPr>
      </w:pPr>
      <w:r>
        <w:rPr>
          <w:rFonts w:hint="eastAsia" w:ascii="宋体" w:hAnsi="宋体" w:eastAsia="宋体" w:cs="Times New Roman"/>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eastAsia="宋体" w:cs="Times New Roman"/>
          <w:szCs w:val="21"/>
        </w:rPr>
      </w:pPr>
      <w:r>
        <w:rPr>
          <w:rFonts w:hint="eastAsia" w:ascii="宋体" w:hAnsi="宋体" w:eastAsia="宋体" w:cs="Times New Roman"/>
          <w:szCs w:val="21"/>
        </w:rPr>
        <w:t>供应商可以委托代理人进行质疑。</w:t>
      </w:r>
      <w:r>
        <w:rPr>
          <w:rFonts w:ascii="宋体" w:hAnsi="宋体" w:eastAsia="宋体" w:cs="Times New Roman"/>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52.5收文地点</w:t>
      </w:r>
    </w:p>
    <w:p>
      <w:pPr>
        <w:ind w:firstLine="422" w:firstLineChars="200"/>
        <w:rPr>
          <w:rFonts w:hint="eastAsia" w:ascii="宋体" w:hAnsi="宋体" w:eastAsia="宋体" w:cs="Times New Roman"/>
          <w:b/>
          <w:bCs/>
          <w:szCs w:val="21"/>
          <w:lang w:eastAsia="zh-CN"/>
        </w:rPr>
      </w:pPr>
      <w:r>
        <w:rPr>
          <w:rFonts w:hint="eastAsia" w:ascii="宋体" w:hAnsi="宋体" w:eastAsia="宋体" w:cs="Times New Roman"/>
          <w:b/>
          <w:bCs/>
          <w:szCs w:val="21"/>
        </w:rPr>
        <w:t>地址：深圳公共资源交易中心（深圳交易集团有限公司</w:t>
      </w:r>
      <w:r>
        <w:rPr>
          <w:rFonts w:hint="eastAsia" w:ascii="宋体" w:hAnsi="宋体" w:cs="Times New Roman"/>
          <w:b/>
          <w:bCs/>
          <w:szCs w:val="21"/>
          <w:lang w:val="en-US" w:eastAsia="zh-CN"/>
        </w:rPr>
        <w:t>大鹏分公司</w:t>
      </w:r>
      <w:r>
        <w:rPr>
          <w:rFonts w:hint="eastAsia" w:ascii="宋体" w:hAnsi="宋体" w:eastAsia="宋体" w:cs="Times New Roman"/>
          <w:b/>
          <w:bCs/>
          <w:szCs w:val="21"/>
        </w:rPr>
        <w:t>）</w:t>
      </w:r>
      <w:r>
        <w:rPr>
          <w:rFonts w:hint="eastAsia" w:ascii="宋体" w:hAnsi="宋体" w:eastAsia="宋体" w:cs="Times New Roman"/>
          <w:b/>
          <w:bCs/>
          <w:szCs w:val="21"/>
          <w:lang w:eastAsia="zh-CN"/>
        </w:rPr>
        <w:t>。</w:t>
      </w:r>
      <w:r>
        <w:rPr>
          <w:rFonts w:hint="eastAsia" w:ascii="宋体" w:hAnsi="宋体"/>
          <w:b/>
          <w:bCs/>
          <w:szCs w:val="21"/>
          <w:lang w:eastAsia="zh-CN"/>
        </w:rPr>
        <w:t>（</w:t>
      </w:r>
      <w:r>
        <w:rPr>
          <w:rFonts w:hint="eastAsia" w:asciiTheme="minorEastAsia" w:hAnsiTheme="minorEastAsia" w:eastAsiaTheme="minorEastAsia" w:cstheme="minorEastAsia"/>
          <w:b/>
          <w:bCs/>
          <w:color w:val="FF0000"/>
          <w:szCs w:val="21"/>
        </w:rPr>
        <w:t>深圳市大鹏新区葵涌街道生命科学产业园A8栋203室</w:t>
      </w:r>
      <w:r>
        <w:rPr>
          <w:rFonts w:hint="eastAsia" w:asciiTheme="minorEastAsia" w:hAnsiTheme="minorEastAsia" w:eastAsiaTheme="minorEastAsia" w:cstheme="minorEastAsia"/>
          <w:b/>
          <w:bCs/>
          <w:color w:val="FF0000"/>
          <w:szCs w:val="21"/>
          <w:lang w:eastAsia="zh-CN"/>
        </w:rPr>
        <w:t>）</w:t>
      </w:r>
      <w:r>
        <w:rPr>
          <w:rFonts w:hint="eastAsia" w:ascii="宋体" w:hAnsi="宋体"/>
          <w:b/>
          <w:bCs/>
          <w:szCs w:val="21"/>
        </w:rPr>
        <w:t>，质疑咨询电话：0755-28333190</w:t>
      </w:r>
      <w:r>
        <w:rPr>
          <w:rFonts w:hint="eastAsia" w:ascii="宋体" w:hAnsi="宋体"/>
          <w:b/>
          <w:bCs/>
          <w:szCs w:val="21"/>
          <w:lang w:eastAsia="zh-CN"/>
        </w:rPr>
        <w:t>。</w:t>
      </w:r>
    </w:p>
    <w:p>
      <w:pPr>
        <w:ind w:firstLine="420" w:firstLineChars="200"/>
        <w:rPr>
          <w:rFonts w:ascii="宋体" w:hAnsi="宋体" w:eastAsia="宋体" w:cs="Times New Roman"/>
          <w:szCs w:val="21"/>
        </w:rPr>
      </w:pPr>
      <w:r>
        <w:rPr>
          <w:rFonts w:hint="eastAsia" w:ascii="宋体" w:hAnsi="宋体" w:eastAsia="宋体" w:cs="Times New Roman"/>
          <w:szCs w:val="21"/>
        </w:rPr>
        <w:t>52.6收文办理</w:t>
      </w:r>
      <w:r>
        <w:rPr>
          <w:rFonts w:ascii="宋体" w:hAnsi="宋体" w:eastAsia="宋体" w:cs="Times New Roman"/>
          <w:szCs w:val="21"/>
        </w:rPr>
        <w:t>程序</w:t>
      </w:r>
    </w:p>
    <w:p>
      <w:pPr>
        <w:ind w:firstLine="420" w:firstLineChars="200"/>
        <w:rPr>
          <w:rFonts w:ascii="宋体" w:hAnsi="宋体" w:eastAsia="宋体" w:cs="Times New Roman"/>
          <w:szCs w:val="21"/>
        </w:rPr>
      </w:pPr>
      <w:r>
        <w:rPr>
          <w:rFonts w:hint="eastAsia" w:ascii="宋体" w:hAnsi="宋体" w:eastAsia="宋体" w:cs="Times New Roman"/>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cs="Times New Roman"/>
          <w:sz w:val="28"/>
          <w:szCs w:val="28"/>
        </w:rPr>
      </w:pPr>
      <w:r>
        <w:rPr>
          <w:rFonts w:hint="eastAsia" w:ascii="宋体" w:hAnsi="宋体" w:eastAsia="宋体" w:cs="Times New Roman"/>
          <w:szCs w:val="21"/>
        </w:rPr>
        <w:t>52.6.2供应商提交的质疑材料不符合质疑条件的，视情况处理：</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供应商提交的质疑材料不全或者未按要求签字或者盖章的，政府集中采购机构应当一次性告知供应商需补正的内容和补正期限。</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供应商提交的质疑存在下列情形之一的，不予受理：</w:t>
      </w:r>
    </w:p>
    <w:p>
      <w:pPr>
        <w:ind w:firstLine="420" w:firstLineChars="200"/>
        <w:rPr>
          <w:rFonts w:ascii="宋体" w:hAnsi="宋体" w:eastAsia="宋体" w:cs="Times New Roman"/>
          <w:szCs w:val="21"/>
        </w:rPr>
      </w:pPr>
      <w:r>
        <w:rPr>
          <w:rFonts w:hint="eastAsia" w:ascii="宋体" w:hAnsi="宋体" w:eastAsia="宋体" w:cs="Times New Roman"/>
          <w:szCs w:val="21"/>
        </w:rPr>
        <w:t>（1）质疑主体不满足要求的；</w:t>
      </w:r>
    </w:p>
    <w:p>
      <w:pPr>
        <w:ind w:firstLine="420" w:firstLineChars="200"/>
        <w:rPr>
          <w:rFonts w:ascii="宋体" w:hAnsi="宋体" w:eastAsia="宋体" w:cs="Times New Roman"/>
          <w:szCs w:val="21"/>
        </w:rPr>
      </w:pPr>
      <w:r>
        <w:rPr>
          <w:rFonts w:hint="eastAsia" w:ascii="宋体" w:hAnsi="宋体" w:eastAsia="宋体" w:cs="Times New Roman"/>
          <w:szCs w:val="21"/>
        </w:rPr>
        <w:t>（2）供应商自身权益未受到损害的；</w:t>
      </w:r>
    </w:p>
    <w:p>
      <w:pPr>
        <w:ind w:firstLine="420" w:firstLineChars="200"/>
        <w:rPr>
          <w:rFonts w:ascii="宋体" w:hAnsi="宋体" w:eastAsia="宋体" w:cs="Times New Roman"/>
          <w:szCs w:val="21"/>
        </w:rPr>
      </w:pPr>
      <w:r>
        <w:rPr>
          <w:rFonts w:hint="eastAsia" w:ascii="宋体" w:hAnsi="宋体" w:eastAsia="宋体" w:cs="Times New Roman"/>
          <w:szCs w:val="21"/>
        </w:rPr>
        <w:t>（3）供应商未在法定质疑期限内提出质疑的；</w:t>
      </w:r>
    </w:p>
    <w:p>
      <w:pPr>
        <w:ind w:firstLine="420" w:firstLineChars="200"/>
        <w:rPr>
          <w:rFonts w:ascii="宋体" w:hAnsi="宋体" w:eastAsia="宋体" w:cs="Times New Roman"/>
          <w:szCs w:val="21"/>
        </w:rPr>
      </w:pPr>
      <w:r>
        <w:rPr>
          <w:rFonts w:hint="eastAsia" w:ascii="宋体" w:hAnsi="宋体" w:eastAsia="宋体" w:cs="Times New Roman"/>
          <w:szCs w:val="21"/>
        </w:rPr>
        <w:t>（4）质疑材料不全或者未按要求签字或者盖章的情况下，要求补正后，逾期未补正或者补正后仍不符合规定的；</w:t>
      </w:r>
    </w:p>
    <w:p>
      <w:pPr>
        <w:ind w:firstLine="420" w:firstLineChars="200"/>
        <w:rPr>
          <w:rFonts w:ascii="宋体" w:hAnsi="宋体" w:eastAsia="宋体" w:cs="Times New Roman"/>
          <w:szCs w:val="21"/>
        </w:rPr>
      </w:pPr>
      <w:r>
        <w:rPr>
          <w:rFonts w:hint="eastAsia" w:ascii="宋体" w:hAnsi="宋体" w:eastAsia="宋体" w:cs="Times New Roman"/>
          <w:szCs w:val="21"/>
        </w:rPr>
        <w:t>（5）其他不符合受理条件情形的。</w:t>
      </w:r>
    </w:p>
    <w:p>
      <w:pPr>
        <w:ind w:firstLine="420" w:firstLineChars="200"/>
        <w:rPr>
          <w:rFonts w:ascii="宋体" w:hAnsi="宋体" w:eastAsia="宋体" w:cs="Times New Roman"/>
          <w:szCs w:val="21"/>
        </w:rPr>
      </w:pPr>
      <w:r>
        <w:rPr>
          <w:rFonts w:hint="eastAsia" w:ascii="宋体" w:hAnsi="宋体" w:eastAsia="宋体" w:cs="Times New Roman"/>
          <w:szCs w:val="21"/>
        </w:rPr>
        <w:t>质疑事项不予受理的，政府集中采购机构应当向供应商出具不符合质疑条件告知书。</w:t>
      </w:r>
    </w:p>
    <w:p>
      <w:pPr>
        <w:rPr>
          <w:rFonts w:ascii="宋体" w:hAnsi="宋体" w:eastAsia="宋体" w:cs="Times New Roman"/>
          <w:szCs w:val="21"/>
        </w:rPr>
      </w:pPr>
      <w:r>
        <w:rPr>
          <w:rFonts w:hint="eastAsia" w:ascii="宋体" w:hAnsi="宋体" w:eastAsia="宋体" w:cs="Times New Roman"/>
          <w:color w:val="FF0000"/>
          <w:szCs w:val="21"/>
        </w:rPr>
        <w:t xml:space="preserve">  </w:t>
      </w:r>
      <w:r>
        <w:rPr>
          <w:rFonts w:hint="eastAsia" w:ascii="宋体" w:hAnsi="宋体" w:eastAsia="宋体" w:cs="Times New Roman"/>
          <w:szCs w:val="21"/>
        </w:rPr>
        <w:t xml:space="preserve">  52.7质疑答复时限</w:t>
      </w:r>
    </w:p>
    <w:p>
      <w:pPr>
        <w:rPr>
          <w:rFonts w:ascii="宋体" w:hAnsi="宋体" w:eastAsia="宋体" w:cs="Times New Roman"/>
          <w:szCs w:val="21"/>
        </w:rPr>
      </w:pPr>
      <w:r>
        <w:rPr>
          <w:rFonts w:hint="eastAsia" w:ascii="宋体" w:hAnsi="宋体" w:eastAsia="宋体" w:cs="Times New Roman"/>
          <w:szCs w:val="21"/>
        </w:rPr>
        <w:t xml:space="preserve">    自收文之日起七个工作日内。</w:t>
      </w:r>
    </w:p>
    <w:p>
      <w:pPr>
        <w:rPr>
          <w:rFonts w:ascii="宋体" w:hAnsi="宋体" w:eastAsia="宋体" w:cs="Times New Roman"/>
          <w:szCs w:val="21"/>
        </w:rPr>
      </w:pPr>
      <w:r>
        <w:rPr>
          <w:rFonts w:hint="eastAsia" w:ascii="宋体" w:hAnsi="宋体" w:eastAsia="宋体" w:cs="Times New Roman"/>
          <w:szCs w:val="21"/>
        </w:rPr>
        <w:t xml:space="preserve">    52.8投诉</w:t>
      </w:r>
    </w:p>
    <w:p>
      <w:pPr>
        <w:rPr>
          <w:rFonts w:ascii="宋体" w:hAnsi="宋体" w:eastAsia="宋体" w:cs="Times New Roman"/>
          <w:szCs w:val="21"/>
        </w:rPr>
      </w:pPr>
      <w:r>
        <w:rPr>
          <w:rFonts w:hint="eastAsia" w:ascii="宋体" w:hAnsi="宋体" w:eastAsia="宋体" w:cs="Times New Roman"/>
          <w:szCs w:val="21"/>
        </w:rPr>
        <w:t xml:space="preserve">    对质疑答复不满意或者未在规定时间内答复的，提出质疑的供应商可以在答复期满后15个工作日内向</w:t>
      </w:r>
      <w:r>
        <w:rPr>
          <w:rFonts w:hint="eastAsia" w:ascii="宋体" w:hAnsi="宋体" w:eastAsia="宋体" w:cs="Times New Roman"/>
          <w:szCs w:val="21"/>
          <w:highlight w:val="yellow"/>
          <w:lang w:val="en-US" w:eastAsia="zh-CN"/>
        </w:rPr>
        <w:t>采购人</w:t>
      </w:r>
      <w:r>
        <w:rPr>
          <w:rFonts w:hint="eastAsia" w:ascii="宋体" w:hAnsi="宋体" w:eastAsia="宋体" w:cs="Times New Roman"/>
          <w:szCs w:val="21"/>
        </w:rPr>
        <w:t>投诉。</w:t>
      </w:r>
    </w:p>
    <w:p>
      <w:pPr>
        <w:rPr>
          <w:rFonts w:ascii="黑体" w:hAnsi="宋体" w:eastAsia="黑体" w:cs="Times New Roman"/>
          <w:sz w:val="24"/>
        </w:rPr>
      </w:pPr>
      <w:r>
        <w:rPr>
          <w:rFonts w:hint="eastAsia" w:ascii="黑体" w:hAnsi="宋体" w:eastAsia="黑体" w:cs="Times New Roman"/>
          <w:sz w:val="24"/>
        </w:rPr>
        <w:t>53. 质疑后续处理</w:t>
      </w:r>
    </w:p>
    <w:p>
      <w:pPr>
        <w:jc w:val="both"/>
        <w:rPr>
          <w:rFonts w:ascii="宋体" w:hAnsi="宋体" w:eastAsia="宋体" w:cs="Times New Roman"/>
          <w:szCs w:val="21"/>
        </w:rPr>
      </w:pPr>
      <w:r>
        <w:rPr>
          <w:rFonts w:hint="eastAsia" w:ascii="宋体" w:hAnsi="宋体" w:eastAsia="宋体" w:cs="Times New Roman"/>
          <w:szCs w:val="21"/>
        </w:rPr>
        <w:t xml:space="preserve">    53.1供应商质疑不成立，或者成立但未对中标、成交结果构成影响的，继续开展采购活动。</w:t>
      </w:r>
    </w:p>
    <w:p>
      <w:pPr>
        <w:ind w:firstLine="420"/>
        <w:jc w:val="both"/>
        <w:rPr>
          <w:rFonts w:hint="eastAsia" w:ascii="宋体" w:hAnsi="宋体" w:eastAsia="宋体" w:cs="Times New Roman"/>
          <w:szCs w:val="21"/>
        </w:rPr>
      </w:pPr>
      <w:r>
        <w:rPr>
          <w:rFonts w:hint="eastAsia" w:ascii="宋体" w:hAnsi="宋体" w:eastAsia="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both"/>
        <w:rPr>
          <w:rFonts w:ascii="Times New Roman" w:hAnsi="Times New Roman" w:eastAsia="宋体" w:cs="Times New Roman"/>
        </w:rPr>
      </w:pPr>
      <w:r>
        <w:rPr>
          <w:rFonts w:ascii="Times New Roman" w:hAnsi="Times New Roman" w:eastAsia="宋体" w:cs="Times New Roman"/>
        </w:rPr>
        <w:t>---- END ----</w:t>
      </w:r>
    </w:p>
    <w:p>
      <w:pPr>
        <w:jc w:val="both"/>
      </w:pPr>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t xml:space="preserve">- </w:t>
    </w:r>
    <w:r>
      <w:fldChar w:fldCharType="begin"/>
    </w:r>
    <w:r>
      <w:instrText xml:space="preserve"> PAGE </w:instrText>
    </w:r>
    <w:r>
      <w:fldChar w:fldCharType="separate"/>
    </w:r>
    <w:r>
      <w:t>32</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1"/>
      <w:lvlText w:val="%1."/>
      <w:lvlJc w:val="left"/>
      <w:pPr>
        <w:tabs>
          <w:tab w:val="left" w:pos="7994"/>
        </w:tabs>
        <w:ind w:left="7994" w:leftChars="800" w:hanging="360" w:hangingChars="200"/>
      </w:pPr>
    </w:lvl>
  </w:abstractNum>
  <w:abstractNum w:abstractNumId="9">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2503483"/>
    <w:multiLevelType w:val="multilevel"/>
    <w:tmpl w:val="12503483"/>
    <w:lvl w:ilvl="0" w:tentative="0">
      <w:start w:val="1"/>
      <w:numFmt w:val="bullet"/>
      <w:pStyle w:val="109"/>
      <w:lvlText w:val=""/>
      <w:lvlJc w:val="left"/>
      <w:pPr>
        <w:tabs>
          <w:tab w:val="left" w:pos="420"/>
        </w:tabs>
        <w:ind w:left="420" w:hanging="420"/>
      </w:pPr>
      <w:rPr>
        <w:rFonts w:hint="default" w:ascii="Wingdings" w:hAnsi="Wingdings"/>
      </w:rPr>
    </w:lvl>
    <w:lvl w:ilvl="1" w:tentative="0">
      <w:start w:val="1"/>
      <w:numFmt w:val="bullet"/>
      <w:pStyle w:val="10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60D20D0"/>
    <w:multiLevelType w:val="multilevel"/>
    <w:tmpl w:val="160D20D0"/>
    <w:lvl w:ilvl="0" w:tentative="0">
      <w:start w:val="1"/>
      <w:numFmt w:val="bullet"/>
      <w:pStyle w:val="77"/>
      <w:lvlText w:val=""/>
      <w:lvlJc w:val="left"/>
      <w:pPr>
        <w:tabs>
          <w:tab w:val="left" w:pos="840"/>
        </w:tabs>
        <w:ind w:left="840" w:hanging="420"/>
      </w:pPr>
      <w:rPr>
        <w:rFonts w:hint="default" w:ascii="Wingdings" w:hAnsi="Wingdings"/>
      </w:rPr>
    </w:lvl>
    <w:lvl w:ilvl="1" w:tentative="0">
      <w:start w:val="1"/>
      <w:numFmt w:val="bullet"/>
      <w:pStyle w:val="7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188E34A0"/>
    <w:multiLevelType w:val="singleLevel"/>
    <w:tmpl w:val="188E34A0"/>
    <w:lvl w:ilvl="0" w:tentative="0">
      <w:start w:val="1"/>
      <w:numFmt w:val="decimal"/>
      <w:lvlText w:val="%1."/>
      <w:lvlJc w:val="left"/>
      <w:pPr>
        <w:tabs>
          <w:tab w:val="left" w:pos="312"/>
        </w:tabs>
      </w:pPr>
    </w:lvl>
  </w:abstractNum>
  <w:abstractNum w:abstractNumId="14">
    <w:nsid w:val="2F395B7B"/>
    <w:multiLevelType w:val="multilevel"/>
    <w:tmpl w:val="2F395B7B"/>
    <w:lvl w:ilvl="0" w:tentative="0">
      <w:start w:val="1"/>
      <w:numFmt w:val="bullet"/>
      <w:pStyle w:val="16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5">
    <w:nsid w:val="34232161"/>
    <w:multiLevelType w:val="singleLevel"/>
    <w:tmpl w:val="34232161"/>
    <w:lvl w:ilvl="0" w:tentative="0">
      <w:start w:val="2"/>
      <w:numFmt w:val="decimal"/>
      <w:suff w:val="nothing"/>
      <w:lvlText w:val="（%1）"/>
      <w:lvlJc w:val="left"/>
    </w:lvl>
  </w:abstractNum>
  <w:abstractNum w:abstractNumId="16">
    <w:nsid w:val="7A0F6431"/>
    <w:multiLevelType w:val="singleLevel"/>
    <w:tmpl w:val="7A0F6431"/>
    <w:lvl w:ilvl="0" w:tentative="0">
      <w:start w:val="1"/>
      <w:numFmt w:val="decimal"/>
      <w:suff w:val="space"/>
      <w:lvlText w:val="%1."/>
      <w:lvlJc w:val="left"/>
    </w:lvl>
  </w:abstractNum>
  <w:abstractNum w:abstractNumId="17">
    <w:nsid w:val="7AEF7716"/>
    <w:multiLevelType w:val="multilevel"/>
    <w:tmpl w:val="7AEF7716"/>
    <w:lvl w:ilvl="0" w:tentative="0">
      <w:start w:val="1"/>
      <w:numFmt w:val="chineseCountingThousand"/>
      <w:pStyle w:val="122"/>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7CDF143A"/>
    <w:multiLevelType w:val="singleLevel"/>
    <w:tmpl w:val="7CDF143A"/>
    <w:lvl w:ilvl="0" w:tentative="0">
      <w:start w:val="1"/>
      <w:numFmt w:val="decimal"/>
      <w:suff w:val="nothing"/>
      <w:lvlText w:val="%1．"/>
      <w:lvlJc w:val="left"/>
      <w:pPr>
        <w:ind w:left="0" w:firstLine="400"/>
      </w:pPr>
      <w:rPr>
        <w:rFonts w:hint="default"/>
      </w:rPr>
    </w:lvl>
  </w:abstractNum>
  <w:num w:numId="1">
    <w:abstractNumId w:val="9"/>
  </w:num>
  <w:num w:numId="2">
    <w:abstractNumId w:val="8"/>
  </w:num>
  <w:num w:numId="3">
    <w:abstractNumId w:val="12"/>
  </w:num>
  <w:num w:numId="4">
    <w:abstractNumId w:val="11"/>
  </w:num>
  <w:num w:numId="5">
    <w:abstractNumId w:val="17"/>
  </w:num>
  <w:num w:numId="6">
    <w:abstractNumId w:val="14"/>
  </w:num>
  <w:num w:numId="7">
    <w:abstractNumId w:val="15"/>
  </w:num>
  <w:num w:numId="8">
    <w:abstractNumId w:val="13"/>
  </w:num>
  <w:num w:numId="9">
    <w:abstractNumId w:val="18"/>
  </w:num>
  <w:num w:numId="10">
    <w:abstractNumId w:val="0"/>
  </w:num>
  <w:num w:numId="11">
    <w:abstractNumId w:val="1"/>
  </w:num>
  <w:num w:numId="12">
    <w:abstractNumId w:val="16"/>
  </w:num>
  <w:num w:numId="13">
    <w:abstractNumId w:val="3"/>
  </w:num>
  <w:num w:numId="14">
    <w:abstractNumId w:val="7"/>
  </w:num>
  <w:num w:numId="15">
    <w:abstractNumId w:val="5"/>
  </w:num>
  <w:num w:numId="16">
    <w:abstractNumId w:val="4"/>
  </w:num>
  <w:num w:numId="17">
    <w:abstractNumId w:val="2"/>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mYjljOTBiMDc3ZDI5NDJhZTJlYTI3NDZmMGY3ZTA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1404"/>
    <w:rsid w:val="011E42FB"/>
    <w:rsid w:val="012146C6"/>
    <w:rsid w:val="015D35F5"/>
    <w:rsid w:val="01776FF6"/>
    <w:rsid w:val="01B80B7A"/>
    <w:rsid w:val="01E55D35"/>
    <w:rsid w:val="01F72B36"/>
    <w:rsid w:val="02095687"/>
    <w:rsid w:val="02231391"/>
    <w:rsid w:val="02743188"/>
    <w:rsid w:val="02AC10D3"/>
    <w:rsid w:val="02F82C5A"/>
    <w:rsid w:val="034033B2"/>
    <w:rsid w:val="03B866D0"/>
    <w:rsid w:val="03C40B3F"/>
    <w:rsid w:val="03E11E16"/>
    <w:rsid w:val="04833B9D"/>
    <w:rsid w:val="04BF63F6"/>
    <w:rsid w:val="04E470A0"/>
    <w:rsid w:val="04FC5581"/>
    <w:rsid w:val="0513143C"/>
    <w:rsid w:val="05821997"/>
    <w:rsid w:val="05891928"/>
    <w:rsid w:val="05BF24C9"/>
    <w:rsid w:val="05D426DC"/>
    <w:rsid w:val="05DF0DF0"/>
    <w:rsid w:val="06C559AF"/>
    <w:rsid w:val="06CE0008"/>
    <w:rsid w:val="07554285"/>
    <w:rsid w:val="0775586D"/>
    <w:rsid w:val="07EC528E"/>
    <w:rsid w:val="081C64DD"/>
    <w:rsid w:val="081E2961"/>
    <w:rsid w:val="083E1B6F"/>
    <w:rsid w:val="08435461"/>
    <w:rsid w:val="08435AFA"/>
    <w:rsid w:val="087109F5"/>
    <w:rsid w:val="0885360A"/>
    <w:rsid w:val="08AF0DE8"/>
    <w:rsid w:val="08BA3444"/>
    <w:rsid w:val="090C7C1B"/>
    <w:rsid w:val="0929095D"/>
    <w:rsid w:val="09493091"/>
    <w:rsid w:val="09FF0058"/>
    <w:rsid w:val="0A914C01"/>
    <w:rsid w:val="0AD31787"/>
    <w:rsid w:val="0ADD6816"/>
    <w:rsid w:val="0AF96D6A"/>
    <w:rsid w:val="0B912479"/>
    <w:rsid w:val="0BCC39BB"/>
    <w:rsid w:val="0C2520CA"/>
    <w:rsid w:val="0C4C5587"/>
    <w:rsid w:val="0C7777A9"/>
    <w:rsid w:val="0CD30126"/>
    <w:rsid w:val="0CFC3FE1"/>
    <w:rsid w:val="0D490A8D"/>
    <w:rsid w:val="0DC668EA"/>
    <w:rsid w:val="0DC93D4A"/>
    <w:rsid w:val="0E172E1A"/>
    <w:rsid w:val="0E5643EF"/>
    <w:rsid w:val="0E6E6F80"/>
    <w:rsid w:val="0E745A30"/>
    <w:rsid w:val="0F7A7451"/>
    <w:rsid w:val="0F953AB1"/>
    <w:rsid w:val="0FF94323"/>
    <w:rsid w:val="107A34BF"/>
    <w:rsid w:val="107A51CD"/>
    <w:rsid w:val="108D4A90"/>
    <w:rsid w:val="10993984"/>
    <w:rsid w:val="10E67EAB"/>
    <w:rsid w:val="110D1AD5"/>
    <w:rsid w:val="11213EA8"/>
    <w:rsid w:val="11925F20"/>
    <w:rsid w:val="11B11FDF"/>
    <w:rsid w:val="11C2256C"/>
    <w:rsid w:val="11C91423"/>
    <w:rsid w:val="1203536E"/>
    <w:rsid w:val="123821EC"/>
    <w:rsid w:val="12584AF5"/>
    <w:rsid w:val="1283439D"/>
    <w:rsid w:val="12E96032"/>
    <w:rsid w:val="12EC0F8D"/>
    <w:rsid w:val="12F605AC"/>
    <w:rsid w:val="13560879"/>
    <w:rsid w:val="13D4431F"/>
    <w:rsid w:val="151D38BF"/>
    <w:rsid w:val="1575445F"/>
    <w:rsid w:val="158B5F79"/>
    <w:rsid w:val="15BA18F1"/>
    <w:rsid w:val="15BF1762"/>
    <w:rsid w:val="15F31C73"/>
    <w:rsid w:val="160650C5"/>
    <w:rsid w:val="161A1EE6"/>
    <w:rsid w:val="16BA40A9"/>
    <w:rsid w:val="16E54E7B"/>
    <w:rsid w:val="16F47498"/>
    <w:rsid w:val="17051BB8"/>
    <w:rsid w:val="17727A45"/>
    <w:rsid w:val="181638D8"/>
    <w:rsid w:val="18841AD7"/>
    <w:rsid w:val="18A015D3"/>
    <w:rsid w:val="18A521C4"/>
    <w:rsid w:val="18C9258C"/>
    <w:rsid w:val="1944578F"/>
    <w:rsid w:val="198E1224"/>
    <w:rsid w:val="19A766B9"/>
    <w:rsid w:val="19AF5A77"/>
    <w:rsid w:val="19B1604A"/>
    <w:rsid w:val="19B95C26"/>
    <w:rsid w:val="19E46AD9"/>
    <w:rsid w:val="1A126E19"/>
    <w:rsid w:val="1A652503"/>
    <w:rsid w:val="1A78230D"/>
    <w:rsid w:val="1A7A5D34"/>
    <w:rsid w:val="1AC668AF"/>
    <w:rsid w:val="1B325F2A"/>
    <w:rsid w:val="1B405AA4"/>
    <w:rsid w:val="1B62301A"/>
    <w:rsid w:val="1C1F1E0E"/>
    <w:rsid w:val="1C1F3E4C"/>
    <w:rsid w:val="1CF12935"/>
    <w:rsid w:val="1CF96B9F"/>
    <w:rsid w:val="1D190873"/>
    <w:rsid w:val="1D4B710C"/>
    <w:rsid w:val="1DCF425D"/>
    <w:rsid w:val="1DE3725E"/>
    <w:rsid w:val="1E330E9C"/>
    <w:rsid w:val="1E340CEE"/>
    <w:rsid w:val="1E9C6591"/>
    <w:rsid w:val="1F507A92"/>
    <w:rsid w:val="1FB16412"/>
    <w:rsid w:val="1FD21930"/>
    <w:rsid w:val="20043B19"/>
    <w:rsid w:val="203A1396"/>
    <w:rsid w:val="20BE2A44"/>
    <w:rsid w:val="20BE2B36"/>
    <w:rsid w:val="20D17B68"/>
    <w:rsid w:val="2112344B"/>
    <w:rsid w:val="21481A39"/>
    <w:rsid w:val="219A1B7F"/>
    <w:rsid w:val="21B22A5C"/>
    <w:rsid w:val="21E65C8F"/>
    <w:rsid w:val="22F51417"/>
    <w:rsid w:val="235220CD"/>
    <w:rsid w:val="23AA6A32"/>
    <w:rsid w:val="23C9229F"/>
    <w:rsid w:val="23F24EDE"/>
    <w:rsid w:val="24195A43"/>
    <w:rsid w:val="245D31B5"/>
    <w:rsid w:val="247D5ABB"/>
    <w:rsid w:val="24826101"/>
    <w:rsid w:val="24D334FA"/>
    <w:rsid w:val="25735D35"/>
    <w:rsid w:val="25784A9C"/>
    <w:rsid w:val="25901495"/>
    <w:rsid w:val="2596668B"/>
    <w:rsid w:val="25E16A45"/>
    <w:rsid w:val="25F11338"/>
    <w:rsid w:val="25F46AB0"/>
    <w:rsid w:val="27217B54"/>
    <w:rsid w:val="274348DC"/>
    <w:rsid w:val="277D1EE5"/>
    <w:rsid w:val="27A31B59"/>
    <w:rsid w:val="27B87AF2"/>
    <w:rsid w:val="27EE3E21"/>
    <w:rsid w:val="286C3B37"/>
    <w:rsid w:val="289002C6"/>
    <w:rsid w:val="28B86003"/>
    <w:rsid w:val="28C71A62"/>
    <w:rsid w:val="293801B5"/>
    <w:rsid w:val="298A23AD"/>
    <w:rsid w:val="299A59D2"/>
    <w:rsid w:val="2B033371"/>
    <w:rsid w:val="2B067EC8"/>
    <w:rsid w:val="2B3A56AF"/>
    <w:rsid w:val="2BB71443"/>
    <w:rsid w:val="2BDC0BC9"/>
    <w:rsid w:val="2BF00047"/>
    <w:rsid w:val="2C0853D9"/>
    <w:rsid w:val="2C240F34"/>
    <w:rsid w:val="2C64115C"/>
    <w:rsid w:val="2C70392E"/>
    <w:rsid w:val="2D0B54A3"/>
    <w:rsid w:val="2D230138"/>
    <w:rsid w:val="2D355E3C"/>
    <w:rsid w:val="2D6F4378"/>
    <w:rsid w:val="2DED1D9C"/>
    <w:rsid w:val="2DFF521E"/>
    <w:rsid w:val="2E590BD6"/>
    <w:rsid w:val="2EA0509E"/>
    <w:rsid w:val="2F2E2929"/>
    <w:rsid w:val="2F3F3850"/>
    <w:rsid w:val="2F815A0A"/>
    <w:rsid w:val="2F884949"/>
    <w:rsid w:val="2FF73D1D"/>
    <w:rsid w:val="300801AF"/>
    <w:rsid w:val="3009697D"/>
    <w:rsid w:val="30104524"/>
    <w:rsid w:val="30113460"/>
    <w:rsid w:val="30204AC3"/>
    <w:rsid w:val="304B4E50"/>
    <w:rsid w:val="3063463F"/>
    <w:rsid w:val="308F3CFA"/>
    <w:rsid w:val="30E262DA"/>
    <w:rsid w:val="312F7772"/>
    <w:rsid w:val="31A11AE9"/>
    <w:rsid w:val="31C45C63"/>
    <w:rsid w:val="31FC3EF9"/>
    <w:rsid w:val="322E5E24"/>
    <w:rsid w:val="324B16F5"/>
    <w:rsid w:val="32807B59"/>
    <w:rsid w:val="32CF303F"/>
    <w:rsid w:val="32FB0035"/>
    <w:rsid w:val="33235F77"/>
    <w:rsid w:val="3350673E"/>
    <w:rsid w:val="33977D4F"/>
    <w:rsid w:val="33B67A9F"/>
    <w:rsid w:val="33E02E1C"/>
    <w:rsid w:val="341D63B4"/>
    <w:rsid w:val="344233AC"/>
    <w:rsid w:val="346C42A4"/>
    <w:rsid w:val="34E60A39"/>
    <w:rsid w:val="3513289C"/>
    <w:rsid w:val="351B1A41"/>
    <w:rsid w:val="351D0A98"/>
    <w:rsid w:val="354F755A"/>
    <w:rsid w:val="355C0DE1"/>
    <w:rsid w:val="35893F26"/>
    <w:rsid w:val="35923A74"/>
    <w:rsid w:val="35F03911"/>
    <w:rsid w:val="361D3B28"/>
    <w:rsid w:val="36342427"/>
    <w:rsid w:val="36383DD0"/>
    <w:rsid w:val="36C0037B"/>
    <w:rsid w:val="36F1018E"/>
    <w:rsid w:val="370E5343"/>
    <w:rsid w:val="37503F9E"/>
    <w:rsid w:val="376857B1"/>
    <w:rsid w:val="377622CB"/>
    <w:rsid w:val="3780685D"/>
    <w:rsid w:val="37BA2F63"/>
    <w:rsid w:val="37C81053"/>
    <w:rsid w:val="37E817A5"/>
    <w:rsid w:val="38704532"/>
    <w:rsid w:val="38AA04E2"/>
    <w:rsid w:val="38B04014"/>
    <w:rsid w:val="38D77AF6"/>
    <w:rsid w:val="38DA1EF9"/>
    <w:rsid w:val="38E050B1"/>
    <w:rsid w:val="38FC0F21"/>
    <w:rsid w:val="393D75AA"/>
    <w:rsid w:val="394E75C1"/>
    <w:rsid w:val="39600993"/>
    <w:rsid w:val="398A2C99"/>
    <w:rsid w:val="39B41E0D"/>
    <w:rsid w:val="39B853D1"/>
    <w:rsid w:val="39DB34A5"/>
    <w:rsid w:val="3A3C23C2"/>
    <w:rsid w:val="3A3E27D3"/>
    <w:rsid w:val="3AA0244D"/>
    <w:rsid w:val="3B040851"/>
    <w:rsid w:val="3B0C4D03"/>
    <w:rsid w:val="3BA76A03"/>
    <w:rsid w:val="3BE30FA7"/>
    <w:rsid w:val="3BF40129"/>
    <w:rsid w:val="3BFE1F56"/>
    <w:rsid w:val="3C002C09"/>
    <w:rsid w:val="3C56385D"/>
    <w:rsid w:val="3C895347"/>
    <w:rsid w:val="3CA50080"/>
    <w:rsid w:val="3CDF3135"/>
    <w:rsid w:val="3CE41001"/>
    <w:rsid w:val="3D177A29"/>
    <w:rsid w:val="3D1D0F09"/>
    <w:rsid w:val="3D4153BD"/>
    <w:rsid w:val="3D5F6F75"/>
    <w:rsid w:val="3D605B64"/>
    <w:rsid w:val="3D6E7621"/>
    <w:rsid w:val="3DB66D48"/>
    <w:rsid w:val="3DFB5183"/>
    <w:rsid w:val="3E42676A"/>
    <w:rsid w:val="3E870B6E"/>
    <w:rsid w:val="3F26350E"/>
    <w:rsid w:val="3F2B5786"/>
    <w:rsid w:val="3F3E428E"/>
    <w:rsid w:val="3F513CB1"/>
    <w:rsid w:val="3FA86688"/>
    <w:rsid w:val="3FB269C3"/>
    <w:rsid w:val="3FD032C7"/>
    <w:rsid w:val="3FD34F34"/>
    <w:rsid w:val="3FDB1D7E"/>
    <w:rsid w:val="405F4E39"/>
    <w:rsid w:val="406D3E71"/>
    <w:rsid w:val="40767C0D"/>
    <w:rsid w:val="40D93256"/>
    <w:rsid w:val="40E45FD9"/>
    <w:rsid w:val="410061AC"/>
    <w:rsid w:val="413E22CD"/>
    <w:rsid w:val="41571D6E"/>
    <w:rsid w:val="41B06223"/>
    <w:rsid w:val="41B829D4"/>
    <w:rsid w:val="41E77728"/>
    <w:rsid w:val="41F8244F"/>
    <w:rsid w:val="421F601D"/>
    <w:rsid w:val="42482AD4"/>
    <w:rsid w:val="424A2571"/>
    <w:rsid w:val="42896114"/>
    <w:rsid w:val="42BE5CDC"/>
    <w:rsid w:val="430C0C47"/>
    <w:rsid w:val="432B6014"/>
    <w:rsid w:val="43A73423"/>
    <w:rsid w:val="43E503D2"/>
    <w:rsid w:val="43E62EC8"/>
    <w:rsid w:val="443E7269"/>
    <w:rsid w:val="44AC22B9"/>
    <w:rsid w:val="451275EF"/>
    <w:rsid w:val="459C606B"/>
    <w:rsid w:val="46C076E7"/>
    <w:rsid w:val="46CC258D"/>
    <w:rsid w:val="46E42C4A"/>
    <w:rsid w:val="472C7633"/>
    <w:rsid w:val="47385FC3"/>
    <w:rsid w:val="474256D1"/>
    <w:rsid w:val="475D2AB1"/>
    <w:rsid w:val="47D965EA"/>
    <w:rsid w:val="47F154BA"/>
    <w:rsid w:val="48186FE3"/>
    <w:rsid w:val="48C3442B"/>
    <w:rsid w:val="48D43EA7"/>
    <w:rsid w:val="48EA0098"/>
    <w:rsid w:val="48ED46B3"/>
    <w:rsid w:val="4939352B"/>
    <w:rsid w:val="49451217"/>
    <w:rsid w:val="496D4057"/>
    <w:rsid w:val="49807693"/>
    <w:rsid w:val="49B826FF"/>
    <w:rsid w:val="49BF2665"/>
    <w:rsid w:val="49C56BCC"/>
    <w:rsid w:val="49D82CEC"/>
    <w:rsid w:val="49E44F5F"/>
    <w:rsid w:val="4A986521"/>
    <w:rsid w:val="4AD36F68"/>
    <w:rsid w:val="4ADA6DED"/>
    <w:rsid w:val="4BC16430"/>
    <w:rsid w:val="4BE72D78"/>
    <w:rsid w:val="4BFD54DB"/>
    <w:rsid w:val="4C164FBE"/>
    <w:rsid w:val="4C271A49"/>
    <w:rsid w:val="4C325CE4"/>
    <w:rsid w:val="4C623D84"/>
    <w:rsid w:val="4CB92D92"/>
    <w:rsid w:val="4CDE39A2"/>
    <w:rsid w:val="4CE935CD"/>
    <w:rsid w:val="4CF94C73"/>
    <w:rsid w:val="4D2F782E"/>
    <w:rsid w:val="4DAE7818"/>
    <w:rsid w:val="4DC55A54"/>
    <w:rsid w:val="4DD637A3"/>
    <w:rsid w:val="4DEA0C18"/>
    <w:rsid w:val="4DF60365"/>
    <w:rsid w:val="4E0D2787"/>
    <w:rsid w:val="4E0D453F"/>
    <w:rsid w:val="4E537D88"/>
    <w:rsid w:val="4E5E2A3C"/>
    <w:rsid w:val="4E7B22CD"/>
    <w:rsid w:val="4ECD27ED"/>
    <w:rsid w:val="4EF179BD"/>
    <w:rsid w:val="4F227A3B"/>
    <w:rsid w:val="4F2B0C9E"/>
    <w:rsid w:val="4F3124AF"/>
    <w:rsid w:val="4FCD0FCF"/>
    <w:rsid w:val="4FDB49B8"/>
    <w:rsid w:val="4FEC07C0"/>
    <w:rsid w:val="4FF35972"/>
    <w:rsid w:val="4FF813ED"/>
    <w:rsid w:val="50043987"/>
    <w:rsid w:val="502F5B05"/>
    <w:rsid w:val="50382367"/>
    <w:rsid w:val="503D22AD"/>
    <w:rsid w:val="505144B9"/>
    <w:rsid w:val="509960DB"/>
    <w:rsid w:val="50DC01CF"/>
    <w:rsid w:val="50F67A62"/>
    <w:rsid w:val="510E78E7"/>
    <w:rsid w:val="51574F3C"/>
    <w:rsid w:val="51D73B45"/>
    <w:rsid w:val="51F21254"/>
    <w:rsid w:val="523258FE"/>
    <w:rsid w:val="52DF6974"/>
    <w:rsid w:val="53292792"/>
    <w:rsid w:val="53B57275"/>
    <w:rsid w:val="540A2A63"/>
    <w:rsid w:val="54A27FE5"/>
    <w:rsid w:val="54E126EC"/>
    <w:rsid w:val="551A77A3"/>
    <w:rsid w:val="552B71DA"/>
    <w:rsid w:val="55C80ACA"/>
    <w:rsid w:val="55F9355F"/>
    <w:rsid w:val="5606548A"/>
    <w:rsid w:val="564837DC"/>
    <w:rsid w:val="56562CF2"/>
    <w:rsid w:val="56927A26"/>
    <w:rsid w:val="572A016E"/>
    <w:rsid w:val="5730509E"/>
    <w:rsid w:val="573D71DF"/>
    <w:rsid w:val="577D0663"/>
    <w:rsid w:val="57AA2B3B"/>
    <w:rsid w:val="57AE734F"/>
    <w:rsid w:val="58236A15"/>
    <w:rsid w:val="583016CC"/>
    <w:rsid w:val="58321EC6"/>
    <w:rsid w:val="58501D07"/>
    <w:rsid w:val="585A3C87"/>
    <w:rsid w:val="58620FD6"/>
    <w:rsid w:val="586757C9"/>
    <w:rsid w:val="58807305"/>
    <w:rsid w:val="58A446B9"/>
    <w:rsid w:val="58C567AC"/>
    <w:rsid w:val="58DF11CE"/>
    <w:rsid w:val="597C3E85"/>
    <w:rsid w:val="59B30690"/>
    <w:rsid w:val="5A0C7DA1"/>
    <w:rsid w:val="5A2F24DA"/>
    <w:rsid w:val="5ABF28B9"/>
    <w:rsid w:val="5AC22B45"/>
    <w:rsid w:val="5ADD3C34"/>
    <w:rsid w:val="5B24477E"/>
    <w:rsid w:val="5B743E4F"/>
    <w:rsid w:val="5BCA3A6F"/>
    <w:rsid w:val="5D12364D"/>
    <w:rsid w:val="5D5F6EC4"/>
    <w:rsid w:val="5D652999"/>
    <w:rsid w:val="5D6730F6"/>
    <w:rsid w:val="5D8D7C8E"/>
    <w:rsid w:val="5DC61182"/>
    <w:rsid w:val="5DDB3655"/>
    <w:rsid w:val="5E123C25"/>
    <w:rsid w:val="5E2935C7"/>
    <w:rsid w:val="5E515E45"/>
    <w:rsid w:val="5E643D94"/>
    <w:rsid w:val="5E6E14AE"/>
    <w:rsid w:val="5E8748C3"/>
    <w:rsid w:val="5E8819C0"/>
    <w:rsid w:val="5EB43E99"/>
    <w:rsid w:val="5EB54CAB"/>
    <w:rsid w:val="5EC74A26"/>
    <w:rsid w:val="5EDA4E15"/>
    <w:rsid w:val="5EEA182F"/>
    <w:rsid w:val="5EEC4F2C"/>
    <w:rsid w:val="5F137888"/>
    <w:rsid w:val="5F3118C0"/>
    <w:rsid w:val="5F362174"/>
    <w:rsid w:val="5F382F4C"/>
    <w:rsid w:val="5F5652B7"/>
    <w:rsid w:val="5F6C0876"/>
    <w:rsid w:val="5F93061C"/>
    <w:rsid w:val="5FAD15EE"/>
    <w:rsid w:val="60103A97"/>
    <w:rsid w:val="609B14DB"/>
    <w:rsid w:val="60C1328E"/>
    <w:rsid w:val="610C012A"/>
    <w:rsid w:val="61237EB8"/>
    <w:rsid w:val="61312D31"/>
    <w:rsid w:val="61622839"/>
    <w:rsid w:val="61FC3A17"/>
    <w:rsid w:val="623A3232"/>
    <w:rsid w:val="624C3ACF"/>
    <w:rsid w:val="626A1B08"/>
    <w:rsid w:val="629666C7"/>
    <w:rsid w:val="62D81168"/>
    <w:rsid w:val="633C34A4"/>
    <w:rsid w:val="6362313F"/>
    <w:rsid w:val="63723E5E"/>
    <w:rsid w:val="63BA64B1"/>
    <w:rsid w:val="63F2576A"/>
    <w:rsid w:val="63FA13F4"/>
    <w:rsid w:val="64232B20"/>
    <w:rsid w:val="64365814"/>
    <w:rsid w:val="64A95D2E"/>
    <w:rsid w:val="64CB312C"/>
    <w:rsid w:val="64DB3FFC"/>
    <w:rsid w:val="64E32783"/>
    <w:rsid w:val="65007F4E"/>
    <w:rsid w:val="65633210"/>
    <w:rsid w:val="6585379C"/>
    <w:rsid w:val="658A3520"/>
    <w:rsid w:val="66072141"/>
    <w:rsid w:val="662D4763"/>
    <w:rsid w:val="664513D6"/>
    <w:rsid w:val="664B644A"/>
    <w:rsid w:val="666B09B5"/>
    <w:rsid w:val="66885224"/>
    <w:rsid w:val="66BA43AC"/>
    <w:rsid w:val="67000CC4"/>
    <w:rsid w:val="67236729"/>
    <w:rsid w:val="67397FD4"/>
    <w:rsid w:val="67710EC2"/>
    <w:rsid w:val="677360E3"/>
    <w:rsid w:val="67E97719"/>
    <w:rsid w:val="67F65590"/>
    <w:rsid w:val="689E1934"/>
    <w:rsid w:val="68D357B0"/>
    <w:rsid w:val="68E21A43"/>
    <w:rsid w:val="68F669DD"/>
    <w:rsid w:val="6967137D"/>
    <w:rsid w:val="69962BD5"/>
    <w:rsid w:val="69CB7493"/>
    <w:rsid w:val="69CE2026"/>
    <w:rsid w:val="69D4537F"/>
    <w:rsid w:val="6A365264"/>
    <w:rsid w:val="6AB30BF4"/>
    <w:rsid w:val="6AD0599B"/>
    <w:rsid w:val="6AE43D6D"/>
    <w:rsid w:val="6AED590E"/>
    <w:rsid w:val="6B981DF8"/>
    <w:rsid w:val="6B9D025C"/>
    <w:rsid w:val="6BA75FB6"/>
    <w:rsid w:val="6BCA0C7C"/>
    <w:rsid w:val="6BFE0F28"/>
    <w:rsid w:val="6BFF52D4"/>
    <w:rsid w:val="6C59487A"/>
    <w:rsid w:val="6CDA2501"/>
    <w:rsid w:val="6D202140"/>
    <w:rsid w:val="6D342340"/>
    <w:rsid w:val="6D9B19E5"/>
    <w:rsid w:val="6E984CF8"/>
    <w:rsid w:val="6F5E0FC0"/>
    <w:rsid w:val="6F6F4E5B"/>
    <w:rsid w:val="6FCD69D4"/>
    <w:rsid w:val="70A80E7F"/>
    <w:rsid w:val="70E241C6"/>
    <w:rsid w:val="71034F30"/>
    <w:rsid w:val="71603DA0"/>
    <w:rsid w:val="722515A8"/>
    <w:rsid w:val="722E2B52"/>
    <w:rsid w:val="728B1D53"/>
    <w:rsid w:val="72991E28"/>
    <w:rsid w:val="72D26514"/>
    <w:rsid w:val="7310706F"/>
    <w:rsid w:val="74564E86"/>
    <w:rsid w:val="74C434B7"/>
    <w:rsid w:val="74CC6FAE"/>
    <w:rsid w:val="753D3F57"/>
    <w:rsid w:val="756D573F"/>
    <w:rsid w:val="75BA3232"/>
    <w:rsid w:val="76A16BB3"/>
    <w:rsid w:val="76D10E3F"/>
    <w:rsid w:val="76E35326"/>
    <w:rsid w:val="76EB17F6"/>
    <w:rsid w:val="77747E1D"/>
    <w:rsid w:val="778411AD"/>
    <w:rsid w:val="77901832"/>
    <w:rsid w:val="77AC6648"/>
    <w:rsid w:val="77B9304C"/>
    <w:rsid w:val="78440AD8"/>
    <w:rsid w:val="786B73C0"/>
    <w:rsid w:val="78857573"/>
    <w:rsid w:val="789442E7"/>
    <w:rsid w:val="78D0667A"/>
    <w:rsid w:val="78E74F63"/>
    <w:rsid w:val="79652BD2"/>
    <w:rsid w:val="79DD6591"/>
    <w:rsid w:val="79F41288"/>
    <w:rsid w:val="7A634C39"/>
    <w:rsid w:val="7A6B1587"/>
    <w:rsid w:val="7B1E65F5"/>
    <w:rsid w:val="7B9F5272"/>
    <w:rsid w:val="7BBB7C03"/>
    <w:rsid w:val="7C0741E9"/>
    <w:rsid w:val="7C230F73"/>
    <w:rsid w:val="7D1B52B4"/>
    <w:rsid w:val="7D3744CD"/>
    <w:rsid w:val="7D7173A1"/>
    <w:rsid w:val="7DB23C95"/>
    <w:rsid w:val="7E433576"/>
    <w:rsid w:val="7EAF5740"/>
    <w:rsid w:val="7EED3340"/>
    <w:rsid w:val="7F720347"/>
    <w:rsid w:val="7F727327"/>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8"/>
    <w:autoRedefine/>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3"/>
    <w:autoRedefine/>
    <w:qFormat/>
    <w:uiPriority w:val="0"/>
    <w:pPr>
      <w:adjustRightInd w:val="0"/>
      <w:jc w:val="center"/>
      <w:textAlignment w:val="baseline"/>
      <w:outlineLvl w:val="1"/>
    </w:pPr>
    <w:rPr>
      <w:kern w:val="0"/>
      <w:sz w:val="24"/>
      <w:szCs w:val="20"/>
    </w:rPr>
  </w:style>
  <w:style w:type="paragraph" w:styleId="3">
    <w:name w:val="heading 3"/>
    <w:basedOn w:val="4"/>
    <w:next w:val="1"/>
    <w:link w:val="57"/>
    <w:autoRedefine/>
    <w:qFormat/>
    <w:uiPriority w:val="9"/>
    <w:pPr>
      <w:spacing w:before="260" w:after="260" w:line="240" w:lineRule="auto"/>
      <w:outlineLvl w:val="2"/>
    </w:pPr>
    <w:rPr>
      <w:rFonts w:ascii="宋体" w:hAnsi="宋体" w:eastAsia="宋体"/>
      <w:szCs w:val="32"/>
    </w:rPr>
  </w:style>
  <w:style w:type="paragraph" w:styleId="4">
    <w:name w:val="heading 4"/>
    <w:basedOn w:val="1"/>
    <w:next w:val="1"/>
    <w:link w:val="55"/>
    <w:autoRedefine/>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2"/>
    <w:autoRedefine/>
    <w:qFormat/>
    <w:uiPriority w:val="0"/>
    <w:pPr>
      <w:keepNext/>
      <w:keepLines/>
      <w:spacing w:before="280" w:after="290" w:line="376" w:lineRule="auto"/>
      <w:outlineLvl w:val="4"/>
    </w:pPr>
    <w:rPr>
      <w:b/>
      <w:sz w:val="28"/>
      <w:szCs w:val="20"/>
    </w:rPr>
  </w:style>
  <w:style w:type="paragraph" w:styleId="10">
    <w:name w:val="heading 6"/>
    <w:basedOn w:val="1"/>
    <w:next w:val="7"/>
    <w:link w:val="85"/>
    <w:autoRedefine/>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86"/>
    <w:autoRedefine/>
    <w:qFormat/>
    <w:uiPriority w:val="0"/>
    <w:pPr>
      <w:keepNext/>
      <w:keepLines/>
      <w:spacing w:before="240" w:after="64" w:line="320" w:lineRule="auto"/>
      <w:outlineLvl w:val="6"/>
    </w:pPr>
    <w:rPr>
      <w:b/>
      <w:sz w:val="24"/>
      <w:szCs w:val="20"/>
    </w:rPr>
  </w:style>
  <w:style w:type="paragraph" w:styleId="12">
    <w:name w:val="heading 8"/>
    <w:basedOn w:val="1"/>
    <w:next w:val="7"/>
    <w:link w:val="87"/>
    <w:autoRedefine/>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88"/>
    <w:autoRedefine/>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8"/>
    <w:link w:val="59"/>
    <w:autoRedefine/>
    <w:qFormat/>
    <w:uiPriority w:val="0"/>
    <w:pPr>
      <w:ind w:firstLine="420"/>
    </w:pPr>
    <w:rPr>
      <w:szCs w:val="20"/>
    </w:rPr>
  </w:style>
  <w:style w:type="paragraph" w:styleId="8">
    <w:name w:val="Body Text"/>
    <w:basedOn w:val="1"/>
    <w:next w:val="9"/>
    <w:link w:val="94"/>
    <w:autoRedefine/>
    <w:qFormat/>
    <w:uiPriority w:val="0"/>
    <w:pPr>
      <w:spacing w:line="360" w:lineRule="auto"/>
    </w:pPr>
    <w:rPr>
      <w:b/>
      <w:bCs/>
      <w:sz w:val="24"/>
    </w:rPr>
  </w:style>
  <w:style w:type="paragraph" w:styleId="9">
    <w:name w:val="Quote"/>
    <w:next w:val="1"/>
    <w:link w:val="440"/>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4">
    <w:name w:val="toc 7"/>
    <w:basedOn w:val="1"/>
    <w:next w:val="1"/>
    <w:autoRedefine/>
    <w:semiHidden/>
    <w:qFormat/>
    <w:uiPriority w:val="0"/>
    <w:pPr>
      <w:ind w:left="1260"/>
      <w:jc w:val="left"/>
    </w:pPr>
    <w:rPr>
      <w:szCs w:val="21"/>
    </w:rPr>
  </w:style>
  <w:style w:type="paragraph" w:styleId="15">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autoRedefine/>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6"/>
    <w:autoRedefine/>
    <w:semiHidden/>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0"/>
    <w:autoRedefine/>
    <w:qFormat/>
    <w:uiPriority w:val="0"/>
    <w:pPr>
      <w:spacing w:after="120"/>
    </w:pPr>
    <w:rPr>
      <w:sz w:val="16"/>
      <w:szCs w:val="16"/>
    </w:rPr>
  </w:style>
  <w:style w:type="paragraph" w:styleId="20">
    <w:name w:val="Body Text Indent"/>
    <w:basedOn w:val="1"/>
    <w:link w:val="81"/>
    <w:autoRedefine/>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autoRedefine/>
    <w:semiHidden/>
    <w:qFormat/>
    <w:uiPriority w:val="0"/>
    <w:pPr>
      <w:ind w:left="420"/>
      <w:jc w:val="left"/>
    </w:pPr>
    <w:rPr>
      <w:i/>
      <w:iCs/>
    </w:rPr>
  </w:style>
  <w:style w:type="paragraph" w:styleId="23">
    <w:name w:val="Plain Text"/>
    <w:basedOn w:val="1"/>
    <w:link w:val="92"/>
    <w:qFormat/>
    <w:uiPriority w:val="0"/>
    <w:rPr>
      <w:rFonts w:ascii="宋体" w:hAnsi="Courier New"/>
      <w:szCs w:val="20"/>
    </w:rPr>
  </w:style>
  <w:style w:type="paragraph" w:styleId="24">
    <w:name w:val="toc 8"/>
    <w:basedOn w:val="1"/>
    <w:next w:val="1"/>
    <w:autoRedefine/>
    <w:semiHidden/>
    <w:qFormat/>
    <w:uiPriority w:val="0"/>
    <w:pPr>
      <w:ind w:left="1470"/>
      <w:jc w:val="left"/>
    </w:pPr>
    <w:rPr>
      <w:szCs w:val="21"/>
    </w:rPr>
  </w:style>
  <w:style w:type="paragraph" w:styleId="25">
    <w:name w:val="Date"/>
    <w:basedOn w:val="1"/>
    <w:next w:val="1"/>
    <w:link w:val="90"/>
    <w:autoRedefine/>
    <w:qFormat/>
    <w:uiPriority w:val="0"/>
    <w:rPr>
      <w:rFonts w:ascii="宋体" w:hAnsi="Courier New"/>
      <w:sz w:val="32"/>
      <w:szCs w:val="20"/>
    </w:rPr>
  </w:style>
  <w:style w:type="paragraph" w:styleId="26">
    <w:name w:val="Body Text Indent 2"/>
    <w:basedOn w:val="1"/>
    <w:link w:val="95"/>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1"/>
    <w:autoRedefine/>
    <w:semiHidden/>
    <w:qFormat/>
    <w:uiPriority w:val="99"/>
    <w:rPr>
      <w:sz w:val="18"/>
      <w:szCs w:val="18"/>
    </w:rPr>
  </w:style>
  <w:style w:type="paragraph" w:styleId="28">
    <w:name w:val="footer"/>
    <w:basedOn w:val="1"/>
    <w:link w:val="99"/>
    <w:autoRedefine/>
    <w:qFormat/>
    <w:uiPriority w:val="0"/>
    <w:pPr>
      <w:tabs>
        <w:tab w:val="center" w:pos="4153"/>
        <w:tab w:val="right" w:pos="8306"/>
      </w:tabs>
      <w:snapToGrid w:val="0"/>
      <w:jc w:val="left"/>
    </w:pPr>
    <w:rPr>
      <w:sz w:val="18"/>
      <w:szCs w:val="18"/>
    </w:rPr>
  </w:style>
  <w:style w:type="paragraph" w:styleId="29">
    <w:name w:val="header"/>
    <w:basedOn w:val="1"/>
    <w:link w:val="9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autoRedefine/>
    <w:semiHidden/>
    <w:qFormat/>
    <w:uiPriority w:val="0"/>
    <w:pPr>
      <w:ind w:left="630"/>
      <w:jc w:val="left"/>
    </w:pPr>
    <w:rPr>
      <w:szCs w:val="21"/>
    </w:rPr>
  </w:style>
  <w:style w:type="paragraph" w:styleId="32">
    <w:name w:val="Subtitle"/>
    <w:next w:val="1"/>
    <w:link w:val="311"/>
    <w:autoRedefine/>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autoRedefine/>
    <w:semiHidden/>
    <w:qFormat/>
    <w:uiPriority w:val="0"/>
    <w:pPr>
      <w:ind w:left="1050"/>
      <w:jc w:val="left"/>
    </w:pPr>
    <w:rPr>
      <w:szCs w:val="21"/>
    </w:rPr>
  </w:style>
  <w:style w:type="paragraph" w:styleId="34">
    <w:name w:val="Body Text Indent 3"/>
    <w:basedOn w:val="1"/>
    <w:link w:val="97"/>
    <w:autoRedefine/>
    <w:qFormat/>
    <w:uiPriority w:val="0"/>
    <w:pPr>
      <w:spacing w:line="360" w:lineRule="auto"/>
      <w:ind w:firstLine="482" w:firstLineChars="200"/>
    </w:pPr>
    <w:rPr>
      <w:rFonts w:ascii="宋体"/>
      <w:b/>
      <w:bCs/>
      <w:sz w:val="24"/>
    </w:rPr>
  </w:style>
  <w:style w:type="paragraph" w:styleId="35">
    <w:name w:val="toc 2"/>
    <w:basedOn w:val="1"/>
    <w:next w:val="1"/>
    <w:autoRedefine/>
    <w:semiHidden/>
    <w:qFormat/>
    <w:uiPriority w:val="0"/>
    <w:pPr>
      <w:tabs>
        <w:tab w:val="right" w:leader="dot" w:pos="8296"/>
      </w:tabs>
      <w:ind w:left="210"/>
      <w:jc w:val="left"/>
    </w:pPr>
    <w:rPr>
      <w:smallCaps/>
    </w:rPr>
  </w:style>
  <w:style w:type="paragraph" w:styleId="36">
    <w:name w:val="toc 9"/>
    <w:basedOn w:val="1"/>
    <w:next w:val="1"/>
    <w:autoRedefine/>
    <w:semiHidden/>
    <w:qFormat/>
    <w:uiPriority w:val="0"/>
    <w:pPr>
      <w:ind w:left="1680"/>
      <w:jc w:val="left"/>
    </w:pPr>
    <w:rPr>
      <w:szCs w:val="21"/>
    </w:rPr>
  </w:style>
  <w:style w:type="paragraph" w:styleId="37">
    <w:name w:val="Body Text 2"/>
    <w:basedOn w:val="1"/>
    <w:link w:val="98"/>
    <w:autoRedefine/>
    <w:qFormat/>
    <w:uiPriority w:val="0"/>
    <w:pPr>
      <w:spacing w:line="360" w:lineRule="auto"/>
    </w:pPr>
    <w:rPr>
      <w:sz w:val="24"/>
    </w:rPr>
  </w:style>
  <w:style w:type="paragraph" w:styleId="38">
    <w:name w:val="HTML Preformatted"/>
    <w:basedOn w:val="1"/>
    <w:link w:val="9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autoRedefine/>
    <w:qFormat/>
    <w:uiPriority w:val="99"/>
    <w:pPr>
      <w:spacing w:beforeAutospacing="1" w:afterAutospacing="1"/>
      <w:jc w:val="left"/>
    </w:pPr>
    <w:rPr>
      <w:kern w:val="0"/>
      <w:sz w:val="24"/>
    </w:rPr>
  </w:style>
  <w:style w:type="paragraph" w:styleId="40">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next w:val="1"/>
    <w:link w:val="89"/>
    <w:autoRedefine/>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8"/>
    <w:next w:val="18"/>
    <w:link w:val="187"/>
    <w:autoRedefine/>
    <w:qFormat/>
    <w:uiPriority w:val="99"/>
    <w:pPr>
      <w:autoSpaceDE/>
      <w:autoSpaceDN/>
      <w:adjustRightInd/>
      <w:textAlignment w:val="auto"/>
    </w:pPr>
    <w:rPr>
      <w:rFonts w:ascii="Times New Roman"/>
      <w:b/>
      <w:bCs/>
      <w:kern w:val="2"/>
      <w:sz w:val="21"/>
      <w:szCs w:val="24"/>
    </w:rPr>
  </w:style>
  <w:style w:type="paragraph" w:styleId="43">
    <w:name w:val="Body Text First Indent"/>
    <w:basedOn w:val="8"/>
    <w:link w:val="132"/>
    <w:autoRedefine/>
    <w:qFormat/>
    <w:uiPriority w:val="0"/>
    <w:pPr>
      <w:spacing w:after="120" w:line="240" w:lineRule="auto"/>
      <w:ind w:firstLine="420" w:firstLineChars="100"/>
    </w:pPr>
    <w:rPr>
      <w:sz w:val="21"/>
    </w:rPr>
  </w:style>
  <w:style w:type="table" w:styleId="45">
    <w:name w:val="Table Grid"/>
    <w:basedOn w:val="4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Elegant"/>
    <w:basedOn w:val="44"/>
    <w:autoRedefine/>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8">
    <w:name w:val="Strong"/>
    <w:autoRedefine/>
    <w:qFormat/>
    <w:uiPriority w:val="0"/>
    <w:rPr>
      <w:b/>
      <w:bCs/>
    </w:rPr>
  </w:style>
  <w:style w:type="character" w:styleId="49">
    <w:name w:val="page number"/>
    <w:basedOn w:val="47"/>
    <w:autoRedefine/>
    <w:qFormat/>
    <w:uiPriority w:val="0"/>
  </w:style>
  <w:style w:type="character" w:styleId="50">
    <w:name w:val="FollowedHyperlink"/>
    <w:autoRedefine/>
    <w:qFormat/>
    <w:uiPriority w:val="0"/>
    <w:rPr>
      <w:color w:val="800080"/>
      <w:u w:val="single"/>
    </w:rPr>
  </w:style>
  <w:style w:type="character" w:styleId="51">
    <w:name w:val="Emphasis"/>
    <w:basedOn w:val="47"/>
    <w:autoRedefine/>
    <w:qFormat/>
    <w:uiPriority w:val="0"/>
    <w:rPr>
      <w:sz w:val="20"/>
    </w:rPr>
  </w:style>
  <w:style w:type="character" w:styleId="52">
    <w:name w:val="Hyperlink"/>
    <w:autoRedefine/>
    <w:qFormat/>
    <w:uiPriority w:val="0"/>
    <w:rPr>
      <w:color w:val="0000FF"/>
      <w:u w:val="single"/>
    </w:rPr>
  </w:style>
  <w:style w:type="character" w:styleId="53">
    <w:name w:val="annotation reference"/>
    <w:basedOn w:val="47"/>
    <w:autoRedefine/>
    <w:qFormat/>
    <w:uiPriority w:val="99"/>
    <w:rPr>
      <w:sz w:val="21"/>
      <w:szCs w:val="21"/>
    </w:rPr>
  </w:style>
  <w:style w:type="paragraph" w:styleId="5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5">
    <w:name w:val="标题 4 Char"/>
    <w:link w:val="4"/>
    <w:autoRedefine/>
    <w:qFormat/>
    <w:uiPriority w:val="9"/>
    <w:rPr>
      <w:rFonts w:ascii="Arial" w:hAnsi="Arial" w:eastAsia="黑体"/>
      <w:b/>
      <w:bCs/>
      <w:kern w:val="2"/>
      <w:sz w:val="28"/>
      <w:szCs w:val="28"/>
      <w:lang w:val="en-US" w:eastAsia="zh-CN" w:bidi="ar-SA"/>
    </w:rPr>
  </w:style>
  <w:style w:type="paragraph" w:customStyle="1" w:styleId="56">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7">
    <w:name w:val="标题 3 Char1"/>
    <w:link w:val="3"/>
    <w:autoRedefine/>
    <w:qFormat/>
    <w:uiPriority w:val="9"/>
    <w:rPr>
      <w:rFonts w:ascii="宋体" w:hAnsi="宋体" w:eastAsia="宋体"/>
      <w:b/>
      <w:bCs/>
      <w:kern w:val="2"/>
      <w:sz w:val="28"/>
      <w:szCs w:val="32"/>
      <w:lang w:val="en-US" w:eastAsia="zh-CN" w:bidi="ar-SA"/>
    </w:rPr>
  </w:style>
  <w:style w:type="character" w:customStyle="1" w:styleId="58">
    <w:name w:val="标题 1 Char"/>
    <w:link w:val="2"/>
    <w:autoRedefine/>
    <w:qFormat/>
    <w:uiPriority w:val="0"/>
    <w:rPr>
      <w:rFonts w:ascii="宋体" w:hAnsi="宋体" w:eastAsia="黑体"/>
      <w:b/>
      <w:bCs/>
      <w:kern w:val="44"/>
      <w:sz w:val="28"/>
      <w:szCs w:val="44"/>
      <w:lang w:val="en-US" w:eastAsia="zh-CN" w:bidi="ar-SA"/>
    </w:rPr>
  </w:style>
  <w:style w:type="character" w:customStyle="1" w:styleId="59">
    <w:name w:val="正文缩进 Char"/>
    <w:link w:val="7"/>
    <w:autoRedefine/>
    <w:qFormat/>
    <w:uiPriority w:val="0"/>
    <w:rPr>
      <w:rFonts w:eastAsia="宋体"/>
      <w:kern w:val="2"/>
      <w:sz w:val="21"/>
      <w:lang w:val="en-US" w:eastAsia="zh-CN" w:bidi="ar-SA"/>
    </w:rPr>
  </w:style>
  <w:style w:type="character" w:customStyle="1" w:styleId="60">
    <w:name w:val="标题 3 Char"/>
    <w:autoRedefine/>
    <w:qFormat/>
    <w:uiPriority w:val="0"/>
    <w:rPr>
      <w:rFonts w:ascii="黑体" w:eastAsia="黑体"/>
      <w:bCs/>
      <w:sz w:val="30"/>
    </w:rPr>
  </w:style>
  <w:style w:type="paragraph" w:customStyle="1" w:styleId="61">
    <w:name w:val="样式41"/>
    <w:basedOn w:val="1"/>
    <w:autoRedefine/>
    <w:qFormat/>
    <w:uiPriority w:val="0"/>
    <w:pPr>
      <w:numPr>
        <w:ilvl w:val="0"/>
        <w:numId w:val="2"/>
      </w:numPr>
      <w:tabs>
        <w:tab w:val="left" w:pos="945"/>
      </w:tabs>
      <w:spacing w:line="360" w:lineRule="auto"/>
    </w:pPr>
    <w:rPr>
      <w:b/>
      <w:color w:val="000000"/>
      <w:sz w:val="24"/>
      <w:szCs w:val="20"/>
    </w:rPr>
  </w:style>
  <w:style w:type="paragraph" w:customStyle="1" w:styleId="62">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3">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Char Char Char 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8">
    <w:name w:val="自定义正文"/>
    <w:basedOn w:val="1"/>
    <w:autoRedefine/>
    <w:qFormat/>
    <w:uiPriority w:val="0"/>
    <w:pPr>
      <w:spacing w:afterLines="50"/>
      <w:ind w:left="600" w:leftChars="600"/>
    </w:pPr>
  </w:style>
  <w:style w:type="paragraph" w:customStyle="1" w:styleId="69">
    <w:name w:val="Char Char Char Char Char"/>
    <w:basedOn w:val="1"/>
    <w:autoRedefine/>
    <w:qFormat/>
    <w:uiPriority w:val="0"/>
    <w:rPr>
      <w:rFonts w:ascii="Tahoma" w:hAnsi="Tahoma"/>
      <w:sz w:val="24"/>
      <w:szCs w:val="20"/>
    </w:rPr>
  </w:style>
  <w:style w:type="paragraph" w:customStyle="1" w:styleId="70">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1">
    <w:name w:val="Char Char"/>
    <w:basedOn w:val="1"/>
    <w:autoRedefine/>
    <w:qFormat/>
    <w:uiPriority w:val="0"/>
    <w:rPr>
      <w:rFonts w:ascii="Tahoma" w:hAnsi="Tahoma"/>
      <w:sz w:val="24"/>
      <w:szCs w:val="20"/>
    </w:rPr>
  </w:style>
  <w:style w:type="paragraph" w:customStyle="1" w:styleId="72">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character" w:customStyle="1" w:styleId="73">
    <w:name w:val="标题 2 Char"/>
    <w:link w:val="5"/>
    <w:autoRedefine/>
    <w:qFormat/>
    <w:uiPriority w:val="0"/>
    <w:rPr>
      <w:rFonts w:ascii="宋体" w:hAnsi="宋体" w:eastAsia="宋体"/>
      <w:b/>
      <w:bCs/>
      <w:sz w:val="24"/>
      <w:lang w:val="en-US" w:eastAsia="zh-CN" w:bidi="ar-SA"/>
    </w:rPr>
  </w:style>
  <w:style w:type="paragraph" w:customStyle="1" w:styleId="74">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styleId="75">
    <w:name w:val="List Paragraph"/>
    <w:basedOn w:val="1"/>
    <w:autoRedefine/>
    <w:qFormat/>
    <w:uiPriority w:val="0"/>
    <w:pPr>
      <w:ind w:firstLine="420" w:firstLineChars="200"/>
    </w:pPr>
    <w:rPr>
      <w:rFonts w:ascii="Calibri" w:hAnsi="Calibri"/>
      <w:szCs w:val="22"/>
    </w:rPr>
  </w:style>
  <w:style w:type="paragraph" w:customStyle="1" w:styleId="76">
    <w:name w:val="USE 1"/>
    <w:basedOn w:val="1"/>
    <w:autoRedefine/>
    <w:qFormat/>
    <w:uiPriority w:val="0"/>
    <w:pPr>
      <w:spacing w:line="200" w:lineRule="atLeast"/>
      <w:jc w:val="left"/>
    </w:pPr>
    <w:rPr>
      <w:rFonts w:ascii="宋体" w:hAnsi="宋体"/>
      <w:b/>
      <w:sz w:val="24"/>
      <w:szCs w:val="28"/>
    </w:rPr>
  </w:style>
  <w:style w:type="paragraph" w:customStyle="1" w:styleId="77">
    <w:name w:val="RFI text from 3rd Level"/>
    <w:basedOn w:val="1"/>
    <w:autoRedefine/>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8">
    <w:name w:val="正文文字缩进项目"/>
    <w:basedOn w:val="20"/>
    <w:autoRedefine/>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9">
    <w:name w:val="样式 标题 2 + 段前: 13 磅 段后: 13 磅 行距: 单倍行距"/>
    <w:basedOn w:val="5"/>
    <w:autoRedefine/>
    <w:qFormat/>
    <w:uiPriority w:val="0"/>
    <w:pPr>
      <w:adjustRightInd/>
      <w:spacing w:before="0" w:after="0"/>
      <w:jc w:val="both"/>
      <w:textAlignment w:val="auto"/>
    </w:pPr>
    <w:rPr>
      <w:rFonts w:ascii="Cambria" w:hAnsi="Cambria" w:cs="宋体"/>
      <w:kern w:val="2"/>
      <w:sz w:val="32"/>
    </w:rPr>
  </w:style>
  <w:style w:type="character" w:customStyle="1" w:styleId="80">
    <w:name w:val="H4 Char2"/>
    <w:autoRedefine/>
    <w:qFormat/>
    <w:uiPriority w:val="0"/>
    <w:rPr>
      <w:rFonts w:ascii="Arial" w:hAnsi="Arial" w:eastAsia="黑体"/>
      <w:b/>
      <w:bCs/>
      <w:kern w:val="2"/>
      <w:sz w:val="28"/>
      <w:szCs w:val="28"/>
      <w:lang w:val="en-US" w:eastAsia="zh-CN" w:bidi="ar-SA"/>
    </w:rPr>
  </w:style>
  <w:style w:type="character" w:customStyle="1" w:styleId="81">
    <w:name w:val="正文文本缩进 Char"/>
    <w:link w:val="20"/>
    <w:autoRedefine/>
    <w:qFormat/>
    <w:uiPriority w:val="0"/>
    <w:rPr>
      <w:rFonts w:eastAsia="宋体"/>
      <w:kern w:val="2"/>
      <w:sz w:val="21"/>
      <w:szCs w:val="24"/>
      <w:lang w:val="en-US" w:eastAsia="zh-CN" w:bidi="ar-SA"/>
    </w:rPr>
  </w:style>
  <w:style w:type="character" w:customStyle="1" w:styleId="82">
    <w:name w:val="标题 5 Char"/>
    <w:link w:val="6"/>
    <w:autoRedefine/>
    <w:qFormat/>
    <w:uiPriority w:val="0"/>
    <w:rPr>
      <w:rFonts w:eastAsia="宋体"/>
      <w:b/>
      <w:kern w:val="2"/>
      <w:sz w:val="28"/>
      <w:lang w:val="en-US" w:eastAsia="zh-CN" w:bidi="ar-SA"/>
    </w:rPr>
  </w:style>
  <w:style w:type="character" w:customStyle="1" w:styleId="83">
    <w:name w:val="第*章 Char"/>
    <w:autoRedefine/>
    <w:qFormat/>
    <w:uiPriority w:val="0"/>
    <w:rPr>
      <w:rFonts w:ascii="Arial" w:hAnsi="Arial" w:eastAsia="黑体"/>
      <w:b/>
      <w:bCs/>
      <w:kern w:val="2"/>
      <w:sz w:val="32"/>
      <w:szCs w:val="32"/>
    </w:rPr>
  </w:style>
  <w:style w:type="character" w:customStyle="1" w:styleId="84">
    <w:name w:val="章标题1 Char"/>
    <w:autoRedefine/>
    <w:qFormat/>
    <w:uiPriority w:val="0"/>
    <w:rPr>
      <w:rFonts w:eastAsia="宋体"/>
      <w:b/>
      <w:bCs/>
      <w:kern w:val="2"/>
      <w:sz w:val="32"/>
      <w:szCs w:val="32"/>
      <w:lang w:val="en-US" w:eastAsia="zh-CN" w:bidi="ar-SA"/>
    </w:rPr>
  </w:style>
  <w:style w:type="character" w:customStyle="1" w:styleId="85">
    <w:name w:val="标题 6 Char"/>
    <w:link w:val="10"/>
    <w:autoRedefine/>
    <w:qFormat/>
    <w:uiPriority w:val="0"/>
    <w:rPr>
      <w:rFonts w:ascii="Arial" w:hAnsi="Arial" w:eastAsia="黑体"/>
      <w:b/>
      <w:kern w:val="2"/>
      <w:sz w:val="24"/>
      <w:lang w:val="en-US" w:eastAsia="zh-CN" w:bidi="ar-SA"/>
    </w:rPr>
  </w:style>
  <w:style w:type="character" w:customStyle="1" w:styleId="86">
    <w:name w:val="标题 7 Char"/>
    <w:link w:val="11"/>
    <w:autoRedefine/>
    <w:qFormat/>
    <w:uiPriority w:val="0"/>
    <w:rPr>
      <w:rFonts w:eastAsia="宋体"/>
      <w:b/>
      <w:kern w:val="2"/>
      <w:sz w:val="24"/>
      <w:lang w:val="en-US" w:eastAsia="zh-CN" w:bidi="ar-SA"/>
    </w:rPr>
  </w:style>
  <w:style w:type="character" w:customStyle="1" w:styleId="87">
    <w:name w:val="标题 8 Char"/>
    <w:link w:val="12"/>
    <w:autoRedefine/>
    <w:qFormat/>
    <w:uiPriority w:val="0"/>
    <w:rPr>
      <w:rFonts w:ascii="Arial" w:hAnsi="Arial" w:eastAsia="黑体"/>
      <w:kern w:val="2"/>
      <w:sz w:val="24"/>
      <w:lang w:val="en-US" w:eastAsia="zh-CN" w:bidi="ar-SA"/>
    </w:rPr>
  </w:style>
  <w:style w:type="character" w:customStyle="1" w:styleId="88">
    <w:name w:val="标题 9 Char"/>
    <w:link w:val="13"/>
    <w:autoRedefine/>
    <w:qFormat/>
    <w:uiPriority w:val="0"/>
    <w:rPr>
      <w:rFonts w:ascii="Arial" w:hAnsi="Arial" w:eastAsia="黑体"/>
      <w:kern w:val="2"/>
      <w:sz w:val="21"/>
      <w:lang w:val="en-US" w:eastAsia="zh-CN" w:bidi="ar-SA"/>
    </w:rPr>
  </w:style>
  <w:style w:type="character" w:customStyle="1" w:styleId="89">
    <w:name w:val="标题 Char"/>
    <w:link w:val="41"/>
    <w:autoRedefine/>
    <w:qFormat/>
    <w:uiPriority w:val="0"/>
    <w:rPr>
      <w:rFonts w:ascii="Arial" w:hAnsi="Arial" w:eastAsia="隶书" w:cs="Arial"/>
      <w:b/>
      <w:bCs/>
      <w:kern w:val="2"/>
      <w:sz w:val="32"/>
      <w:szCs w:val="32"/>
      <w:lang w:val="en-US" w:eastAsia="zh-CN" w:bidi="ar-SA"/>
    </w:rPr>
  </w:style>
  <w:style w:type="character" w:customStyle="1" w:styleId="90">
    <w:name w:val="日期 Char"/>
    <w:link w:val="25"/>
    <w:autoRedefine/>
    <w:qFormat/>
    <w:uiPriority w:val="0"/>
    <w:rPr>
      <w:rFonts w:ascii="宋体" w:hAnsi="Courier New" w:eastAsia="宋体"/>
      <w:kern w:val="2"/>
      <w:sz w:val="32"/>
      <w:lang w:val="en-US" w:eastAsia="zh-CN" w:bidi="ar-SA"/>
    </w:rPr>
  </w:style>
  <w:style w:type="character" w:customStyle="1" w:styleId="91">
    <w:name w:val="HTML 预设格式 Char"/>
    <w:link w:val="38"/>
    <w:autoRedefine/>
    <w:qFormat/>
    <w:uiPriority w:val="0"/>
    <w:rPr>
      <w:rFonts w:ascii="Arial Unicode MS" w:hAnsi="Arial Unicode MS" w:eastAsia="Arial Unicode MS"/>
      <w:color w:val="000000"/>
      <w:lang w:val="en-US" w:eastAsia="zh-CN" w:bidi="ar-SA"/>
    </w:rPr>
  </w:style>
  <w:style w:type="character" w:customStyle="1" w:styleId="92">
    <w:name w:val="纯文本 Char"/>
    <w:link w:val="23"/>
    <w:autoRedefine/>
    <w:qFormat/>
    <w:uiPriority w:val="0"/>
    <w:rPr>
      <w:rFonts w:ascii="宋体" w:hAnsi="Courier New" w:eastAsia="宋体"/>
      <w:kern w:val="2"/>
      <w:sz w:val="21"/>
      <w:lang w:val="en-US" w:eastAsia="zh-CN" w:bidi="ar-SA"/>
    </w:rPr>
  </w:style>
  <w:style w:type="character" w:customStyle="1" w:styleId="93">
    <w:name w:val="正文文字首行缩进 Char"/>
    <w:autoRedefine/>
    <w:qFormat/>
    <w:uiPriority w:val="0"/>
    <w:rPr>
      <w:kern w:val="2"/>
      <w:sz w:val="21"/>
      <w:szCs w:val="24"/>
    </w:rPr>
  </w:style>
  <w:style w:type="character" w:customStyle="1" w:styleId="94">
    <w:name w:val="正文文本 Char"/>
    <w:link w:val="8"/>
    <w:autoRedefine/>
    <w:qFormat/>
    <w:uiPriority w:val="0"/>
    <w:rPr>
      <w:rFonts w:eastAsia="宋体"/>
      <w:b/>
      <w:bCs/>
      <w:kern w:val="2"/>
      <w:sz w:val="24"/>
      <w:szCs w:val="24"/>
      <w:lang w:val="en-US" w:eastAsia="zh-CN" w:bidi="ar-SA"/>
    </w:rPr>
  </w:style>
  <w:style w:type="character" w:customStyle="1" w:styleId="95">
    <w:name w:val="正文文本缩进 2 Char"/>
    <w:link w:val="26"/>
    <w:autoRedefine/>
    <w:qFormat/>
    <w:uiPriority w:val="0"/>
    <w:rPr>
      <w:rFonts w:ascii="宋体" w:hAnsi="宋体" w:eastAsia="宋体"/>
      <w:kern w:val="2"/>
      <w:sz w:val="21"/>
      <w:szCs w:val="24"/>
      <w:lang w:val="en-US" w:eastAsia="zh-CN" w:bidi="ar-SA"/>
    </w:rPr>
  </w:style>
  <w:style w:type="character" w:customStyle="1" w:styleId="96">
    <w:name w:val="页眉 Char"/>
    <w:link w:val="29"/>
    <w:autoRedefine/>
    <w:qFormat/>
    <w:uiPriority w:val="99"/>
    <w:rPr>
      <w:rFonts w:eastAsia="宋体"/>
      <w:kern w:val="2"/>
      <w:sz w:val="18"/>
      <w:szCs w:val="18"/>
      <w:lang w:val="en-US" w:eastAsia="zh-CN" w:bidi="ar-SA"/>
    </w:rPr>
  </w:style>
  <w:style w:type="character" w:customStyle="1" w:styleId="97">
    <w:name w:val="正文文本缩进 3 Char"/>
    <w:link w:val="34"/>
    <w:autoRedefine/>
    <w:qFormat/>
    <w:uiPriority w:val="0"/>
    <w:rPr>
      <w:rFonts w:ascii="宋体" w:eastAsia="宋体"/>
      <w:b/>
      <w:bCs/>
      <w:kern w:val="2"/>
      <w:sz w:val="24"/>
      <w:szCs w:val="24"/>
      <w:lang w:val="en-US" w:eastAsia="zh-CN" w:bidi="ar-SA"/>
    </w:rPr>
  </w:style>
  <w:style w:type="character" w:customStyle="1" w:styleId="98">
    <w:name w:val="正文文本 2 Char"/>
    <w:link w:val="37"/>
    <w:autoRedefine/>
    <w:qFormat/>
    <w:uiPriority w:val="0"/>
    <w:rPr>
      <w:rFonts w:eastAsia="宋体"/>
      <w:kern w:val="2"/>
      <w:sz w:val="24"/>
      <w:szCs w:val="24"/>
      <w:lang w:val="en-US" w:eastAsia="zh-CN" w:bidi="ar-SA"/>
    </w:rPr>
  </w:style>
  <w:style w:type="character" w:customStyle="1" w:styleId="99">
    <w:name w:val="页脚 Char"/>
    <w:link w:val="28"/>
    <w:autoRedefine/>
    <w:qFormat/>
    <w:uiPriority w:val="0"/>
    <w:rPr>
      <w:rFonts w:eastAsia="宋体"/>
      <w:kern w:val="2"/>
      <w:sz w:val="18"/>
      <w:szCs w:val="18"/>
      <w:lang w:val="en-US" w:eastAsia="zh-CN" w:bidi="ar-SA"/>
    </w:rPr>
  </w:style>
  <w:style w:type="character" w:customStyle="1" w:styleId="100">
    <w:name w:val="正文文本 3 Char"/>
    <w:link w:val="19"/>
    <w:autoRedefine/>
    <w:qFormat/>
    <w:uiPriority w:val="0"/>
    <w:rPr>
      <w:rFonts w:eastAsia="宋体"/>
      <w:kern w:val="2"/>
      <w:sz w:val="16"/>
      <w:szCs w:val="16"/>
      <w:lang w:val="en-US" w:eastAsia="zh-CN" w:bidi="ar-SA"/>
    </w:rPr>
  </w:style>
  <w:style w:type="character" w:customStyle="1" w:styleId="101">
    <w:name w:val="批注框文本 Char"/>
    <w:link w:val="27"/>
    <w:autoRedefine/>
    <w:semiHidden/>
    <w:qFormat/>
    <w:uiPriority w:val="99"/>
    <w:rPr>
      <w:rFonts w:eastAsia="宋体"/>
      <w:kern w:val="2"/>
      <w:sz w:val="18"/>
      <w:szCs w:val="18"/>
      <w:lang w:val="en-US" w:eastAsia="zh-CN" w:bidi="ar-SA"/>
    </w:rPr>
  </w:style>
  <w:style w:type="paragraph" w:customStyle="1" w:styleId="102">
    <w:name w:val="样式1"/>
    <w:basedOn w:val="41"/>
    <w:autoRedefine/>
    <w:qFormat/>
    <w:uiPriority w:val="0"/>
    <w:pPr>
      <w:spacing w:before="120" w:after="120"/>
    </w:pPr>
    <w:rPr>
      <w:rFonts w:eastAsia="黑体"/>
      <w:b w:val="0"/>
      <w:sz w:val="30"/>
      <w:szCs w:val="21"/>
    </w:rPr>
  </w:style>
  <w:style w:type="paragraph" w:customStyle="1" w:styleId="103">
    <w:name w:val="样式2"/>
    <w:basedOn w:val="41"/>
    <w:next w:val="102"/>
    <w:autoRedefine/>
    <w:qFormat/>
    <w:uiPriority w:val="0"/>
    <w:pPr>
      <w:spacing w:before="120" w:after="120"/>
    </w:pPr>
    <w:rPr>
      <w:rFonts w:eastAsia="黑体"/>
      <w:b w:val="0"/>
      <w:sz w:val="30"/>
      <w:szCs w:val="30"/>
    </w:rPr>
  </w:style>
  <w:style w:type="character" w:customStyle="1" w:styleId="104">
    <w:name w:val="标题 3 Char Char"/>
    <w:autoRedefine/>
    <w:qFormat/>
    <w:uiPriority w:val="0"/>
    <w:rPr>
      <w:rFonts w:eastAsia="宋体"/>
      <w:b/>
      <w:bCs/>
      <w:kern w:val="2"/>
      <w:sz w:val="32"/>
      <w:szCs w:val="32"/>
      <w:lang w:val="en-US" w:eastAsia="zh-CN" w:bidi="ar-SA"/>
    </w:rPr>
  </w:style>
  <w:style w:type="paragraph" w:customStyle="1" w:styleId="105">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6">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7">
    <w:name w:val="--规划正文"/>
    <w:basedOn w:val="1"/>
    <w:autoRedefine/>
    <w:qFormat/>
    <w:uiPriority w:val="0"/>
    <w:pPr>
      <w:spacing w:line="360" w:lineRule="auto"/>
      <w:ind w:firstLine="200" w:firstLineChars="200"/>
    </w:pPr>
    <w:rPr>
      <w:szCs w:val="20"/>
    </w:rPr>
  </w:style>
  <w:style w:type="paragraph" w:customStyle="1" w:styleId="108">
    <w:name w:val="设计依据"/>
    <w:basedOn w:val="8"/>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9">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110">
    <w:name w:val="样式4"/>
    <w:basedOn w:val="1"/>
    <w:autoRedefine/>
    <w:qFormat/>
    <w:uiPriority w:val="0"/>
    <w:pPr>
      <w:tabs>
        <w:tab w:val="left" w:pos="842"/>
      </w:tabs>
      <w:spacing w:line="360" w:lineRule="auto"/>
      <w:ind w:left="842" w:hanging="420"/>
    </w:pPr>
    <w:rPr>
      <w:sz w:val="24"/>
    </w:rPr>
  </w:style>
  <w:style w:type="paragraph" w:customStyle="1" w:styleId="111">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12">
    <w:name w:val="--规划-表格-居左"/>
    <w:basedOn w:val="107"/>
    <w:autoRedefine/>
    <w:qFormat/>
    <w:uiPriority w:val="0"/>
    <w:pPr>
      <w:spacing w:line="240" w:lineRule="auto"/>
      <w:ind w:firstLine="0" w:firstLineChars="0"/>
    </w:pPr>
    <w:rPr>
      <w:sz w:val="20"/>
    </w:rPr>
  </w:style>
  <w:style w:type="paragraph" w:customStyle="1" w:styleId="113">
    <w:name w:val="--规划-表格-居中"/>
    <w:basedOn w:val="107"/>
    <w:autoRedefine/>
    <w:qFormat/>
    <w:uiPriority w:val="0"/>
    <w:pPr>
      <w:spacing w:line="240" w:lineRule="auto"/>
      <w:ind w:firstLine="0" w:firstLineChars="0"/>
      <w:jc w:val="center"/>
    </w:pPr>
    <w:rPr>
      <w:sz w:val="20"/>
    </w:rPr>
  </w:style>
  <w:style w:type="paragraph" w:customStyle="1" w:styleId="114">
    <w:name w:val="--编号内缩进"/>
    <w:basedOn w:val="1"/>
    <w:autoRedefine/>
    <w:qFormat/>
    <w:uiPriority w:val="0"/>
    <w:pPr>
      <w:spacing w:line="360" w:lineRule="auto"/>
      <w:ind w:left="420" w:firstLine="200" w:firstLineChars="200"/>
    </w:pPr>
    <w:rPr>
      <w:szCs w:val="21"/>
    </w:rPr>
  </w:style>
  <w:style w:type="paragraph" w:customStyle="1" w:styleId="115">
    <w:name w:val="--规划-题注"/>
    <w:basedOn w:val="1"/>
    <w:next w:val="107"/>
    <w:autoRedefine/>
    <w:qFormat/>
    <w:uiPriority w:val="0"/>
    <w:pPr>
      <w:spacing w:line="360" w:lineRule="auto"/>
      <w:jc w:val="center"/>
    </w:pPr>
    <w:rPr>
      <w:rFonts w:eastAsia="黑体"/>
    </w:rPr>
  </w:style>
  <w:style w:type="paragraph" w:customStyle="1" w:styleId="116">
    <w:name w:val="--规划-图和表"/>
    <w:next w:val="107"/>
    <w:autoRedefine/>
    <w:qFormat/>
    <w:uiPriority w:val="0"/>
    <w:pPr>
      <w:jc w:val="center"/>
    </w:pPr>
    <w:rPr>
      <w:rFonts w:ascii="Times New Roman" w:hAnsi="Times New Roman" w:eastAsia="宋体" w:cs="Times New Roman"/>
      <w:kern w:val="2"/>
      <w:sz w:val="21"/>
      <w:lang w:val="en-US" w:eastAsia="zh-CN" w:bidi="ar-SA"/>
    </w:rPr>
  </w:style>
  <w:style w:type="paragraph" w:customStyle="1" w:styleId="117">
    <w:name w:val="--规划-小标题"/>
    <w:basedOn w:val="1"/>
    <w:next w:val="107"/>
    <w:autoRedefine/>
    <w:qFormat/>
    <w:uiPriority w:val="0"/>
    <w:pPr>
      <w:keepNext/>
      <w:keepLines/>
      <w:spacing w:line="360" w:lineRule="auto"/>
      <w:outlineLvl w:val="4"/>
    </w:pPr>
    <w:rPr>
      <w:rFonts w:eastAsia="黑体"/>
    </w:rPr>
  </w:style>
  <w:style w:type="paragraph" w:customStyle="1" w:styleId="118">
    <w:name w:val="--规划正文 Char"/>
    <w:basedOn w:val="1"/>
    <w:autoRedefine/>
    <w:qFormat/>
    <w:uiPriority w:val="0"/>
    <w:pPr>
      <w:spacing w:line="360" w:lineRule="auto"/>
      <w:ind w:firstLine="200" w:firstLineChars="200"/>
    </w:pPr>
    <w:rPr>
      <w:sz w:val="24"/>
    </w:rPr>
  </w:style>
  <w:style w:type="paragraph" w:customStyle="1" w:styleId="119">
    <w:name w:val="缺省文本"/>
    <w:basedOn w:val="1"/>
    <w:autoRedefine/>
    <w:qFormat/>
    <w:uiPriority w:val="0"/>
    <w:pPr>
      <w:autoSpaceDE w:val="0"/>
      <w:autoSpaceDN w:val="0"/>
      <w:adjustRightInd w:val="0"/>
      <w:jc w:val="left"/>
    </w:pPr>
    <w:rPr>
      <w:kern w:val="0"/>
    </w:rPr>
  </w:style>
  <w:style w:type="paragraph" w:customStyle="1" w:styleId="120">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character" w:customStyle="1" w:styleId="121">
    <w:name w:val="--规划正文 Char Char"/>
    <w:autoRedefine/>
    <w:qFormat/>
    <w:uiPriority w:val="0"/>
    <w:rPr>
      <w:rFonts w:eastAsia="宋体"/>
      <w:kern w:val="2"/>
      <w:sz w:val="24"/>
      <w:szCs w:val="24"/>
      <w:lang w:val="en-US" w:eastAsia="zh-CN" w:bidi="ar-SA"/>
    </w:rPr>
  </w:style>
  <w:style w:type="paragraph" w:customStyle="1" w:styleId="122">
    <w:name w:val="样式3"/>
    <w:basedOn w:val="2"/>
    <w:autoRedefine/>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3">
    <w:name w:val="--规划正文 Char1"/>
    <w:autoRedefine/>
    <w:qFormat/>
    <w:uiPriority w:val="0"/>
    <w:rPr>
      <w:rFonts w:eastAsia="宋体"/>
      <w:kern w:val="2"/>
      <w:sz w:val="21"/>
      <w:lang w:val="en-US" w:eastAsia="zh-CN" w:bidi="ar-SA"/>
    </w:rPr>
  </w:style>
  <w:style w:type="paragraph" w:customStyle="1" w:styleId="124">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5">
    <w:name w:val="列表项目"/>
    <w:basedOn w:val="1"/>
    <w:autoRedefine/>
    <w:qFormat/>
    <w:uiPriority w:val="0"/>
    <w:pPr>
      <w:tabs>
        <w:tab w:val="left" w:pos="420"/>
        <w:tab w:val="left" w:pos="1080"/>
      </w:tabs>
      <w:spacing w:line="288" w:lineRule="auto"/>
      <w:ind w:left="1080" w:hanging="360"/>
    </w:pPr>
    <w:rPr>
      <w:sz w:val="24"/>
      <w:szCs w:val="20"/>
    </w:rPr>
  </w:style>
  <w:style w:type="character" w:customStyle="1" w:styleId="126">
    <w:name w:val="content1"/>
    <w:autoRedefine/>
    <w:qFormat/>
    <w:uiPriority w:val="0"/>
    <w:rPr>
      <w:rFonts w:hint="default" w:ascii="??" w:hAnsi="??"/>
      <w:sz w:val="16"/>
      <w:szCs w:val="16"/>
      <w:u w:val="none"/>
    </w:rPr>
  </w:style>
  <w:style w:type="character" w:customStyle="1" w:styleId="127">
    <w:name w:val="unnamed4"/>
    <w:basedOn w:val="47"/>
    <w:autoRedefine/>
    <w:qFormat/>
    <w:uiPriority w:val="0"/>
  </w:style>
  <w:style w:type="character" w:customStyle="1" w:styleId="128">
    <w:name w:val="font2"/>
    <w:basedOn w:val="47"/>
    <w:autoRedefine/>
    <w:qFormat/>
    <w:uiPriority w:val="0"/>
  </w:style>
  <w:style w:type="character" w:customStyle="1" w:styleId="129">
    <w:name w:val="font41"/>
    <w:autoRedefine/>
    <w:qFormat/>
    <w:uiPriority w:val="0"/>
    <w:rPr>
      <w:color w:val="000000"/>
      <w:spacing w:val="260"/>
      <w:sz w:val="18"/>
      <w:szCs w:val="18"/>
      <w:u w:val="none"/>
    </w:rPr>
  </w:style>
  <w:style w:type="paragraph" w:customStyle="1" w:styleId="130">
    <w:name w:val="正文(首行缩进)"/>
    <w:autoRedefine/>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1">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character" w:customStyle="1" w:styleId="132">
    <w:name w:val="正文首行缩进 Char"/>
    <w:link w:val="43"/>
    <w:autoRedefine/>
    <w:qFormat/>
    <w:uiPriority w:val="0"/>
    <w:rPr>
      <w:rFonts w:eastAsia="宋体"/>
      <w:b/>
      <w:bCs/>
      <w:kern w:val="2"/>
      <w:sz w:val="21"/>
      <w:szCs w:val="24"/>
      <w:lang w:val="en-US" w:eastAsia="zh-CN" w:bidi="ar-SA"/>
    </w:rPr>
  </w:style>
  <w:style w:type="paragraph" w:customStyle="1" w:styleId="133">
    <w:name w:val="正文(首行缩进) Char"/>
    <w:autoRedefine/>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4">
    <w:name w:val="汉议细等线简8"/>
    <w:autoRedefine/>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5">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6">
    <w:name w:val="mode"/>
    <w:basedOn w:val="47"/>
    <w:autoRedefine/>
    <w:qFormat/>
    <w:uiPriority w:val="0"/>
  </w:style>
  <w:style w:type="paragraph" w:customStyle="1" w:styleId="137">
    <w:name w:val="9"/>
    <w:basedOn w:val="1"/>
    <w:next w:val="7"/>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38">
    <w:name w:val="unnamed3"/>
    <w:basedOn w:val="47"/>
    <w:autoRedefine/>
    <w:qFormat/>
    <w:uiPriority w:val="0"/>
  </w:style>
  <w:style w:type="paragraph" w:customStyle="1" w:styleId="139">
    <w:name w:val="8"/>
    <w:basedOn w:val="1"/>
    <w:next w:val="20"/>
    <w:autoRedefine/>
    <w:qFormat/>
    <w:uiPriority w:val="0"/>
    <w:pPr>
      <w:spacing w:after="120"/>
      <w:ind w:left="420" w:leftChars="200"/>
    </w:pPr>
  </w:style>
  <w:style w:type="paragraph" w:customStyle="1" w:styleId="140">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141">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142">
    <w:name w:val="5"/>
    <w:basedOn w:val="1"/>
    <w:autoRedefine/>
    <w:qFormat/>
    <w:uiPriority w:val="0"/>
    <w:pPr>
      <w:autoSpaceDE w:val="0"/>
      <w:autoSpaceDN w:val="0"/>
      <w:adjustRightInd w:val="0"/>
      <w:jc w:val="left"/>
    </w:pPr>
    <w:rPr>
      <w:rFonts w:ascii="宋体"/>
      <w:b/>
      <w:bCs/>
      <w:kern w:val="0"/>
      <w:sz w:val="18"/>
      <w:szCs w:val="18"/>
    </w:rPr>
  </w:style>
  <w:style w:type="paragraph" w:customStyle="1" w:styleId="143">
    <w:name w:val="6"/>
    <w:basedOn w:val="142"/>
    <w:autoRedefine/>
    <w:qFormat/>
    <w:uiPriority w:val="0"/>
    <w:pPr>
      <w:spacing w:line="270" w:lineRule="atLeast"/>
      <w:jc w:val="both"/>
    </w:pPr>
    <w:rPr>
      <w:b w:val="0"/>
      <w:bCs w:val="0"/>
    </w:rPr>
  </w:style>
  <w:style w:type="paragraph" w:customStyle="1" w:styleId="144">
    <w:name w:val="产品描述"/>
    <w:autoRedefine/>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5">
    <w:name w:val="姜文清定义的正文"/>
    <w:basedOn w:val="1"/>
    <w:autoRedefine/>
    <w:qFormat/>
    <w:uiPriority w:val="0"/>
    <w:pPr>
      <w:spacing w:line="240" w:lineRule="atLeast"/>
      <w:ind w:firstLine="567"/>
    </w:pPr>
    <w:rPr>
      <w:szCs w:val="20"/>
    </w:rPr>
  </w:style>
  <w:style w:type="paragraph" w:customStyle="1" w:styleId="146">
    <w:name w:val="Default"/>
    <w:autoRedefine/>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7">
    <w:name w:val="CM2"/>
    <w:basedOn w:val="146"/>
    <w:next w:val="146"/>
    <w:autoRedefine/>
    <w:qFormat/>
    <w:uiPriority w:val="0"/>
    <w:pPr>
      <w:spacing w:line="200" w:lineRule="atLeast"/>
    </w:pPr>
    <w:rPr>
      <w:rFonts w:ascii="Arial" w:hAnsi="Arial" w:eastAsia="宋体" w:cs="Times New Roman"/>
      <w:color w:val="auto"/>
    </w:rPr>
  </w:style>
  <w:style w:type="paragraph" w:customStyle="1" w:styleId="148">
    <w:name w:val="Normal Paragraph"/>
    <w:basedOn w:val="1"/>
    <w:autoRedefine/>
    <w:qFormat/>
    <w:uiPriority w:val="0"/>
    <w:pPr>
      <w:widowControl/>
      <w:spacing w:before="120" w:line="360" w:lineRule="auto"/>
      <w:ind w:firstLine="425"/>
    </w:pPr>
    <w:rPr>
      <w:kern w:val="0"/>
      <w:sz w:val="24"/>
    </w:rPr>
  </w:style>
  <w:style w:type="character" w:customStyle="1" w:styleId="149">
    <w:name w:val="blue"/>
    <w:basedOn w:val="47"/>
    <w:autoRedefine/>
    <w:qFormat/>
    <w:uiPriority w:val="0"/>
  </w:style>
  <w:style w:type="paragraph" w:customStyle="1" w:styleId="150">
    <w:name w:val="blue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51">
    <w:name w:val="font"/>
    <w:basedOn w:val="47"/>
    <w:autoRedefine/>
    <w:qFormat/>
    <w:uiPriority w:val="0"/>
  </w:style>
  <w:style w:type="character" w:customStyle="1" w:styleId="152">
    <w:name w:val="font11"/>
    <w:autoRedefine/>
    <w:qFormat/>
    <w:uiPriority w:val="0"/>
    <w:rPr>
      <w:rFonts w:hint="default" w:ascii="ˎ̥" w:hAnsi="ˎ̥"/>
    </w:rPr>
  </w:style>
  <w:style w:type="paragraph" w:customStyle="1" w:styleId="153">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4">
    <w:name w:val="proddescription"/>
    <w:basedOn w:val="47"/>
    <w:autoRedefine/>
    <w:qFormat/>
    <w:uiPriority w:val="0"/>
  </w:style>
  <w:style w:type="character" w:customStyle="1" w:styleId="155">
    <w:name w:val="prodheadlines"/>
    <w:basedOn w:val="47"/>
    <w:autoRedefine/>
    <w:qFormat/>
    <w:uiPriority w:val="0"/>
  </w:style>
  <w:style w:type="character" w:customStyle="1" w:styleId="156">
    <w:name w:val="text"/>
    <w:basedOn w:val="47"/>
    <w:autoRedefine/>
    <w:qFormat/>
    <w:uiPriority w:val="0"/>
  </w:style>
  <w:style w:type="paragraph" w:customStyle="1" w:styleId="157">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8">
    <w:name w:val="z-窗体顶端1"/>
    <w:basedOn w:val="1"/>
    <w:next w:val="1"/>
    <w:autoRedefine/>
    <w:hidden/>
    <w:qFormat/>
    <w:uiPriority w:val="0"/>
    <w:pPr>
      <w:widowControl/>
      <w:pBdr>
        <w:bottom w:val="single" w:color="auto" w:sz="6" w:space="1"/>
      </w:pBdr>
      <w:jc w:val="center"/>
    </w:pPr>
    <w:rPr>
      <w:rFonts w:ascii="Arial" w:hAnsi="Arial" w:cs="Arial"/>
      <w:vanish/>
      <w:kern w:val="0"/>
      <w:sz w:val="16"/>
      <w:szCs w:val="16"/>
    </w:rPr>
  </w:style>
  <w:style w:type="paragraph" w:customStyle="1" w:styleId="159">
    <w:name w:val="z-窗体底端1"/>
    <w:basedOn w:val="1"/>
    <w:next w:val="1"/>
    <w:autoRedefine/>
    <w:hidden/>
    <w:qFormat/>
    <w:uiPriority w:val="0"/>
    <w:pPr>
      <w:widowControl/>
      <w:pBdr>
        <w:top w:val="single" w:color="auto" w:sz="6" w:space="1"/>
      </w:pBdr>
      <w:jc w:val="center"/>
    </w:pPr>
    <w:rPr>
      <w:rFonts w:ascii="Arial" w:hAnsi="Arial" w:cs="Arial"/>
      <w:vanish/>
      <w:kern w:val="0"/>
      <w:sz w:val="16"/>
      <w:szCs w:val="16"/>
    </w:rPr>
  </w:style>
  <w:style w:type="paragraph" w:customStyle="1" w:styleId="160">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1">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2">
    <w:name w:val="段落正文"/>
    <w:basedOn w:val="23"/>
    <w:autoRedefine/>
    <w:qFormat/>
    <w:uiPriority w:val="0"/>
    <w:pPr>
      <w:ind w:firstLine="560" w:firstLineChars="200"/>
    </w:pPr>
    <w:rPr>
      <w:sz w:val="28"/>
    </w:rPr>
  </w:style>
  <w:style w:type="character" w:customStyle="1" w:styleId="163">
    <w:name w:val="gray6"/>
    <w:basedOn w:val="47"/>
    <w:autoRedefine/>
    <w:qFormat/>
    <w:uiPriority w:val="0"/>
  </w:style>
  <w:style w:type="character" w:customStyle="1" w:styleId="164">
    <w:name w:val="style9"/>
    <w:basedOn w:val="47"/>
    <w:autoRedefine/>
    <w:qFormat/>
    <w:uiPriority w:val="0"/>
  </w:style>
  <w:style w:type="paragraph" w:customStyle="1" w:styleId="165">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character" w:customStyle="1" w:styleId="166">
    <w:name w:val="grame"/>
    <w:basedOn w:val="47"/>
    <w:autoRedefine/>
    <w:qFormat/>
    <w:uiPriority w:val="0"/>
  </w:style>
  <w:style w:type="paragraph" w:customStyle="1" w:styleId="167">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8">
    <w:name w:val="Char1"/>
    <w:basedOn w:val="1"/>
    <w:autoRedefine/>
    <w:qFormat/>
    <w:uiPriority w:val="0"/>
    <w:pPr>
      <w:jc w:val="left"/>
    </w:pPr>
    <w:rPr>
      <w:rFonts w:ascii="Tahoma" w:hAnsi="Tahoma"/>
      <w:sz w:val="24"/>
      <w:szCs w:val="20"/>
    </w:rPr>
  </w:style>
  <w:style w:type="paragraph" w:customStyle="1" w:styleId="169">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0">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171">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72">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3">
    <w:name w:val="font6"/>
    <w:basedOn w:val="1"/>
    <w:autoRedefine/>
    <w:qFormat/>
    <w:uiPriority w:val="0"/>
    <w:pPr>
      <w:widowControl/>
      <w:spacing w:before="100" w:beforeAutospacing="1" w:after="100" w:afterAutospacing="1"/>
      <w:jc w:val="left"/>
    </w:pPr>
    <w:rPr>
      <w:kern w:val="0"/>
      <w:sz w:val="24"/>
    </w:rPr>
  </w:style>
  <w:style w:type="paragraph" w:customStyle="1" w:styleId="17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5">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6">
    <w:name w:val="表格字"/>
    <w:basedOn w:val="1"/>
    <w:autoRedefine/>
    <w:qFormat/>
    <w:uiPriority w:val="0"/>
    <w:pPr>
      <w:adjustRightInd w:val="0"/>
      <w:jc w:val="center"/>
    </w:pPr>
    <w:rPr>
      <w:rFonts w:ascii="宋体"/>
      <w:sz w:val="24"/>
      <w:szCs w:val="20"/>
    </w:rPr>
  </w:style>
  <w:style w:type="character" w:customStyle="1" w:styleId="177">
    <w:name w:val="样式 小三 加粗"/>
    <w:autoRedefine/>
    <w:qFormat/>
    <w:uiPriority w:val="0"/>
    <w:rPr>
      <w:rFonts w:eastAsia="宋体"/>
      <w:b/>
      <w:bCs/>
      <w:sz w:val="32"/>
    </w:rPr>
  </w:style>
  <w:style w:type="paragraph" w:customStyle="1" w:styleId="17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9">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0">
    <w:name w:val="Char Char Char"/>
    <w:basedOn w:val="1"/>
    <w:autoRedefine/>
    <w:qFormat/>
    <w:uiPriority w:val="0"/>
    <w:rPr>
      <w:rFonts w:ascii="Tahoma" w:hAnsi="Tahoma"/>
      <w:sz w:val="24"/>
      <w:szCs w:val="20"/>
    </w:rPr>
  </w:style>
  <w:style w:type="paragraph" w:customStyle="1" w:styleId="181">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2">
    <w:name w:val="info4"/>
    <w:basedOn w:val="47"/>
    <w:autoRedefine/>
    <w:qFormat/>
    <w:uiPriority w:val="0"/>
  </w:style>
  <w:style w:type="paragraph" w:customStyle="1" w:styleId="183">
    <w:name w:val="缩进正文"/>
    <w:basedOn w:val="1"/>
    <w:link w:val="184"/>
    <w:autoRedefine/>
    <w:qFormat/>
    <w:uiPriority w:val="0"/>
    <w:pPr>
      <w:ind w:firstLine="560" w:firstLineChars="200"/>
    </w:pPr>
    <w:rPr>
      <w:rFonts w:eastAsia="仿宋_GB2312" w:cs="宋体"/>
      <w:sz w:val="28"/>
      <w:szCs w:val="20"/>
    </w:rPr>
  </w:style>
  <w:style w:type="character" w:customStyle="1" w:styleId="184">
    <w:name w:val="缩进正文 Char"/>
    <w:link w:val="183"/>
    <w:autoRedefine/>
    <w:qFormat/>
    <w:uiPriority w:val="0"/>
    <w:rPr>
      <w:rFonts w:eastAsia="仿宋_GB2312" w:cs="宋体"/>
      <w:kern w:val="2"/>
      <w:sz w:val="28"/>
      <w:lang w:val="en-US" w:eastAsia="zh-CN" w:bidi="ar-SA"/>
    </w:rPr>
  </w:style>
  <w:style w:type="paragraph" w:customStyle="1" w:styleId="185">
    <w:name w:val="列出段落1"/>
    <w:basedOn w:val="1"/>
    <w:autoRedefine/>
    <w:qFormat/>
    <w:uiPriority w:val="0"/>
    <w:pPr>
      <w:ind w:firstLine="420" w:firstLineChars="200"/>
    </w:pPr>
    <w:rPr>
      <w:rFonts w:ascii="Calibri" w:hAnsi="Calibri" w:cs="Calibri"/>
      <w:szCs w:val="21"/>
    </w:rPr>
  </w:style>
  <w:style w:type="character" w:customStyle="1" w:styleId="186">
    <w:name w:val="批注文字 Char"/>
    <w:basedOn w:val="47"/>
    <w:link w:val="18"/>
    <w:autoRedefine/>
    <w:semiHidden/>
    <w:qFormat/>
    <w:uiPriority w:val="99"/>
    <w:rPr>
      <w:rFonts w:ascii="宋体"/>
      <w:sz w:val="34"/>
    </w:rPr>
  </w:style>
  <w:style w:type="character" w:customStyle="1" w:styleId="187">
    <w:name w:val="批注主题 Char"/>
    <w:basedOn w:val="186"/>
    <w:link w:val="42"/>
    <w:autoRedefine/>
    <w:qFormat/>
    <w:uiPriority w:val="99"/>
    <w:rPr>
      <w:rFonts w:ascii="宋体"/>
      <w:sz w:val="34"/>
    </w:rPr>
  </w:style>
  <w:style w:type="paragraph" w:customStyle="1" w:styleId="188">
    <w:name w:val="评价"/>
    <w:basedOn w:val="1"/>
    <w:autoRedefine/>
    <w:qFormat/>
    <w:uiPriority w:val="0"/>
    <w:pPr>
      <w:spacing w:afterLines="20"/>
      <w:ind w:firstLine="1446" w:firstLineChars="200"/>
    </w:pPr>
    <w:rPr>
      <w:rFonts w:ascii="Calibri" w:hAnsi="Calibri"/>
      <w:sz w:val="24"/>
    </w:rPr>
  </w:style>
  <w:style w:type="paragraph" w:customStyle="1" w:styleId="189">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90">
    <w:name w:val="alt-edited1"/>
    <w:autoRedefine/>
    <w:qFormat/>
    <w:uiPriority w:val="0"/>
    <w:rPr>
      <w:color w:val="4D90F0"/>
    </w:rPr>
  </w:style>
  <w:style w:type="paragraph" w:customStyle="1" w:styleId="191">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2">
    <w:name w:val="文档结构图 Char1"/>
    <w:autoRedefine/>
    <w:semiHidden/>
    <w:qFormat/>
    <w:uiPriority w:val="0"/>
    <w:rPr>
      <w:sz w:val="20"/>
    </w:rPr>
  </w:style>
  <w:style w:type="character" w:customStyle="1" w:styleId="193">
    <w:name w:val="文档结构图 Char"/>
    <w:autoRedefine/>
    <w:semiHidden/>
    <w:qFormat/>
    <w:uiPriority w:val="0"/>
    <w:rPr>
      <w:sz w:val="20"/>
    </w:rPr>
  </w:style>
  <w:style w:type="character" w:customStyle="1" w:styleId="194">
    <w:name w:val="short_text"/>
    <w:basedOn w:val="47"/>
    <w:autoRedefine/>
    <w:qFormat/>
    <w:uiPriority w:val="0"/>
    <w:rPr>
      <w:sz w:val="20"/>
    </w:rPr>
  </w:style>
  <w:style w:type="character" w:customStyle="1" w:styleId="195">
    <w:name w:val="标题 Char1"/>
    <w:qFormat/>
    <w:uiPriority w:val="0"/>
    <w:rPr>
      <w:b/>
      <w:sz w:val="20"/>
    </w:rPr>
  </w:style>
  <w:style w:type="character" w:customStyle="1" w:styleId="196">
    <w:name w:val="正文文本缩进 3 Char1"/>
    <w:autoRedefine/>
    <w:semiHidden/>
    <w:qFormat/>
    <w:uiPriority w:val="0"/>
    <w:rPr>
      <w:sz w:val="20"/>
    </w:rPr>
  </w:style>
  <w:style w:type="character" w:customStyle="1" w:styleId="197">
    <w:name w:val="font21"/>
    <w:autoRedefine/>
    <w:qFormat/>
    <w:uiPriority w:val="0"/>
    <w:rPr>
      <w:color w:val="FF0000"/>
      <w:sz w:val="20"/>
      <w:u w:val="none"/>
    </w:rPr>
  </w:style>
  <w:style w:type="character" w:customStyle="1" w:styleId="198">
    <w:name w:val="不明显强调1"/>
    <w:autoRedefine/>
    <w:qFormat/>
    <w:uiPriority w:val="0"/>
    <w:rPr>
      <w:i/>
      <w:sz w:val="20"/>
    </w:rPr>
  </w:style>
  <w:style w:type="character" w:customStyle="1" w:styleId="199">
    <w:name w:val="font71"/>
    <w:autoRedefine/>
    <w:qFormat/>
    <w:uiPriority w:val="0"/>
    <w:rPr>
      <w:sz w:val="20"/>
      <w:u w:val="none"/>
    </w:rPr>
  </w:style>
  <w:style w:type="character" w:customStyle="1" w:styleId="200">
    <w:name w:val="页眉 Char1"/>
    <w:autoRedefine/>
    <w:semiHidden/>
    <w:qFormat/>
    <w:uiPriority w:val="0"/>
    <w:rPr>
      <w:sz w:val="20"/>
    </w:rPr>
  </w:style>
  <w:style w:type="character" w:customStyle="1" w:styleId="201">
    <w:name w:val="正文文本缩进 2 Char1"/>
    <w:semiHidden/>
    <w:qFormat/>
    <w:uiPriority w:val="0"/>
    <w:rPr>
      <w:sz w:val="20"/>
    </w:rPr>
  </w:style>
  <w:style w:type="character" w:customStyle="1" w:styleId="202">
    <w:name w:val="font61"/>
    <w:qFormat/>
    <w:uiPriority w:val="0"/>
    <w:rPr>
      <w:sz w:val="20"/>
      <w:u w:val="none"/>
    </w:rPr>
  </w:style>
  <w:style w:type="character" w:customStyle="1" w:styleId="203">
    <w:name w:val="纯文本 Char1"/>
    <w:semiHidden/>
    <w:qFormat/>
    <w:uiPriority w:val="0"/>
    <w:rPr>
      <w:sz w:val="20"/>
    </w:rPr>
  </w:style>
  <w:style w:type="character" w:customStyle="1" w:styleId="204">
    <w:name w:val="正文文本 3 Char1"/>
    <w:autoRedefine/>
    <w:semiHidden/>
    <w:qFormat/>
    <w:uiPriority w:val="0"/>
    <w:rPr>
      <w:sz w:val="20"/>
    </w:rPr>
  </w:style>
  <w:style w:type="character" w:customStyle="1" w:styleId="205">
    <w:name w:val="正文文本缩进 Char1"/>
    <w:semiHidden/>
    <w:qFormat/>
    <w:uiPriority w:val="0"/>
    <w:rPr>
      <w:sz w:val="20"/>
    </w:rPr>
  </w:style>
  <w:style w:type="character" w:customStyle="1" w:styleId="206">
    <w:name w:val="明显参考1"/>
    <w:qFormat/>
    <w:uiPriority w:val="0"/>
    <w:rPr>
      <w:b/>
      <w:sz w:val="20"/>
    </w:rPr>
  </w:style>
  <w:style w:type="character" w:customStyle="1" w:styleId="207">
    <w:name w:val="apple-converted-space"/>
    <w:qFormat/>
    <w:uiPriority w:val="0"/>
    <w:rPr>
      <w:sz w:val="20"/>
    </w:rPr>
  </w:style>
  <w:style w:type="character" w:customStyle="1" w:styleId="208">
    <w:name w:val="书籍标题1"/>
    <w:autoRedefine/>
    <w:qFormat/>
    <w:uiPriority w:val="0"/>
    <w:rPr>
      <w:b/>
      <w:i/>
      <w:sz w:val="20"/>
    </w:rPr>
  </w:style>
  <w:style w:type="character" w:customStyle="1" w:styleId="209">
    <w:name w:val="long_text"/>
    <w:autoRedefine/>
    <w:qFormat/>
    <w:uiPriority w:val="0"/>
    <w:rPr>
      <w:sz w:val="20"/>
    </w:rPr>
  </w:style>
  <w:style w:type="character" w:customStyle="1" w:styleId="210">
    <w:name w:val="日期 Char1"/>
    <w:autoRedefine/>
    <w:semiHidden/>
    <w:qFormat/>
    <w:uiPriority w:val="0"/>
    <w:rPr>
      <w:sz w:val="20"/>
    </w:rPr>
  </w:style>
  <w:style w:type="character" w:customStyle="1" w:styleId="211">
    <w:name w:val="批注文字 Char1"/>
    <w:autoRedefine/>
    <w:semiHidden/>
    <w:qFormat/>
    <w:uiPriority w:val="0"/>
    <w:rPr>
      <w:sz w:val="20"/>
    </w:rPr>
  </w:style>
  <w:style w:type="character" w:customStyle="1" w:styleId="212">
    <w:name w:val="明显强调1"/>
    <w:qFormat/>
    <w:uiPriority w:val="0"/>
    <w:rPr>
      <w:i/>
      <w:sz w:val="20"/>
    </w:rPr>
  </w:style>
  <w:style w:type="character" w:customStyle="1" w:styleId="213">
    <w:name w:val="16"/>
    <w:qFormat/>
    <w:uiPriority w:val="0"/>
    <w:rPr>
      <w:b/>
      <w:color w:val="FF0356"/>
      <w:sz w:val="20"/>
    </w:rPr>
  </w:style>
  <w:style w:type="character" w:customStyle="1" w:styleId="214">
    <w:name w:val="批注主题 Char1"/>
    <w:semiHidden/>
    <w:qFormat/>
    <w:uiPriority w:val="0"/>
    <w:rPr>
      <w:b/>
      <w:sz w:val="20"/>
    </w:rPr>
  </w:style>
  <w:style w:type="character" w:customStyle="1" w:styleId="215">
    <w:name w:val="正文文本 2 Char1"/>
    <w:autoRedefine/>
    <w:semiHidden/>
    <w:qFormat/>
    <w:uiPriority w:val="0"/>
    <w:rPr>
      <w:sz w:val="20"/>
    </w:rPr>
  </w:style>
  <w:style w:type="character" w:customStyle="1" w:styleId="216">
    <w:name w:val="font31"/>
    <w:autoRedefine/>
    <w:qFormat/>
    <w:uiPriority w:val="0"/>
    <w:rPr>
      <w:color w:val="FF0000"/>
      <w:sz w:val="20"/>
      <w:u w:val="none"/>
      <w:vertAlign w:val="superscript"/>
    </w:rPr>
  </w:style>
  <w:style w:type="character" w:customStyle="1" w:styleId="217">
    <w:name w:val="不明显参考1"/>
    <w:qFormat/>
    <w:uiPriority w:val="0"/>
    <w:rPr>
      <w:sz w:val="20"/>
    </w:rPr>
  </w:style>
  <w:style w:type="character" w:customStyle="1" w:styleId="218">
    <w:name w:val="HTML 预设格式 Char1"/>
    <w:autoRedefine/>
    <w:semiHidden/>
    <w:qFormat/>
    <w:uiPriority w:val="0"/>
    <w:rPr>
      <w:sz w:val="20"/>
    </w:rPr>
  </w:style>
  <w:style w:type="character" w:customStyle="1" w:styleId="219">
    <w:name w:val="font01"/>
    <w:basedOn w:val="47"/>
    <w:autoRedefine/>
    <w:qFormat/>
    <w:uiPriority w:val="0"/>
    <w:rPr>
      <w:color w:val="FF0000"/>
      <w:sz w:val="20"/>
      <w:u w:val="none"/>
      <w:vertAlign w:val="superscript"/>
    </w:rPr>
  </w:style>
  <w:style w:type="character" w:customStyle="1" w:styleId="220">
    <w:name w:val="页脚 Char1"/>
    <w:autoRedefine/>
    <w:semiHidden/>
    <w:qFormat/>
    <w:uiPriority w:val="0"/>
    <w:rPr>
      <w:sz w:val="20"/>
    </w:rPr>
  </w:style>
  <w:style w:type="character" w:customStyle="1" w:styleId="221">
    <w:name w:val="批注框文本 Char1"/>
    <w:autoRedefine/>
    <w:semiHidden/>
    <w:qFormat/>
    <w:uiPriority w:val="0"/>
    <w:rPr>
      <w:sz w:val="20"/>
    </w:rPr>
  </w:style>
  <w:style w:type="paragraph" w:customStyle="1" w:styleId="222">
    <w:name w:val="列出段落2"/>
    <w:basedOn w:val="1"/>
    <w:next w:val="223"/>
    <w:qFormat/>
    <w:uiPriority w:val="0"/>
    <w:pPr>
      <w:ind w:firstLine="420"/>
    </w:pPr>
    <w:rPr>
      <w:rFonts w:hAnsi="Calibri"/>
      <w:kern w:val="0"/>
      <w:szCs w:val="20"/>
    </w:rPr>
  </w:style>
  <w:style w:type="paragraph" w:customStyle="1" w:styleId="223">
    <w:name w:val="toc 814"/>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24">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5">
    <w:name w:val="toc 414"/>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26">
    <w:name w:val="toc 41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27">
    <w:name w:val="xl86"/>
    <w:basedOn w:val="1"/>
    <w:next w:val="228"/>
    <w:qFormat/>
    <w:uiPriority w:val="0"/>
    <w:pPr>
      <w:widowControl/>
      <w:shd w:val="clear" w:color="000000" w:fill="FFFFFF"/>
      <w:spacing w:before="280" w:after="280"/>
      <w:jc w:val="center"/>
    </w:pPr>
    <w:rPr>
      <w:rFonts w:ascii="宋体" w:hAnsi="Calibri"/>
      <w:kern w:val="0"/>
      <w:sz w:val="20"/>
      <w:szCs w:val="20"/>
    </w:rPr>
  </w:style>
  <w:style w:type="paragraph" w:customStyle="1" w:styleId="228">
    <w:name w:val="toc 515"/>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29">
    <w:name w:val="TOC Heading4"/>
    <w:next w:val="1"/>
    <w:autoRedefine/>
    <w:qFormat/>
    <w:uiPriority w:val="0"/>
    <w:pPr>
      <w:wordWrap w:val="0"/>
    </w:pPr>
    <w:rPr>
      <w:rFonts w:ascii="Calibri" w:hAnsi="Calibri" w:eastAsia="宋体" w:cs="Times New Roman"/>
      <w:sz w:val="32"/>
      <w:lang w:val="en-US" w:eastAsia="zh-CN" w:bidi="ar-SA"/>
    </w:rPr>
  </w:style>
  <w:style w:type="paragraph" w:customStyle="1" w:styleId="230">
    <w:name w:val="toc 15"/>
    <w:next w:val="1"/>
    <w:autoRedefine/>
    <w:qFormat/>
    <w:uiPriority w:val="0"/>
    <w:pPr>
      <w:wordWrap w:val="0"/>
      <w:jc w:val="both"/>
    </w:pPr>
    <w:rPr>
      <w:rFonts w:ascii="Calibri" w:hAnsi="Calibri" w:eastAsia="宋体" w:cs="Times New Roman"/>
      <w:sz w:val="21"/>
      <w:lang w:val="en-US" w:eastAsia="zh-CN" w:bidi="ar-SA"/>
    </w:rPr>
  </w:style>
  <w:style w:type="paragraph" w:customStyle="1" w:styleId="231">
    <w:name w:val="TOC Heading2"/>
    <w:next w:val="1"/>
    <w:qFormat/>
    <w:uiPriority w:val="0"/>
    <w:pPr>
      <w:wordWrap w:val="0"/>
    </w:pPr>
    <w:rPr>
      <w:rFonts w:ascii="Calibri" w:hAnsi="Calibri" w:eastAsia="宋体" w:cs="Times New Roman"/>
      <w:sz w:val="32"/>
      <w:lang w:val="en-US" w:eastAsia="zh-CN" w:bidi="ar-SA"/>
    </w:rPr>
  </w:style>
  <w:style w:type="paragraph" w:customStyle="1" w:styleId="232">
    <w:name w:val="TOC Heading1"/>
    <w:next w:val="1"/>
    <w:qFormat/>
    <w:uiPriority w:val="0"/>
    <w:pPr>
      <w:wordWrap w:val="0"/>
    </w:pPr>
    <w:rPr>
      <w:rFonts w:ascii="Calibri" w:hAnsi="Calibri" w:eastAsia="宋体" w:cs="Times New Roman"/>
      <w:sz w:val="32"/>
      <w:lang w:val="en-US" w:eastAsia="zh-CN" w:bidi="ar-SA"/>
    </w:rPr>
  </w:style>
  <w:style w:type="paragraph" w:customStyle="1" w:styleId="233">
    <w:name w:val="toc 73"/>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34">
    <w:name w:val="font7"/>
    <w:basedOn w:val="1"/>
    <w:next w:val="235"/>
    <w:autoRedefine/>
    <w:qFormat/>
    <w:uiPriority w:val="0"/>
    <w:pPr>
      <w:widowControl/>
      <w:spacing w:before="280" w:after="280"/>
    </w:pPr>
    <w:rPr>
      <w:rFonts w:ascii="Arial" w:hAnsi="Calibri"/>
      <w:kern w:val="0"/>
      <w:sz w:val="18"/>
      <w:szCs w:val="20"/>
    </w:rPr>
  </w:style>
  <w:style w:type="paragraph" w:customStyle="1" w:styleId="235">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6">
    <w:name w:val="xl113"/>
    <w:basedOn w:val="1"/>
    <w:next w:val="237"/>
    <w:qFormat/>
    <w:uiPriority w:val="0"/>
    <w:pPr>
      <w:widowControl/>
      <w:shd w:val="clear" w:color="000000" w:fill="FFFFFF"/>
      <w:spacing w:before="280" w:after="280"/>
      <w:jc w:val="center"/>
    </w:pPr>
    <w:rPr>
      <w:rFonts w:ascii="宋体" w:hAnsi="Calibri"/>
      <w:b/>
      <w:kern w:val="0"/>
      <w:sz w:val="20"/>
      <w:szCs w:val="20"/>
    </w:rPr>
  </w:style>
  <w:style w:type="paragraph" w:customStyle="1" w:styleId="237">
    <w:name w:val="TOC Heading10"/>
    <w:next w:val="1"/>
    <w:autoRedefine/>
    <w:qFormat/>
    <w:uiPriority w:val="0"/>
    <w:pPr>
      <w:wordWrap w:val="0"/>
    </w:pPr>
    <w:rPr>
      <w:rFonts w:ascii="Calibri" w:hAnsi="Calibri" w:eastAsia="宋体" w:cs="Times New Roman"/>
      <w:sz w:val="32"/>
      <w:lang w:val="en-US" w:eastAsia="zh-CN" w:bidi="ar-SA"/>
    </w:rPr>
  </w:style>
  <w:style w:type="paragraph" w:customStyle="1" w:styleId="238">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9">
    <w:name w:val="xl73"/>
    <w:basedOn w:val="1"/>
    <w:next w:val="240"/>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40">
    <w:name w:val="toc 613"/>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41">
    <w:name w:val="xl79"/>
    <w:basedOn w:val="1"/>
    <w:next w:val="242"/>
    <w:qFormat/>
    <w:uiPriority w:val="0"/>
    <w:pPr>
      <w:widowControl/>
      <w:shd w:val="clear" w:color="000000" w:fill="FFFFFF"/>
      <w:spacing w:before="280" w:after="280"/>
    </w:pPr>
    <w:rPr>
      <w:rFonts w:ascii="宋体" w:hAnsi="Calibri"/>
      <w:b/>
      <w:kern w:val="0"/>
      <w:sz w:val="20"/>
      <w:szCs w:val="20"/>
    </w:rPr>
  </w:style>
  <w:style w:type="paragraph" w:customStyle="1" w:styleId="242">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3">
    <w:name w:val="toc 11"/>
    <w:next w:val="1"/>
    <w:autoRedefine/>
    <w:qFormat/>
    <w:uiPriority w:val="0"/>
    <w:pPr>
      <w:wordWrap w:val="0"/>
      <w:jc w:val="both"/>
    </w:pPr>
    <w:rPr>
      <w:rFonts w:ascii="Calibri" w:hAnsi="Calibri" w:eastAsia="宋体" w:cs="Times New Roman"/>
      <w:sz w:val="21"/>
      <w:lang w:val="en-US" w:eastAsia="zh-CN" w:bidi="ar-SA"/>
    </w:rPr>
  </w:style>
  <w:style w:type="paragraph" w:customStyle="1" w:styleId="244">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5">
    <w:name w:val="toc 61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46">
    <w:name w:val="xl112"/>
    <w:basedOn w:val="1"/>
    <w:next w:val="245"/>
    <w:qFormat/>
    <w:uiPriority w:val="0"/>
    <w:pPr>
      <w:widowControl/>
      <w:shd w:val="clear" w:color="000000" w:fill="FFFFFF"/>
      <w:spacing w:before="280" w:after="280"/>
      <w:jc w:val="center"/>
    </w:pPr>
    <w:rPr>
      <w:rFonts w:ascii="宋体" w:hAnsi="Calibri"/>
      <w:b/>
      <w:kern w:val="0"/>
      <w:sz w:val="20"/>
      <w:szCs w:val="20"/>
    </w:rPr>
  </w:style>
  <w:style w:type="paragraph" w:customStyle="1" w:styleId="247">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8">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toc 412"/>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50">
    <w:name w:val="xl74"/>
    <w:basedOn w:val="1"/>
    <w:next w:val="251"/>
    <w:qFormat/>
    <w:uiPriority w:val="0"/>
    <w:pPr>
      <w:widowControl/>
      <w:shd w:val="clear" w:color="000000" w:fill="FFFFFF"/>
      <w:spacing w:before="280" w:after="280"/>
    </w:pPr>
    <w:rPr>
      <w:rFonts w:ascii="宋体" w:hAnsi="Calibri"/>
      <w:kern w:val="0"/>
      <w:sz w:val="20"/>
      <w:szCs w:val="20"/>
    </w:rPr>
  </w:style>
  <w:style w:type="paragraph" w:customStyle="1" w:styleId="251">
    <w:name w:val="toc 57"/>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52">
    <w:name w:val="toc 912"/>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9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4">
    <w:name w:val="toc 38"/>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55">
    <w:name w:val="toc 95"/>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6">
    <w:name w:val="列出段落5"/>
    <w:basedOn w:val="1"/>
    <w:next w:val="257"/>
    <w:autoRedefine/>
    <w:qFormat/>
    <w:uiPriority w:val="0"/>
    <w:pPr>
      <w:ind w:firstLine="420"/>
    </w:pPr>
    <w:rPr>
      <w:rFonts w:hAnsi="Calibri"/>
      <w:kern w:val="0"/>
      <w:szCs w:val="20"/>
    </w:rPr>
  </w:style>
  <w:style w:type="paragraph" w:customStyle="1" w:styleId="257">
    <w:name w:val="toc 312"/>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58">
    <w:name w:val="xl66"/>
    <w:basedOn w:val="1"/>
    <w:next w:val="259"/>
    <w:autoRedefine/>
    <w:qFormat/>
    <w:uiPriority w:val="0"/>
    <w:pPr>
      <w:widowControl/>
      <w:shd w:val="clear" w:color="000000" w:fill="FFFFFF"/>
      <w:spacing w:before="280" w:after="280"/>
    </w:pPr>
    <w:rPr>
      <w:rFonts w:ascii="宋体" w:hAnsi="Calibri"/>
      <w:kern w:val="0"/>
      <w:sz w:val="20"/>
      <w:szCs w:val="20"/>
    </w:rPr>
  </w:style>
  <w:style w:type="paragraph" w:customStyle="1" w:styleId="259">
    <w:name w:val="toc 56"/>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0">
    <w:name w:val="TOC Heading3"/>
    <w:next w:val="1"/>
    <w:autoRedefine/>
    <w:qFormat/>
    <w:uiPriority w:val="0"/>
    <w:pPr>
      <w:wordWrap w:val="0"/>
    </w:pPr>
    <w:rPr>
      <w:rFonts w:ascii="Calibri" w:hAnsi="Calibri" w:eastAsia="宋体" w:cs="Times New Roman"/>
      <w:sz w:val="32"/>
      <w:lang w:val="en-US" w:eastAsia="zh-CN" w:bidi="ar-SA"/>
    </w:rPr>
  </w:style>
  <w:style w:type="paragraph" w:customStyle="1" w:styleId="261">
    <w:name w:val="toc 65"/>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62">
    <w:name w:val="toc 25"/>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63">
    <w:name w:val="xl84"/>
    <w:basedOn w:val="1"/>
    <w:next w:val="264"/>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64">
    <w:name w:val="toc 99"/>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65">
    <w:name w:val="xl81"/>
    <w:basedOn w:val="1"/>
    <w:next w:val="266"/>
    <w:autoRedefine/>
    <w:qFormat/>
    <w:uiPriority w:val="0"/>
    <w:pPr>
      <w:widowControl/>
      <w:shd w:val="clear" w:color="000000" w:fill="FFFFFF"/>
      <w:spacing w:before="280" w:after="280"/>
    </w:pPr>
    <w:rPr>
      <w:rFonts w:ascii="宋体" w:hAnsi="Calibri"/>
      <w:kern w:val="0"/>
      <w:sz w:val="20"/>
      <w:szCs w:val="20"/>
    </w:rPr>
  </w:style>
  <w:style w:type="paragraph" w:customStyle="1" w:styleId="266">
    <w:name w:val="toc 59"/>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7">
    <w:name w:val="目录 11"/>
    <w:next w:val="1"/>
    <w:autoRedefine/>
    <w:qFormat/>
    <w:uiPriority w:val="0"/>
    <w:pPr>
      <w:wordWrap w:val="0"/>
      <w:jc w:val="both"/>
    </w:pPr>
    <w:rPr>
      <w:rFonts w:ascii="Calibri" w:hAnsi="Calibri" w:eastAsia="宋体" w:cs="Times New Roman"/>
      <w:sz w:val="21"/>
      <w:lang w:val="en-US" w:eastAsia="zh-CN" w:bidi="ar-SA"/>
    </w:rPr>
  </w:style>
  <w:style w:type="paragraph" w:customStyle="1" w:styleId="268">
    <w:name w:val="toc 513"/>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9">
    <w:name w:val="TOC Heading12"/>
    <w:next w:val="1"/>
    <w:autoRedefine/>
    <w:qFormat/>
    <w:uiPriority w:val="0"/>
    <w:pPr>
      <w:wordWrap w:val="0"/>
    </w:pPr>
    <w:rPr>
      <w:rFonts w:ascii="Calibri" w:hAnsi="Calibri" w:eastAsia="宋体" w:cs="Times New Roman"/>
      <w:sz w:val="32"/>
      <w:lang w:val="en-US" w:eastAsia="zh-CN" w:bidi="ar-SA"/>
    </w:rPr>
  </w:style>
  <w:style w:type="paragraph" w:customStyle="1" w:styleId="270">
    <w:name w:val="TOC Heading8"/>
    <w:next w:val="1"/>
    <w:autoRedefine/>
    <w:qFormat/>
    <w:uiPriority w:val="0"/>
    <w:pPr>
      <w:wordWrap w:val="0"/>
    </w:pPr>
    <w:rPr>
      <w:rFonts w:ascii="Calibri" w:hAnsi="Calibri" w:eastAsia="宋体" w:cs="Times New Roman"/>
      <w:sz w:val="32"/>
      <w:lang w:val="en-US" w:eastAsia="zh-CN" w:bidi="ar-SA"/>
    </w:rPr>
  </w:style>
  <w:style w:type="paragraph" w:customStyle="1" w:styleId="271">
    <w:name w:val="toc 71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72">
    <w:name w:val="toc 212"/>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73">
    <w:name w:val="目录 2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74">
    <w:name w:val="toc 45"/>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75">
    <w:name w:val="xl116"/>
    <w:basedOn w:val="1"/>
    <w:next w:val="276"/>
    <w:autoRedefine/>
    <w:qFormat/>
    <w:uiPriority w:val="0"/>
    <w:pPr>
      <w:widowControl/>
      <w:shd w:val="clear" w:color="000000" w:fill="FFFFFF"/>
      <w:spacing w:before="280" w:after="280"/>
      <w:jc w:val="center"/>
    </w:pPr>
    <w:rPr>
      <w:rFonts w:ascii="Arial Narrow" w:hAnsi="Calibri"/>
      <w:kern w:val="0"/>
      <w:sz w:val="20"/>
      <w:szCs w:val="20"/>
    </w:rPr>
  </w:style>
  <w:style w:type="paragraph" w:customStyle="1" w:styleId="276">
    <w:name w:val="toc 78"/>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77">
    <w:name w:val="font8"/>
    <w:basedOn w:val="1"/>
    <w:next w:val="278"/>
    <w:autoRedefine/>
    <w:qFormat/>
    <w:uiPriority w:val="0"/>
    <w:pPr>
      <w:widowControl/>
      <w:spacing w:before="280" w:after="280"/>
    </w:pPr>
    <w:rPr>
      <w:rFonts w:ascii="Arial" w:hAnsi="Calibri"/>
      <w:kern w:val="0"/>
      <w:sz w:val="20"/>
      <w:szCs w:val="20"/>
    </w:rPr>
  </w:style>
  <w:style w:type="paragraph" w:customStyle="1" w:styleId="278">
    <w:name w:val="TOC Heading11"/>
    <w:next w:val="1"/>
    <w:autoRedefine/>
    <w:qFormat/>
    <w:uiPriority w:val="0"/>
    <w:pPr>
      <w:wordWrap w:val="0"/>
    </w:pPr>
    <w:rPr>
      <w:rFonts w:ascii="Calibri" w:hAnsi="Calibri" w:eastAsia="宋体" w:cs="Times New Roman"/>
      <w:sz w:val="32"/>
      <w:lang w:val="en-US" w:eastAsia="zh-CN" w:bidi="ar-SA"/>
    </w:rPr>
  </w:style>
  <w:style w:type="paragraph" w:customStyle="1" w:styleId="279">
    <w:name w:val="xl69"/>
    <w:basedOn w:val="1"/>
    <w:next w:val="280"/>
    <w:autoRedefine/>
    <w:qFormat/>
    <w:uiPriority w:val="0"/>
    <w:pPr>
      <w:widowControl/>
      <w:shd w:val="clear" w:color="000000" w:fill="FFFFFF"/>
      <w:spacing w:before="280" w:after="280"/>
    </w:pPr>
    <w:rPr>
      <w:rFonts w:ascii="宋体" w:hAnsi="Calibri"/>
      <w:b/>
      <w:kern w:val="0"/>
      <w:sz w:val="20"/>
      <w:szCs w:val="20"/>
    </w:rPr>
  </w:style>
  <w:style w:type="paragraph" w:customStyle="1" w:styleId="280">
    <w:name w:val="toc 48"/>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81">
    <w:name w:val="toc 813"/>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82">
    <w:name w:val="目录 9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83">
    <w:name w:val="列出段落3"/>
    <w:basedOn w:val="1"/>
    <w:next w:val="284"/>
    <w:autoRedefine/>
    <w:qFormat/>
    <w:uiPriority w:val="0"/>
    <w:pPr>
      <w:ind w:firstLine="420"/>
    </w:pPr>
    <w:rPr>
      <w:rFonts w:hAnsi="Calibri"/>
      <w:kern w:val="0"/>
      <w:szCs w:val="20"/>
    </w:rPr>
  </w:style>
  <w:style w:type="paragraph" w:customStyle="1" w:styleId="284">
    <w:name w:val="toc 213"/>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85">
    <w:name w:val="TOC 标题1"/>
    <w:next w:val="1"/>
    <w:autoRedefine/>
    <w:qFormat/>
    <w:uiPriority w:val="0"/>
    <w:pPr>
      <w:wordWrap w:val="0"/>
    </w:pPr>
    <w:rPr>
      <w:rFonts w:ascii="Calibri" w:hAnsi="Calibri" w:eastAsia="宋体" w:cs="Times New Roman"/>
      <w:sz w:val="32"/>
      <w:lang w:val="en-US" w:eastAsia="zh-CN" w:bidi="ar-SA"/>
    </w:rPr>
  </w:style>
  <w:style w:type="paragraph" w:customStyle="1" w:styleId="286">
    <w:name w:val="TOC Heading5"/>
    <w:next w:val="1"/>
    <w:autoRedefine/>
    <w:qFormat/>
    <w:uiPriority w:val="0"/>
    <w:pPr>
      <w:wordWrap w:val="0"/>
    </w:pPr>
    <w:rPr>
      <w:rFonts w:ascii="Calibri" w:hAnsi="Calibri" w:eastAsia="宋体" w:cs="Times New Roman"/>
      <w:sz w:val="32"/>
      <w:lang w:val="en-US" w:eastAsia="zh-CN" w:bidi="ar-SA"/>
    </w:rPr>
  </w:style>
  <w:style w:type="paragraph" w:customStyle="1" w:styleId="287">
    <w:name w:val="toc 313"/>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88">
    <w:name w:val="toc 716"/>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89">
    <w:name w:val="xl115"/>
    <w:basedOn w:val="1"/>
    <w:next w:val="290"/>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290">
    <w:name w:val="toc 712"/>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91">
    <w:name w:val="toc 64"/>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92">
    <w:name w:val="toc 24"/>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93">
    <w:name w:val="toc 54"/>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94">
    <w:name w:val="xl93"/>
    <w:basedOn w:val="1"/>
    <w:next w:val="295"/>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95">
    <w:name w:val="toc 112"/>
    <w:next w:val="1"/>
    <w:autoRedefine/>
    <w:qFormat/>
    <w:uiPriority w:val="0"/>
    <w:pPr>
      <w:wordWrap w:val="0"/>
      <w:jc w:val="both"/>
    </w:pPr>
    <w:rPr>
      <w:rFonts w:ascii="Calibri" w:hAnsi="Calibri" w:eastAsia="宋体" w:cs="Times New Roman"/>
      <w:sz w:val="21"/>
      <w:lang w:val="en-US" w:eastAsia="zh-CN" w:bidi="ar-SA"/>
    </w:rPr>
  </w:style>
  <w:style w:type="paragraph" w:customStyle="1" w:styleId="296">
    <w:name w:val="xl96"/>
    <w:basedOn w:val="1"/>
    <w:next w:val="247"/>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97">
    <w:name w:val="xl106"/>
    <w:basedOn w:val="1"/>
    <w:next w:val="281"/>
    <w:autoRedefine/>
    <w:qFormat/>
    <w:uiPriority w:val="0"/>
    <w:pPr>
      <w:widowControl/>
      <w:shd w:val="clear" w:color="000000" w:fill="FFFFFF"/>
      <w:spacing w:before="280" w:after="280"/>
    </w:pPr>
    <w:rPr>
      <w:rFonts w:ascii="宋体" w:hAnsi="Calibri"/>
      <w:kern w:val="0"/>
      <w:sz w:val="20"/>
      <w:szCs w:val="20"/>
    </w:rPr>
  </w:style>
  <w:style w:type="paragraph" w:customStyle="1" w:styleId="298">
    <w:name w:val="toc 35"/>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99">
    <w:name w:val="TOC Heading14"/>
    <w:next w:val="1"/>
    <w:autoRedefine/>
    <w:qFormat/>
    <w:uiPriority w:val="0"/>
    <w:pPr>
      <w:wordWrap w:val="0"/>
    </w:pPr>
    <w:rPr>
      <w:rFonts w:ascii="Calibri" w:hAnsi="Calibri" w:eastAsia="宋体" w:cs="Times New Roman"/>
      <w:sz w:val="32"/>
      <w:lang w:val="en-US" w:eastAsia="zh-CN" w:bidi="ar-SA"/>
    </w:rPr>
  </w:style>
  <w:style w:type="paragraph" w:customStyle="1" w:styleId="300">
    <w:name w:val="Char Char Char Char Char Char Char1"/>
    <w:basedOn w:val="1"/>
    <w:next w:val="301"/>
    <w:autoRedefine/>
    <w:qFormat/>
    <w:uiPriority w:val="0"/>
    <w:pPr>
      <w:widowControl/>
      <w:spacing w:after="160" w:line="240" w:lineRule="exact"/>
    </w:pPr>
    <w:rPr>
      <w:rFonts w:hAnsi="Calibri"/>
      <w:kern w:val="0"/>
      <w:szCs w:val="20"/>
    </w:rPr>
  </w:style>
  <w:style w:type="paragraph" w:customStyle="1" w:styleId="301">
    <w:name w:val="toc 67"/>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02">
    <w:name w:val="列出段落4"/>
    <w:basedOn w:val="1"/>
    <w:next w:val="303"/>
    <w:autoRedefine/>
    <w:qFormat/>
    <w:uiPriority w:val="0"/>
    <w:pPr>
      <w:ind w:firstLine="420"/>
    </w:pPr>
    <w:rPr>
      <w:rFonts w:hAnsi="Calibri"/>
      <w:kern w:val="0"/>
      <w:szCs w:val="20"/>
    </w:rPr>
  </w:style>
  <w:style w:type="paragraph" w:customStyle="1" w:styleId="303">
    <w:name w:val="TOC Heading9"/>
    <w:next w:val="1"/>
    <w:autoRedefine/>
    <w:qFormat/>
    <w:uiPriority w:val="0"/>
    <w:pPr>
      <w:wordWrap w:val="0"/>
    </w:pPr>
    <w:rPr>
      <w:rFonts w:ascii="Calibri" w:hAnsi="Calibri" w:eastAsia="宋体" w:cs="Times New Roman"/>
      <w:sz w:val="32"/>
      <w:lang w:val="en-US" w:eastAsia="zh-CN" w:bidi="ar-SA"/>
    </w:rPr>
  </w:style>
  <w:style w:type="paragraph" w:customStyle="1" w:styleId="304">
    <w:name w:val="xl71"/>
    <w:basedOn w:val="1"/>
    <w:next w:val="305"/>
    <w:autoRedefine/>
    <w:qFormat/>
    <w:uiPriority w:val="0"/>
    <w:pPr>
      <w:widowControl/>
      <w:shd w:val="clear" w:color="000000" w:fill="FFFFFF"/>
      <w:spacing w:before="280" w:after="280"/>
    </w:pPr>
    <w:rPr>
      <w:rFonts w:ascii="宋体" w:hAnsi="Calibri"/>
      <w:kern w:val="0"/>
      <w:sz w:val="24"/>
      <w:szCs w:val="20"/>
    </w:rPr>
  </w:style>
  <w:style w:type="paragraph" w:customStyle="1" w:styleId="305">
    <w:name w:val="toc 115"/>
    <w:next w:val="1"/>
    <w:autoRedefine/>
    <w:qFormat/>
    <w:uiPriority w:val="0"/>
    <w:pPr>
      <w:wordWrap w:val="0"/>
      <w:jc w:val="both"/>
    </w:pPr>
    <w:rPr>
      <w:rFonts w:ascii="Calibri" w:hAnsi="Calibri" w:eastAsia="宋体" w:cs="Times New Roman"/>
      <w:sz w:val="21"/>
      <w:lang w:val="en-US" w:eastAsia="zh-CN" w:bidi="ar-SA"/>
    </w:rPr>
  </w:style>
  <w:style w:type="paragraph" w:customStyle="1" w:styleId="306">
    <w:name w:val="toc 5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07">
    <w:name w:val="toc 47"/>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08">
    <w:name w:val="xl108"/>
    <w:basedOn w:val="1"/>
    <w:next w:val="309"/>
    <w:autoRedefine/>
    <w:qFormat/>
    <w:uiPriority w:val="0"/>
    <w:pPr>
      <w:widowControl/>
      <w:shd w:val="clear" w:color="000000" w:fill="FFFFFF"/>
      <w:spacing w:before="280" w:after="280"/>
    </w:pPr>
    <w:rPr>
      <w:rFonts w:ascii="宋体" w:hAnsi="Calibri"/>
      <w:kern w:val="0"/>
      <w:sz w:val="18"/>
      <w:szCs w:val="20"/>
    </w:rPr>
  </w:style>
  <w:style w:type="paragraph" w:customStyle="1" w:styleId="309">
    <w:name w:val="toc 18"/>
    <w:next w:val="1"/>
    <w:autoRedefine/>
    <w:qFormat/>
    <w:uiPriority w:val="0"/>
    <w:pPr>
      <w:wordWrap w:val="0"/>
      <w:jc w:val="both"/>
    </w:pPr>
    <w:rPr>
      <w:rFonts w:ascii="Calibri" w:hAnsi="Calibri" w:eastAsia="宋体" w:cs="Times New Roman"/>
      <w:sz w:val="21"/>
      <w:lang w:val="en-US" w:eastAsia="zh-CN" w:bidi="ar-SA"/>
    </w:rPr>
  </w:style>
  <w:style w:type="paragraph" w:customStyle="1" w:styleId="310">
    <w:name w:val="TOC Heading7"/>
    <w:next w:val="1"/>
    <w:autoRedefine/>
    <w:qFormat/>
    <w:uiPriority w:val="0"/>
    <w:pPr>
      <w:wordWrap w:val="0"/>
    </w:pPr>
    <w:rPr>
      <w:rFonts w:ascii="Calibri" w:hAnsi="Calibri" w:eastAsia="宋体" w:cs="Times New Roman"/>
      <w:sz w:val="32"/>
      <w:lang w:val="en-US" w:eastAsia="zh-CN" w:bidi="ar-SA"/>
    </w:rPr>
  </w:style>
  <w:style w:type="character" w:customStyle="1" w:styleId="311">
    <w:name w:val="副标题 Char"/>
    <w:basedOn w:val="47"/>
    <w:link w:val="32"/>
    <w:autoRedefine/>
    <w:qFormat/>
    <w:uiPriority w:val="0"/>
    <w:rPr>
      <w:rFonts w:ascii="Calibri" w:hAnsi="Calibri"/>
      <w:sz w:val="24"/>
    </w:rPr>
  </w:style>
  <w:style w:type="paragraph" w:customStyle="1" w:styleId="312">
    <w:name w:val="目录 7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13">
    <w:name w:val="toc 41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14">
    <w:name w:val="toc 85"/>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15">
    <w:name w:val="列出段落6"/>
    <w:basedOn w:val="1"/>
    <w:next w:val="316"/>
    <w:autoRedefine/>
    <w:qFormat/>
    <w:uiPriority w:val="0"/>
    <w:pPr>
      <w:ind w:firstLine="420"/>
    </w:pPr>
    <w:rPr>
      <w:rFonts w:hAnsi="Calibri"/>
      <w:kern w:val="0"/>
      <w:szCs w:val="20"/>
    </w:rPr>
  </w:style>
  <w:style w:type="paragraph" w:customStyle="1" w:styleId="316">
    <w:name w:val="toc 86"/>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17">
    <w:name w:val="xl80"/>
    <w:basedOn w:val="1"/>
    <w:next w:val="318"/>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318">
    <w:name w:val="toc 49"/>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19">
    <w:name w:val="Char Char Char Char1"/>
    <w:basedOn w:val="1"/>
    <w:next w:val="320"/>
    <w:autoRedefine/>
    <w:qFormat/>
    <w:uiPriority w:val="0"/>
    <w:pPr>
      <w:widowControl/>
      <w:spacing w:after="160" w:line="240" w:lineRule="exact"/>
    </w:pPr>
    <w:rPr>
      <w:rFonts w:ascii="Verdana" w:hAnsi="Calibri" w:eastAsia="仿宋_GB2312"/>
      <w:kern w:val="0"/>
      <w:sz w:val="24"/>
      <w:szCs w:val="20"/>
    </w:rPr>
  </w:style>
  <w:style w:type="paragraph" w:customStyle="1" w:styleId="320">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1">
    <w:name w:val="xl102"/>
    <w:basedOn w:val="1"/>
    <w:next w:val="322"/>
    <w:qFormat/>
    <w:uiPriority w:val="0"/>
    <w:pPr>
      <w:widowControl/>
      <w:shd w:val="clear" w:color="000000" w:fill="FFFFFF"/>
      <w:spacing w:before="280" w:after="280"/>
      <w:jc w:val="right"/>
    </w:pPr>
    <w:rPr>
      <w:rFonts w:ascii="宋体" w:hAnsi="Calibri"/>
      <w:kern w:val="0"/>
      <w:sz w:val="20"/>
      <w:szCs w:val="20"/>
    </w:rPr>
  </w:style>
  <w:style w:type="paragraph" w:customStyle="1" w:styleId="322">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3">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4">
    <w:name w:val="toc 31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25">
    <w:name w:val="xl65"/>
    <w:basedOn w:val="1"/>
    <w:next w:val="226"/>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26">
    <w:name w:val="toc 94"/>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27">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8">
    <w:name w:val="toc 812"/>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29">
    <w:name w:val="xl75"/>
    <w:basedOn w:val="1"/>
    <w:next w:val="330"/>
    <w:autoRedefine/>
    <w:qFormat/>
    <w:uiPriority w:val="0"/>
    <w:pPr>
      <w:widowControl/>
      <w:shd w:val="clear" w:color="000000" w:fill="FFFFFF"/>
      <w:spacing w:before="280" w:after="280"/>
    </w:pPr>
    <w:rPr>
      <w:rFonts w:ascii="宋体" w:hAnsi="Calibri"/>
      <w:kern w:val="0"/>
      <w:sz w:val="20"/>
      <w:szCs w:val="20"/>
    </w:rPr>
  </w:style>
  <w:style w:type="paragraph" w:customStyle="1" w:styleId="330">
    <w:name w:val="toc 914"/>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31">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2">
    <w:name w:val="TOC Heading6"/>
    <w:next w:val="1"/>
    <w:autoRedefine/>
    <w:qFormat/>
    <w:uiPriority w:val="0"/>
    <w:pPr>
      <w:wordWrap w:val="0"/>
    </w:pPr>
    <w:rPr>
      <w:rFonts w:ascii="Calibri" w:hAnsi="Calibri" w:eastAsia="宋体" w:cs="Times New Roman"/>
      <w:sz w:val="32"/>
      <w:lang w:val="en-US" w:eastAsia="zh-CN" w:bidi="ar-SA"/>
    </w:rPr>
  </w:style>
  <w:style w:type="paragraph" w:customStyle="1" w:styleId="333">
    <w:name w:val="toc 52"/>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34">
    <w:name w:val="toc 36"/>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35">
    <w:name w:val="toc 82"/>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36">
    <w:name w:val="xl104"/>
    <w:basedOn w:val="1"/>
    <w:next w:val="337"/>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37">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8">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9">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40">
    <w:name w:val="toc 3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41">
    <w:name w:val="toc 93"/>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42">
    <w:name w:val="toc 614"/>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43">
    <w:name w:val="无间隔1"/>
    <w:next w:val="338"/>
    <w:autoRedefine/>
    <w:qFormat/>
    <w:uiPriority w:val="0"/>
    <w:pPr>
      <w:widowControl w:val="0"/>
      <w:jc w:val="both"/>
    </w:pPr>
    <w:rPr>
      <w:rFonts w:ascii="Calibri" w:hAnsi="Calibri" w:eastAsia="宋体" w:cs="Times New Roman"/>
      <w:sz w:val="22"/>
      <w:lang w:val="en-US" w:eastAsia="zh-CN" w:bidi="ar-SA"/>
    </w:rPr>
  </w:style>
  <w:style w:type="paragraph" w:customStyle="1" w:styleId="344">
    <w:name w:val="目录 4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45">
    <w:name w:val="xl105"/>
    <w:basedOn w:val="1"/>
    <w:next w:val="346"/>
    <w:autoRedefine/>
    <w:qFormat/>
    <w:uiPriority w:val="0"/>
    <w:pPr>
      <w:widowControl/>
      <w:shd w:val="clear" w:color="000000" w:fill="FFFFFF"/>
      <w:spacing w:before="280" w:after="280"/>
    </w:pPr>
    <w:rPr>
      <w:rFonts w:ascii="宋体" w:hAnsi="Calibri"/>
      <w:kern w:val="0"/>
      <w:sz w:val="18"/>
      <w:szCs w:val="20"/>
    </w:rPr>
  </w:style>
  <w:style w:type="paragraph" w:customStyle="1" w:styleId="346">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7">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8">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9">
    <w:name w:val="xl111"/>
    <w:basedOn w:val="1"/>
    <w:next w:val="350"/>
    <w:qFormat/>
    <w:uiPriority w:val="0"/>
    <w:pPr>
      <w:widowControl/>
      <w:shd w:val="clear" w:color="000000" w:fill="FFFFFF"/>
      <w:spacing w:before="280" w:after="280"/>
      <w:jc w:val="center"/>
    </w:pPr>
    <w:rPr>
      <w:rFonts w:ascii="宋体" w:hAnsi="Calibri"/>
      <w:b/>
      <w:kern w:val="0"/>
      <w:sz w:val="20"/>
      <w:szCs w:val="20"/>
    </w:rPr>
  </w:style>
  <w:style w:type="paragraph" w:customStyle="1" w:styleId="350">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2">
    <w:name w:val="p0"/>
    <w:basedOn w:val="1"/>
    <w:next w:val="353"/>
    <w:qFormat/>
    <w:uiPriority w:val="0"/>
    <w:pPr>
      <w:widowControl/>
      <w:spacing w:before="280" w:after="280"/>
    </w:pPr>
    <w:rPr>
      <w:rFonts w:ascii="宋体" w:hAnsi="Calibri"/>
      <w:kern w:val="0"/>
      <w:sz w:val="24"/>
      <w:szCs w:val="20"/>
    </w:rPr>
  </w:style>
  <w:style w:type="paragraph" w:customStyle="1" w:styleId="353">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4">
    <w:name w:val="列出段落11"/>
    <w:basedOn w:val="1"/>
    <w:next w:val="355"/>
    <w:qFormat/>
    <w:uiPriority w:val="0"/>
    <w:pPr>
      <w:widowControl/>
      <w:spacing w:line="360" w:lineRule="auto"/>
      <w:ind w:firstLine="420"/>
    </w:pPr>
    <w:rPr>
      <w:rFonts w:hAnsi="Calibri" w:eastAsia="微软雅黑"/>
      <w:kern w:val="0"/>
      <w:sz w:val="24"/>
      <w:szCs w:val="20"/>
    </w:rPr>
  </w:style>
  <w:style w:type="paragraph" w:customStyle="1" w:styleId="355">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6">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7">
    <w:name w:val="xl91"/>
    <w:basedOn w:val="1"/>
    <w:next w:val="254"/>
    <w:qFormat/>
    <w:uiPriority w:val="0"/>
    <w:pPr>
      <w:widowControl/>
      <w:shd w:val="clear" w:color="000000" w:fill="FFFFFF"/>
      <w:spacing w:before="280" w:after="280"/>
    </w:pPr>
    <w:rPr>
      <w:rFonts w:ascii="宋体" w:hAnsi="Calibri"/>
      <w:kern w:val="0"/>
      <w:sz w:val="20"/>
      <w:szCs w:val="20"/>
    </w:rPr>
  </w:style>
  <w:style w:type="paragraph" w:customStyle="1" w:styleId="358">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9">
    <w:name w:val="_Style 1"/>
    <w:basedOn w:val="1"/>
    <w:next w:val="360"/>
    <w:qFormat/>
    <w:uiPriority w:val="0"/>
    <w:pPr>
      <w:ind w:firstLine="420"/>
    </w:pPr>
    <w:rPr>
      <w:rFonts w:hAnsi="Calibri"/>
      <w:kern w:val="0"/>
      <w:szCs w:val="20"/>
    </w:rPr>
  </w:style>
  <w:style w:type="paragraph" w:customStyle="1" w:styleId="360">
    <w:name w:val="TOC Heading13"/>
    <w:next w:val="1"/>
    <w:qFormat/>
    <w:uiPriority w:val="0"/>
    <w:pPr>
      <w:wordWrap w:val="0"/>
    </w:pPr>
    <w:rPr>
      <w:rFonts w:ascii="Calibri" w:hAnsi="Calibri" w:eastAsia="宋体" w:cs="Times New Roman"/>
      <w:sz w:val="32"/>
      <w:lang w:val="en-US" w:eastAsia="zh-CN" w:bidi="ar-SA"/>
    </w:rPr>
  </w:style>
  <w:style w:type="paragraph" w:customStyle="1" w:styleId="361">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2">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3">
    <w:name w:val="x_msonormal"/>
    <w:basedOn w:val="1"/>
    <w:next w:val="313"/>
    <w:qFormat/>
    <w:uiPriority w:val="0"/>
    <w:pPr>
      <w:widowControl/>
      <w:spacing w:before="280" w:after="280"/>
    </w:pPr>
    <w:rPr>
      <w:rFonts w:ascii="PMingLiU" w:hAnsi="Calibri" w:eastAsia="PMingLiU"/>
      <w:kern w:val="0"/>
      <w:sz w:val="24"/>
      <w:szCs w:val="20"/>
    </w:rPr>
  </w:style>
  <w:style w:type="paragraph" w:customStyle="1" w:styleId="364">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5">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6">
    <w:name w:val="TOC Heading17"/>
    <w:next w:val="1"/>
    <w:qFormat/>
    <w:uiPriority w:val="0"/>
    <w:pPr>
      <w:wordWrap w:val="0"/>
    </w:pPr>
    <w:rPr>
      <w:rFonts w:ascii="Calibri" w:hAnsi="Calibri" w:eastAsia="宋体" w:cs="Times New Roman"/>
      <w:sz w:val="32"/>
      <w:lang w:val="en-US" w:eastAsia="zh-CN" w:bidi="ar-SA"/>
    </w:rPr>
  </w:style>
  <w:style w:type="paragraph" w:customStyle="1" w:styleId="367">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8">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9">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70">
    <w:name w:val="xl118"/>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371">
    <w:name w:val="xl83"/>
    <w:basedOn w:val="1"/>
    <w:next w:val="299"/>
    <w:qFormat/>
    <w:uiPriority w:val="0"/>
    <w:pPr>
      <w:widowControl/>
      <w:shd w:val="clear" w:color="000000" w:fill="FFFFFF"/>
      <w:spacing w:before="280" w:after="280"/>
    </w:pPr>
    <w:rPr>
      <w:rFonts w:ascii="宋体" w:hAnsi="Calibri"/>
      <w:kern w:val="0"/>
      <w:sz w:val="20"/>
      <w:szCs w:val="20"/>
    </w:rPr>
  </w:style>
  <w:style w:type="paragraph" w:customStyle="1" w:styleId="372">
    <w:name w:val="xl103"/>
    <w:basedOn w:val="1"/>
    <w:next w:val="373"/>
    <w:qFormat/>
    <w:uiPriority w:val="0"/>
    <w:pPr>
      <w:widowControl/>
      <w:shd w:val="clear" w:color="000000" w:fill="FFFFFF"/>
      <w:spacing w:before="280" w:after="280"/>
    </w:pPr>
    <w:rPr>
      <w:rFonts w:ascii="宋体" w:hAnsi="Calibri"/>
      <w:kern w:val="0"/>
      <w:sz w:val="20"/>
      <w:szCs w:val="20"/>
    </w:rPr>
  </w:style>
  <w:style w:type="paragraph" w:customStyle="1" w:styleId="373">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4">
    <w:name w:val="xl68"/>
    <w:basedOn w:val="1"/>
    <w:next w:val="375"/>
    <w:qFormat/>
    <w:uiPriority w:val="0"/>
    <w:pPr>
      <w:widowControl/>
      <w:shd w:val="clear" w:color="000000" w:fill="FFFFFF"/>
      <w:spacing w:before="280" w:after="280"/>
    </w:pPr>
    <w:rPr>
      <w:rFonts w:ascii="宋体" w:hAnsi="Calibri"/>
      <w:b/>
      <w:kern w:val="0"/>
      <w:sz w:val="20"/>
      <w:szCs w:val="20"/>
    </w:rPr>
  </w:style>
  <w:style w:type="paragraph" w:customStyle="1" w:styleId="375">
    <w:name w:val="TOC Heading16"/>
    <w:next w:val="1"/>
    <w:qFormat/>
    <w:uiPriority w:val="0"/>
    <w:pPr>
      <w:wordWrap w:val="0"/>
    </w:pPr>
    <w:rPr>
      <w:rFonts w:ascii="Calibri" w:hAnsi="Calibri" w:eastAsia="宋体" w:cs="Times New Roman"/>
      <w:sz w:val="32"/>
      <w:lang w:val="en-US" w:eastAsia="zh-CN" w:bidi="ar-SA"/>
    </w:rPr>
  </w:style>
  <w:style w:type="paragraph" w:customStyle="1" w:styleId="376">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7">
    <w:name w:val="xl94"/>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78">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9">
    <w:name w:val="xl92"/>
    <w:basedOn w:val="1"/>
    <w:next w:val="380"/>
    <w:autoRedefine/>
    <w:qFormat/>
    <w:uiPriority w:val="0"/>
    <w:pPr>
      <w:widowControl/>
      <w:shd w:val="clear" w:color="000000" w:fill="FFFFFF"/>
      <w:spacing w:before="280" w:after="280"/>
    </w:pPr>
    <w:rPr>
      <w:rFonts w:ascii="宋体" w:hAnsi="Calibri"/>
      <w:kern w:val="0"/>
      <w:sz w:val="20"/>
      <w:szCs w:val="20"/>
    </w:rPr>
  </w:style>
  <w:style w:type="paragraph" w:customStyle="1" w:styleId="380">
    <w:name w:val="toc 913"/>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81">
    <w:name w:val="toc 512"/>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82">
    <w:name w:val="目录 81"/>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83">
    <w:name w:val="正文表标题"/>
    <w:next w:val="1"/>
    <w:autoRedefine/>
    <w:qFormat/>
    <w:uiPriority w:val="0"/>
    <w:pPr>
      <w:ind w:left="630"/>
      <w:jc w:val="center"/>
    </w:pPr>
    <w:rPr>
      <w:rFonts w:ascii="黑体" w:hAnsi="Calibri" w:eastAsia="黑体" w:cs="Times New Roman"/>
      <w:sz w:val="21"/>
      <w:lang w:val="en-US" w:eastAsia="zh-CN" w:bidi="ar-SA"/>
    </w:rPr>
  </w:style>
  <w:style w:type="paragraph" w:customStyle="1" w:styleId="384">
    <w:name w:val="toc 28"/>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85">
    <w:name w:val="toc 79"/>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86">
    <w:name w:val="xl110"/>
    <w:basedOn w:val="1"/>
    <w:next w:val="342"/>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87">
    <w:name w:val="toc 51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88">
    <w:name w:val="toc 416"/>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89">
    <w:name w:val="xl85"/>
    <w:basedOn w:val="1"/>
    <w:next w:val="390"/>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90">
    <w:name w:val="toc 76"/>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91">
    <w:name w:val="toc 27"/>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92">
    <w:name w:val="toc 916"/>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93">
    <w:name w:val="toc 77"/>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94">
    <w:name w:val="toc 21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95">
    <w:name w:val="toc 815"/>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96">
    <w:name w:val="xl99"/>
    <w:basedOn w:val="1"/>
    <w:next w:val="381"/>
    <w:autoRedefine/>
    <w:qFormat/>
    <w:uiPriority w:val="0"/>
    <w:pPr>
      <w:widowControl/>
      <w:shd w:val="clear" w:color="000000" w:fill="FFFFFF"/>
      <w:spacing w:before="280" w:after="280"/>
    </w:pPr>
    <w:rPr>
      <w:rFonts w:ascii="宋体" w:hAnsi="Calibri"/>
      <w:kern w:val="0"/>
      <w:sz w:val="18"/>
      <w:szCs w:val="20"/>
    </w:rPr>
  </w:style>
  <w:style w:type="paragraph" w:customStyle="1" w:styleId="397">
    <w:name w:val="xl97"/>
    <w:basedOn w:val="1"/>
    <w:next w:val="269"/>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98">
    <w:name w:val="toc 612"/>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99">
    <w:name w:val="toc 315"/>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00">
    <w:name w:val="TOC Heading15"/>
    <w:next w:val="1"/>
    <w:autoRedefine/>
    <w:qFormat/>
    <w:uiPriority w:val="0"/>
    <w:pPr>
      <w:wordWrap w:val="0"/>
    </w:pPr>
    <w:rPr>
      <w:rFonts w:ascii="Calibri" w:hAnsi="Calibri" w:eastAsia="宋体" w:cs="Times New Roman"/>
      <w:sz w:val="32"/>
      <w:lang w:val="en-US" w:eastAsia="zh-CN" w:bidi="ar-SA"/>
    </w:rPr>
  </w:style>
  <w:style w:type="paragraph" w:customStyle="1" w:styleId="401">
    <w:name w:val="toc 915"/>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02">
    <w:name w:val="toc 39"/>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03">
    <w:name w:val="toc 710"/>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04">
    <w:name w:val="toc 12"/>
    <w:next w:val="1"/>
    <w:autoRedefine/>
    <w:qFormat/>
    <w:uiPriority w:val="0"/>
    <w:pPr>
      <w:wordWrap w:val="0"/>
      <w:jc w:val="both"/>
    </w:pPr>
    <w:rPr>
      <w:rFonts w:ascii="Calibri" w:hAnsi="Calibri" w:eastAsia="宋体" w:cs="Times New Roman"/>
      <w:sz w:val="21"/>
      <w:lang w:val="en-US" w:eastAsia="zh-CN" w:bidi="ar-SA"/>
    </w:rPr>
  </w:style>
  <w:style w:type="paragraph" w:customStyle="1" w:styleId="405">
    <w:name w:val="xl95"/>
    <w:basedOn w:val="1"/>
    <w:next w:val="406"/>
    <w:autoRedefine/>
    <w:qFormat/>
    <w:uiPriority w:val="0"/>
    <w:pPr>
      <w:widowControl/>
      <w:shd w:val="clear" w:color="000000" w:fill="FFFFFF"/>
      <w:spacing w:before="280" w:after="280"/>
    </w:pPr>
    <w:rPr>
      <w:rFonts w:ascii="宋体" w:hAnsi="Calibri"/>
      <w:kern w:val="0"/>
      <w:sz w:val="20"/>
      <w:szCs w:val="20"/>
    </w:rPr>
  </w:style>
  <w:style w:type="paragraph" w:customStyle="1" w:styleId="406">
    <w:name w:val="toc 415"/>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07">
    <w:name w:val="toc 29"/>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08">
    <w:name w:val="xl67"/>
    <w:basedOn w:val="1"/>
    <w:next w:val="409"/>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09">
    <w:name w:val="toc 714"/>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10">
    <w:name w:val="toc 2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11">
    <w:name w:val="正文 A"/>
    <w:next w:val="328"/>
    <w:autoRedefine/>
    <w:qFormat/>
    <w:uiPriority w:val="0"/>
    <w:rPr>
      <w:rFonts w:ascii="Arial" w:hAnsi="Calibri" w:eastAsia="Arial Unicode MS" w:cs="Times New Roman"/>
      <w:color w:val="000000"/>
      <w:sz w:val="21"/>
      <w:lang w:val="en-US" w:eastAsia="zh-CN" w:bidi="ar-SA"/>
    </w:rPr>
  </w:style>
  <w:style w:type="paragraph" w:customStyle="1" w:styleId="412">
    <w:name w:val="toc 68"/>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13">
    <w:name w:val="toc 58"/>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14">
    <w:name w:val="xl88"/>
    <w:basedOn w:val="1"/>
    <w:next w:val="400"/>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415">
    <w:name w:val="toc 7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16">
    <w:name w:val="xl100"/>
    <w:basedOn w:val="1"/>
    <w:next w:val="417"/>
    <w:autoRedefine/>
    <w:qFormat/>
    <w:uiPriority w:val="0"/>
    <w:pPr>
      <w:widowControl/>
      <w:shd w:val="clear" w:color="000000" w:fill="FFFFFF"/>
      <w:spacing w:before="280" w:after="280"/>
    </w:pPr>
    <w:rPr>
      <w:rFonts w:ascii="宋体" w:hAnsi="Calibri"/>
      <w:kern w:val="0"/>
      <w:sz w:val="20"/>
      <w:szCs w:val="20"/>
    </w:rPr>
  </w:style>
  <w:style w:type="paragraph" w:customStyle="1" w:styleId="417">
    <w:name w:val="toc 510"/>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18">
    <w:name w:val="toc 314"/>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19">
    <w:name w:val="xl114"/>
    <w:basedOn w:val="1"/>
    <w:next w:val="271"/>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20">
    <w:name w:val="xl107"/>
    <w:basedOn w:val="1"/>
    <w:next w:val="421"/>
    <w:autoRedefine/>
    <w:qFormat/>
    <w:uiPriority w:val="0"/>
    <w:pPr>
      <w:widowControl/>
      <w:shd w:val="clear" w:color="000000" w:fill="FFFFFF"/>
      <w:spacing w:before="280" w:after="280"/>
    </w:pPr>
    <w:rPr>
      <w:rFonts w:ascii="宋体" w:hAnsi="Calibri"/>
      <w:kern w:val="0"/>
      <w:sz w:val="20"/>
      <w:szCs w:val="20"/>
    </w:rPr>
  </w:style>
  <w:style w:type="paragraph" w:customStyle="1" w:styleId="421">
    <w:name w:val="toc 610"/>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22">
    <w:name w:val="toc 22"/>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23">
    <w:name w:val="xl90"/>
    <w:basedOn w:val="1"/>
    <w:next w:val="225"/>
    <w:autoRedefine/>
    <w:qFormat/>
    <w:uiPriority w:val="0"/>
    <w:pPr>
      <w:widowControl/>
      <w:shd w:val="clear" w:color="000000" w:fill="FFFFFF"/>
      <w:spacing w:before="280" w:after="280"/>
    </w:pPr>
    <w:rPr>
      <w:rFonts w:ascii="宋体" w:hAnsi="Calibri"/>
      <w:kern w:val="0"/>
      <w:sz w:val="18"/>
      <w:szCs w:val="20"/>
    </w:rPr>
  </w:style>
  <w:style w:type="paragraph" w:customStyle="1" w:styleId="424">
    <w:name w:val="toc 616"/>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25">
    <w:name w:val="toc 96"/>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26">
    <w:name w:val="toc 42"/>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27">
    <w:name w:val="xl117"/>
    <w:basedOn w:val="1"/>
    <w:next w:val="324"/>
    <w:autoRedefine/>
    <w:qFormat/>
    <w:uiPriority w:val="0"/>
    <w:pPr>
      <w:widowControl/>
      <w:shd w:val="clear" w:color="000000" w:fill="FFFFFF"/>
      <w:spacing w:before="280" w:after="280"/>
      <w:jc w:val="center"/>
    </w:pPr>
    <w:rPr>
      <w:rFonts w:ascii="Arial Narrow" w:hAnsi="Calibri"/>
      <w:kern w:val="0"/>
      <w:sz w:val="24"/>
      <w:szCs w:val="20"/>
    </w:rPr>
  </w:style>
  <w:style w:type="paragraph" w:customStyle="1" w:styleId="428">
    <w:name w:val="p15"/>
    <w:basedOn w:val="1"/>
    <w:next w:val="249"/>
    <w:autoRedefine/>
    <w:qFormat/>
    <w:uiPriority w:val="0"/>
    <w:pPr>
      <w:widowControl/>
      <w:ind w:firstLine="420"/>
    </w:pPr>
    <w:rPr>
      <w:rFonts w:hAnsi="Calibri"/>
      <w:kern w:val="0"/>
      <w:szCs w:val="20"/>
    </w:rPr>
  </w:style>
  <w:style w:type="paragraph" w:customStyle="1" w:styleId="429">
    <w:name w:val="xl87"/>
    <w:basedOn w:val="1"/>
    <w:next w:val="430"/>
    <w:autoRedefine/>
    <w:qFormat/>
    <w:uiPriority w:val="0"/>
    <w:pPr>
      <w:widowControl/>
      <w:shd w:val="clear" w:color="000000" w:fill="FFFFFF"/>
      <w:spacing w:before="280" w:after="280"/>
    </w:pPr>
    <w:rPr>
      <w:rFonts w:ascii="Arial" w:hAnsi="Calibri"/>
      <w:kern w:val="0"/>
      <w:sz w:val="18"/>
      <w:szCs w:val="20"/>
    </w:rPr>
  </w:style>
  <w:style w:type="paragraph" w:customStyle="1" w:styleId="430">
    <w:name w:val="toc 98"/>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31">
    <w:name w:val="列出段落7"/>
    <w:basedOn w:val="1"/>
    <w:next w:val="413"/>
    <w:autoRedefine/>
    <w:qFormat/>
    <w:uiPriority w:val="0"/>
    <w:pPr>
      <w:ind w:firstLine="420"/>
    </w:pPr>
    <w:rPr>
      <w:rFonts w:hAnsi="Calibri"/>
      <w:kern w:val="0"/>
      <w:szCs w:val="20"/>
    </w:rPr>
  </w:style>
  <w:style w:type="paragraph" w:customStyle="1" w:styleId="432">
    <w:name w:val="xl78"/>
    <w:basedOn w:val="1"/>
    <w:next w:val="403"/>
    <w:autoRedefine/>
    <w:qFormat/>
    <w:uiPriority w:val="0"/>
    <w:pPr>
      <w:widowControl/>
      <w:shd w:val="clear" w:color="000000" w:fill="FFFFFF"/>
      <w:spacing w:before="280" w:after="280"/>
    </w:pPr>
    <w:rPr>
      <w:rFonts w:ascii="宋体" w:hAnsi="Calibri"/>
      <w:b/>
      <w:kern w:val="0"/>
      <w:sz w:val="20"/>
      <w:szCs w:val="20"/>
    </w:rPr>
  </w:style>
  <w:style w:type="paragraph" w:customStyle="1" w:styleId="433">
    <w:name w:val="toc 516"/>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34">
    <w:name w:val="xl89"/>
    <w:basedOn w:val="1"/>
    <w:next w:val="368"/>
    <w:autoRedefine/>
    <w:qFormat/>
    <w:uiPriority w:val="0"/>
    <w:pPr>
      <w:widowControl/>
      <w:shd w:val="clear" w:color="000000" w:fill="FFFFFF"/>
      <w:spacing w:before="280" w:after="280"/>
    </w:pPr>
    <w:rPr>
      <w:rFonts w:ascii="宋体" w:hAnsi="Calibri"/>
      <w:kern w:val="0"/>
      <w:sz w:val="20"/>
      <w:szCs w:val="20"/>
    </w:rPr>
  </w:style>
  <w:style w:type="paragraph" w:customStyle="1" w:styleId="435">
    <w:name w:val="toc 910"/>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36">
    <w:name w:val="toc 34"/>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37">
    <w:name w:val="toc 816"/>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438">
    <w:name w:val="toc 4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39">
    <w:name w:val="toc 16"/>
    <w:next w:val="1"/>
    <w:autoRedefine/>
    <w:qFormat/>
    <w:uiPriority w:val="0"/>
    <w:pPr>
      <w:wordWrap w:val="0"/>
      <w:jc w:val="both"/>
    </w:pPr>
    <w:rPr>
      <w:rFonts w:ascii="Calibri" w:hAnsi="Calibri" w:eastAsia="宋体" w:cs="Times New Roman"/>
      <w:sz w:val="21"/>
      <w:lang w:val="en-US" w:eastAsia="zh-CN" w:bidi="ar-SA"/>
    </w:rPr>
  </w:style>
  <w:style w:type="character" w:customStyle="1" w:styleId="440">
    <w:name w:val="引用 Char"/>
    <w:basedOn w:val="47"/>
    <w:link w:val="9"/>
    <w:autoRedefine/>
    <w:qFormat/>
    <w:uiPriority w:val="0"/>
    <w:rPr>
      <w:rFonts w:ascii="Calibri" w:hAnsi="Calibri"/>
      <w:i/>
      <w:sz w:val="21"/>
    </w:rPr>
  </w:style>
  <w:style w:type="paragraph" w:customStyle="1" w:styleId="441">
    <w:name w:val="toc 114"/>
    <w:next w:val="1"/>
    <w:autoRedefine/>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8"/>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1"/>
    <w:autoRedefine/>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9"/>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6"/>
    <w:autoRedefine/>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4"/>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autoRedefine/>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5"/>
    <w:autoRedefine/>
    <w:qFormat/>
    <w:uiPriority w:val="0"/>
    <w:pPr>
      <w:widowControl/>
      <w:spacing w:before="280" w:after="280"/>
    </w:pPr>
    <w:rPr>
      <w:rFonts w:ascii="宋体" w:hAnsi="Calibri"/>
      <w:kern w:val="0"/>
      <w:sz w:val="20"/>
      <w:szCs w:val="20"/>
    </w:rPr>
  </w:style>
  <w:style w:type="paragraph" w:customStyle="1" w:styleId="457">
    <w:name w:val="toc 75"/>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autoRedefine/>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autoRedefine/>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Char"/>
    <w:basedOn w:val="47"/>
    <w:link w:val="459"/>
    <w:autoRedefine/>
    <w:qFormat/>
    <w:uiPriority w:val="0"/>
    <w:rPr>
      <w:rFonts w:ascii="Calibri" w:hAnsi="Calibri"/>
      <w:i/>
      <w:sz w:val="21"/>
    </w:rPr>
  </w:style>
  <w:style w:type="paragraph" w:customStyle="1" w:styleId="461">
    <w:name w:val="Char Char Char Char Char Char Char"/>
    <w:basedOn w:val="1"/>
    <w:next w:val="445"/>
    <w:autoRedefine/>
    <w:qFormat/>
    <w:uiPriority w:val="0"/>
    <w:pPr>
      <w:widowControl/>
      <w:spacing w:after="160" w:line="240" w:lineRule="exact"/>
    </w:pPr>
    <w:rPr>
      <w:rFonts w:hAnsi="Calibri"/>
      <w:kern w:val="0"/>
      <w:szCs w:val="20"/>
    </w:rPr>
  </w:style>
  <w:style w:type="paragraph" w:customStyle="1" w:styleId="462">
    <w:name w:val="toc 23"/>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autoRedefine/>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7"/>
    <w:autoRedefine/>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5"/>
    <w:autoRedefine/>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autoRedefine/>
    <w:qFormat/>
    <w:uiPriority w:val="0"/>
    <w:rPr>
      <w:rFonts w:eastAsia="宋体"/>
      <w:kern w:val="2"/>
      <w:sz w:val="21"/>
      <w:lang w:val="en-US" w:eastAsia="zh-CN" w:bidi="ar-SA"/>
    </w:rPr>
  </w:style>
  <w:style w:type="character" w:customStyle="1" w:styleId="471">
    <w:name w:val="fielderror"/>
    <w:basedOn w:val="47"/>
    <w:autoRedefine/>
    <w:qFormat/>
    <w:uiPriority w:val="0"/>
    <w:rPr>
      <w:color w:val="800000"/>
    </w:rPr>
  </w:style>
  <w:style w:type="character" w:customStyle="1" w:styleId="472">
    <w:name w:val="hilite6"/>
    <w:basedOn w:val="47"/>
    <w:autoRedefine/>
    <w:qFormat/>
    <w:uiPriority w:val="0"/>
    <w:rPr>
      <w:color w:val="000000"/>
    </w:rPr>
  </w:style>
  <w:style w:type="character" w:customStyle="1" w:styleId="473">
    <w:name w:val="active6"/>
    <w:basedOn w:val="47"/>
    <w:autoRedefine/>
    <w:qFormat/>
    <w:uiPriority w:val="0"/>
    <w:rPr>
      <w:color w:val="FFFFFF"/>
    </w:rPr>
  </w:style>
  <w:style w:type="character" w:customStyle="1" w:styleId="474">
    <w:name w:val="inline-help"/>
    <w:basedOn w:val="47"/>
    <w:autoRedefine/>
    <w:qFormat/>
    <w:uiPriority w:val="0"/>
  </w:style>
  <w:style w:type="character" w:customStyle="1" w:styleId="475">
    <w:name w:val="active"/>
    <w:basedOn w:val="47"/>
    <w:autoRedefine/>
    <w:qFormat/>
    <w:uiPriority w:val="0"/>
    <w:rPr>
      <w:color w:val="FFFFFF"/>
    </w:rPr>
  </w:style>
  <w:style w:type="table" w:customStyle="1" w:styleId="476">
    <w:name w:val="网格型1"/>
    <w:basedOn w:val="44"/>
    <w:autoRedefine/>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7">
    <w:name w:val="Revision"/>
    <w:autoRedefine/>
    <w:hidden/>
    <w:semiHidden/>
    <w:qFormat/>
    <w:uiPriority w:val="99"/>
    <w:rPr>
      <w:rFonts w:ascii="Times New Roman" w:hAnsi="Times New Roman" w:eastAsia="宋体" w:cs="Times New Roman"/>
      <w:kern w:val="2"/>
      <w:sz w:val="21"/>
      <w:szCs w:val="24"/>
      <w:lang w:val="en-US" w:eastAsia="zh-CN" w:bidi="ar-SA"/>
    </w:rPr>
  </w:style>
  <w:style w:type="table" w:customStyle="1" w:styleId="478">
    <w:name w:val="Table Normal_0"/>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67</Pages>
  <Words>20021</Words>
  <Characters>21114</Characters>
  <Lines>368</Lines>
  <Paragraphs>103</Paragraphs>
  <TotalTime>7</TotalTime>
  <ScaleCrop>false</ScaleCrop>
  <LinksUpToDate>false</LinksUpToDate>
  <CharactersWithSpaces>21836</CharactersWithSpaces>
  <Application>WPS Office_12.8.2.16927_F1E327BC-269C-435d-A152-05C5408002CA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陈凯锋</cp:lastModifiedBy>
  <cp:lastPrinted>2021-05-16T11:04:00Z</cp:lastPrinted>
  <dcterms:modified xsi:type="dcterms:W3CDTF">2025-12-02T12:32:04Z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2052-12.8.2.16927</vt:lpwstr>
  </property>
  <property fmtid="{D5CDD505-2E9C-101B-9397-08002B2CF9AE}" pid="3" name="ICV">
    <vt:lpwstr>E49ECE8C190A404F9013D1DDA716691B_13</vt:lpwstr>
  </property>
  <property fmtid="{D5CDD505-2E9C-101B-9397-08002B2CF9AE}" pid="4" name="KSOTemplateDocerSaveRecord">
    <vt:lpwstr>eyJoZGlkIjoiN2FiYTYwOTNkMDM4NjI5ZDE0MmQxMTMyMDk2OWEyMWQiLCJ1c2VySWQiOiIyNjU3NTI0OTEifQ==</vt:lpwstr>
  </property>
</Properties>
</file>